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1F6D7">
      <w:pPr>
        <w:spacing w:line="360" w:lineRule="auto"/>
        <w:rPr>
          <w:rFonts w:hint="eastAsia" w:ascii="宋体" w:hAnsi="宋体" w:eastAsia="宋体"/>
          <w:lang w:eastAsia="zh-CN"/>
        </w:rPr>
      </w:pPr>
      <w:r>
        <w:rPr>
          <w:rFonts w:hint="eastAsia" w:ascii="宋体" w:hAnsi="宋体" w:eastAsia="宋体"/>
          <w:lang w:eastAsia="zh-CN"/>
        </w:rPr>
        <w:drawing>
          <wp:anchor distT="0" distB="0" distL="114300" distR="114300" simplePos="0" relativeHeight="251659264" behindDoc="0" locked="0" layoutInCell="1" allowOverlap="1">
            <wp:simplePos x="0" y="0"/>
            <wp:positionH relativeFrom="column">
              <wp:posOffset>157480</wp:posOffset>
            </wp:positionH>
            <wp:positionV relativeFrom="paragraph">
              <wp:posOffset>152400</wp:posOffset>
            </wp:positionV>
            <wp:extent cx="5955665" cy="8635365"/>
            <wp:effectExtent l="0" t="0" r="6985" b="13335"/>
            <wp:wrapNone/>
            <wp:docPr id="1" name="图片 1" descr="d0e711975a176f47f67b2dcdd7c715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e711975a176f47f67b2dcdd7c715f2"/>
                    <pic:cNvPicPr>
                      <a:picLocks noChangeAspect="1"/>
                    </pic:cNvPicPr>
                  </pic:nvPicPr>
                  <pic:blipFill>
                    <a:blip r:embed="rId7"/>
                    <a:srcRect l="-72" t="1495"/>
                    <a:stretch>
                      <a:fillRect/>
                    </a:stretch>
                  </pic:blipFill>
                  <pic:spPr>
                    <a:xfrm>
                      <a:off x="0" y="0"/>
                      <a:ext cx="5955665" cy="8635365"/>
                    </a:xfrm>
                    <a:prstGeom prst="rect">
                      <a:avLst/>
                    </a:prstGeom>
                  </pic:spPr>
                </pic:pic>
              </a:graphicData>
            </a:graphic>
          </wp:anchor>
        </w:drawing>
      </w:r>
    </w:p>
    <w:p w14:paraId="5618F5F5">
      <w:pPr>
        <w:pStyle w:val="2"/>
        <w:rPr>
          <w:rFonts w:hint="eastAsia" w:ascii="宋体" w:hAnsi="宋体" w:eastAsia="宋体"/>
          <w:lang w:eastAsia="zh-CN"/>
        </w:rPr>
      </w:pPr>
    </w:p>
    <w:p w14:paraId="73CA6BC0">
      <w:pPr>
        <w:rPr>
          <w:rFonts w:hint="eastAsia" w:ascii="宋体" w:hAnsi="宋体" w:eastAsia="宋体"/>
          <w:lang w:eastAsia="zh-CN"/>
        </w:rPr>
      </w:pPr>
    </w:p>
    <w:p w14:paraId="5C566CFF">
      <w:pPr>
        <w:pStyle w:val="2"/>
        <w:rPr>
          <w:rFonts w:hint="eastAsia" w:ascii="宋体" w:hAnsi="宋体" w:eastAsia="宋体"/>
          <w:lang w:eastAsia="zh-CN"/>
        </w:rPr>
      </w:pPr>
    </w:p>
    <w:p w14:paraId="32ED0737">
      <w:pPr>
        <w:rPr>
          <w:rFonts w:hint="eastAsia" w:ascii="宋体" w:hAnsi="宋体" w:eastAsia="宋体"/>
          <w:lang w:eastAsia="zh-CN"/>
        </w:rPr>
      </w:pPr>
    </w:p>
    <w:p w14:paraId="4B96A196">
      <w:pPr>
        <w:pStyle w:val="2"/>
        <w:rPr>
          <w:rFonts w:hint="eastAsia" w:ascii="宋体" w:hAnsi="宋体" w:eastAsia="宋体"/>
          <w:lang w:eastAsia="zh-CN"/>
        </w:rPr>
      </w:pPr>
    </w:p>
    <w:p w14:paraId="629F56D1">
      <w:pPr>
        <w:rPr>
          <w:rFonts w:hint="eastAsia" w:ascii="宋体" w:hAnsi="宋体" w:eastAsia="宋体"/>
          <w:lang w:eastAsia="zh-CN"/>
        </w:rPr>
      </w:pPr>
    </w:p>
    <w:p w14:paraId="6DAD8BA4">
      <w:pPr>
        <w:pStyle w:val="2"/>
        <w:rPr>
          <w:rFonts w:hint="eastAsia" w:ascii="宋体" w:hAnsi="宋体" w:eastAsia="宋体"/>
          <w:lang w:eastAsia="zh-CN"/>
        </w:rPr>
      </w:pPr>
    </w:p>
    <w:p w14:paraId="5FDF1FA8">
      <w:pPr>
        <w:rPr>
          <w:rFonts w:hint="eastAsia" w:ascii="宋体" w:hAnsi="宋体" w:eastAsia="宋体"/>
          <w:lang w:eastAsia="zh-CN"/>
        </w:rPr>
      </w:pPr>
    </w:p>
    <w:p w14:paraId="6C71634B">
      <w:pPr>
        <w:pStyle w:val="2"/>
        <w:rPr>
          <w:rFonts w:hint="eastAsia" w:ascii="宋体" w:hAnsi="宋体" w:eastAsia="宋体"/>
          <w:lang w:eastAsia="zh-CN"/>
        </w:rPr>
      </w:pPr>
    </w:p>
    <w:p w14:paraId="47BAEE9F">
      <w:pPr>
        <w:rPr>
          <w:rFonts w:hint="eastAsia" w:ascii="宋体" w:hAnsi="宋体" w:eastAsia="宋体"/>
          <w:lang w:eastAsia="zh-CN"/>
        </w:rPr>
      </w:pPr>
    </w:p>
    <w:p w14:paraId="7924F75F">
      <w:pPr>
        <w:pStyle w:val="2"/>
        <w:rPr>
          <w:rFonts w:hint="eastAsia" w:ascii="宋体" w:hAnsi="宋体" w:eastAsia="宋体"/>
          <w:lang w:eastAsia="zh-CN"/>
        </w:rPr>
      </w:pPr>
    </w:p>
    <w:p w14:paraId="548B42D1">
      <w:pPr>
        <w:rPr>
          <w:rFonts w:hint="eastAsia" w:ascii="宋体" w:hAnsi="宋体" w:eastAsia="宋体"/>
          <w:lang w:eastAsia="zh-CN"/>
        </w:rPr>
      </w:pPr>
    </w:p>
    <w:p w14:paraId="1404E0D6">
      <w:pPr>
        <w:pStyle w:val="2"/>
        <w:rPr>
          <w:rFonts w:hint="eastAsia" w:ascii="宋体" w:hAnsi="宋体" w:eastAsia="宋体"/>
          <w:lang w:eastAsia="zh-CN"/>
        </w:rPr>
      </w:pPr>
    </w:p>
    <w:p w14:paraId="47C6211E">
      <w:pPr>
        <w:rPr>
          <w:rFonts w:hint="eastAsia" w:ascii="宋体" w:hAnsi="宋体" w:eastAsia="宋体"/>
          <w:lang w:eastAsia="zh-CN"/>
        </w:rPr>
      </w:pPr>
    </w:p>
    <w:p w14:paraId="02E715A1">
      <w:pPr>
        <w:pStyle w:val="2"/>
        <w:rPr>
          <w:rFonts w:hint="eastAsia" w:ascii="宋体" w:hAnsi="宋体" w:eastAsia="宋体"/>
          <w:lang w:eastAsia="zh-CN"/>
        </w:rPr>
      </w:pPr>
    </w:p>
    <w:p w14:paraId="3692C348">
      <w:pPr>
        <w:rPr>
          <w:rFonts w:hint="eastAsia" w:ascii="宋体" w:hAnsi="宋体" w:eastAsia="宋体"/>
          <w:lang w:eastAsia="zh-CN"/>
        </w:rPr>
      </w:pPr>
    </w:p>
    <w:p w14:paraId="7F1B9F84">
      <w:pPr>
        <w:pStyle w:val="2"/>
        <w:rPr>
          <w:rFonts w:hint="eastAsia" w:ascii="宋体" w:hAnsi="宋体" w:eastAsia="宋体"/>
          <w:lang w:eastAsia="zh-CN"/>
        </w:rPr>
      </w:pPr>
    </w:p>
    <w:p w14:paraId="4E9C1737">
      <w:pPr>
        <w:rPr>
          <w:rFonts w:hint="eastAsia" w:ascii="宋体" w:hAnsi="宋体" w:eastAsia="宋体"/>
          <w:lang w:eastAsia="zh-CN"/>
        </w:rPr>
      </w:pPr>
    </w:p>
    <w:p w14:paraId="09CCFFC3">
      <w:pPr>
        <w:pStyle w:val="2"/>
        <w:rPr>
          <w:rFonts w:hint="eastAsia" w:ascii="宋体" w:hAnsi="宋体" w:eastAsia="宋体"/>
          <w:lang w:eastAsia="zh-CN"/>
        </w:rPr>
      </w:pPr>
    </w:p>
    <w:p w14:paraId="3AE067CF">
      <w:pPr>
        <w:rPr>
          <w:rFonts w:hint="eastAsia" w:ascii="宋体" w:hAnsi="宋体" w:eastAsia="宋体"/>
          <w:lang w:eastAsia="zh-CN"/>
        </w:rPr>
      </w:pPr>
    </w:p>
    <w:p w14:paraId="5CC9E91E">
      <w:pPr>
        <w:pStyle w:val="2"/>
        <w:rPr>
          <w:rFonts w:hint="eastAsia" w:ascii="宋体" w:hAnsi="宋体" w:eastAsia="宋体"/>
          <w:lang w:eastAsia="zh-CN"/>
        </w:rPr>
      </w:pPr>
    </w:p>
    <w:p w14:paraId="18A41896">
      <w:pPr>
        <w:rPr>
          <w:rFonts w:hint="eastAsia" w:ascii="宋体" w:hAnsi="宋体" w:eastAsia="宋体"/>
          <w:lang w:eastAsia="zh-CN"/>
        </w:rPr>
      </w:pPr>
    </w:p>
    <w:p w14:paraId="702BE8A3">
      <w:pPr>
        <w:pStyle w:val="2"/>
        <w:rPr>
          <w:rFonts w:hint="eastAsia" w:ascii="宋体" w:hAnsi="宋体" w:eastAsia="宋体"/>
          <w:lang w:eastAsia="zh-CN"/>
        </w:rPr>
      </w:pPr>
    </w:p>
    <w:p w14:paraId="69EF09CB">
      <w:pPr>
        <w:rPr>
          <w:rFonts w:hint="eastAsia" w:ascii="宋体" w:hAnsi="宋体" w:eastAsia="宋体"/>
          <w:lang w:eastAsia="zh-CN"/>
        </w:rPr>
      </w:pPr>
    </w:p>
    <w:p w14:paraId="43CCF1C9">
      <w:pPr>
        <w:pStyle w:val="2"/>
        <w:rPr>
          <w:rFonts w:hint="eastAsia" w:ascii="宋体" w:hAnsi="宋体" w:eastAsia="宋体"/>
          <w:lang w:eastAsia="zh-CN"/>
        </w:rPr>
      </w:pPr>
    </w:p>
    <w:p w14:paraId="01BF21AB">
      <w:pPr>
        <w:rPr>
          <w:rFonts w:hint="eastAsia" w:ascii="宋体" w:hAnsi="宋体" w:eastAsia="宋体"/>
          <w:lang w:eastAsia="zh-CN"/>
        </w:rPr>
      </w:pPr>
    </w:p>
    <w:p w14:paraId="70E93661">
      <w:pPr>
        <w:pStyle w:val="2"/>
        <w:rPr>
          <w:rFonts w:hint="eastAsia" w:ascii="宋体" w:hAnsi="宋体" w:eastAsia="宋体"/>
          <w:lang w:eastAsia="zh-CN"/>
        </w:rPr>
      </w:pPr>
    </w:p>
    <w:p w14:paraId="34455658">
      <w:pPr>
        <w:rPr>
          <w:rFonts w:hint="eastAsia" w:ascii="宋体" w:hAnsi="宋体" w:eastAsia="宋体"/>
          <w:lang w:eastAsia="zh-CN"/>
        </w:rPr>
      </w:pPr>
    </w:p>
    <w:p w14:paraId="5FC7F47C">
      <w:pPr>
        <w:pStyle w:val="2"/>
        <w:rPr>
          <w:rFonts w:hint="eastAsia" w:ascii="宋体" w:hAnsi="宋体" w:eastAsia="宋体"/>
          <w:lang w:eastAsia="zh-CN"/>
        </w:rPr>
      </w:pPr>
    </w:p>
    <w:p w14:paraId="67E5738D">
      <w:pPr>
        <w:rPr>
          <w:rFonts w:hint="eastAsia" w:ascii="宋体" w:hAnsi="宋体" w:eastAsia="宋体"/>
          <w:lang w:eastAsia="zh-CN"/>
        </w:rPr>
      </w:pPr>
    </w:p>
    <w:p w14:paraId="09DE8E44">
      <w:pPr>
        <w:pStyle w:val="2"/>
        <w:rPr>
          <w:rFonts w:hint="eastAsia" w:ascii="宋体" w:hAnsi="宋体" w:eastAsia="宋体"/>
          <w:lang w:eastAsia="zh-CN"/>
        </w:rPr>
      </w:pPr>
    </w:p>
    <w:p w14:paraId="3C287C6B">
      <w:pPr>
        <w:rPr>
          <w:rFonts w:hint="eastAsia" w:ascii="宋体" w:hAnsi="宋体" w:eastAsia="宋体"/>
          <w:lang w:eastAsia="zh-CN"/>
        </w:rPr>
      </w:pPr>
    </w:p>
    <w:p w14:paraId="7C243D0D">
      <w:pPr>
        <w:pStyle w:val="2"/>
        <w:rPr>
          <w:rFonts w:hint="eastAsia" w:ascii="宋体" w:hAnsi="宋体" w:eastAsia="宋体"/>
          <w:lang w:eastAsia="zh-CN"/>
        </w:rPr>
      </w:pPr>
    </w:p>
    <w:p w14:paraId="44221095">
      <w:pPr>
        <w:rPr>
          <w:rFonts w:hint="eastAsia" w:ascii="宋体" w:hAnsi="宋体" w:eastAsia="宋体"/>
          <w:lang w:eastAsia="zh-CN"/>
        </w:rPr>
      </w:pPr>
    </w:p>
    <w:p w14:paraId="38FC8C7A">
      <w:pPr>
        <w:pStyle w:val="2"/>
        <w:rPr>
          <w:rFonts w:hint="eastAsia"/>
          <w:lang w:eastAsia="zh-CN"/>
        </w:rPr>
      </w:pPr>
    </w:p>
    <w:p w14:paraId="0028D1C4">
      <w:pPr>
        <w:pStyle w:val="3"/>
        <w:spacing w:line="360" w:lineRule="auto"/>
        <w:jc w:val="center"/>
        <w:rPr>
          <w:rFonts w:ascii="宋体" w:hAnsi="宋体"/>
          <w:snapToGrid w:val="0"/>
          <w:kern w:val="0"/>
        </w:rPr>
      </w:pPr>
      <w:bookmarkStart w:id="0" w:name="_Toc287607727"/>
      <w:bookmarkStart w:id="1" w:name="_Toc287620666"/>
      <w:bookmarkStart w:id="2" w:name="_Toc224103298"/>
      <w:bookmarkStart w:id="3" w:name="_Toc277082535"/>
      <w:bookmarkStart w:id="4" w:name="_Toc10868"/>
      <w:bookmarkStart w:id="5" w:name="_Toc509218691"/>
      <w:bookmarkStart w:id="6" w:name="_Toc430530415"/>
      <w:r>
        <w:rPr>
          <w:rFonts w:ascii="宋体" w:hAnsi="宋体"/>
          <w:snapToGrid w:val="0"/>
          <w:kern w:val="0"/>
        </w:rPr>
        <w:t xml:space="preserve">第一章  </w:t>
      </w:r>
      <w:r>
        <w:rPr>
          <w:rFonts w:hint="eastAsia" w:ascii="宋体" w:hAnsi="宋体"/>
          <w:snapToGrid w:val="0"/>
          <w:kern w:val="0"/>
          <w:lang w:eastAsia="zh-CN"/>
        </w:rPr>
        <w:t>比选</w:t>
      </w:r>
      <w:r>
        <w:rPr>
          <w:rFonts w:ascii="宋体" w:hAnsi="宋体"/>
          <w:snapToGrid w:val="0"/>
          <w:kern w:val="0"/>
        </w:rPr>
        <w:t>公告</w:t>
      </w:r>
      <w:bookmarkEnd w:id="0"/>
      <w:bookmarkEnd w:id="1"/>
      <w:bookmarkEnd w:id="2"/>
      <w:bookmarkEnd w:id="3"/>
      <w:bookmarkEnd w:id="4"/>
      <w:bookmarkEnd w:id="5"/>
      <w:bookmarkEnd w:id="6"/>
    </w:p>
    <w:p w14:paraId="368FCC64">
      <w:pPr>
        <w:spacing w:line="360" w:lineRule="auto"/>
        <w:jc w:val="center"/>
        <w:rPr>
          <w:rFonts w:ascii="宋体" w:hAnsi="宋体"/>
          <w:snapToGrid w:val="0"/>
          <w:w w:val="99"/>
          <w:kern w:val="0"/>
          <w:sz w:val="28"/>
          <w:szCs w:val="28"/>
        </w:rPr>
      </w:pPr>
      <w:r>
        <w:rPr>
          <w:rFonts w:hint="eastAsia" w:ascii="宋体" w:hAnsi="宋体"/>
          <w:snapToGrid w:val="0"/>
          <w:w w:val="99"/>
          <w:kern w:val="0"/>
          <w:sz w:val="28"/>
          <w:szCs w:val="28"/>
          <w:u w:val="single"/>
          <w:lang w:eastAsia="zh-CN"/>
        </w:rPr>
        <w:t>经开区社会停车场（长生桥镇）项目</w:t>
      </w:r>
      <w:r>
        <w:rPr>
          <w:rFonts w:hint="eastAsia" w:ascii="宋体" w:hAnsi="宋体"/>
          <w:snapToGrid w:val="0"/>
          <w:w w:val="99"/>
          <w:kern w:val="0"/>
          <w:sz w:val="28"/>
          <w:szCs w:val="28"/>
          <w:lang w:eastAsia="zh-CN"/>
        </w:rPr>
        <w:t>比选</w:t>
      </w:r>
      <w:r>
        <w:rPr>
          <w:rFonts w:ascii="宋体" w:hAnsi="宋体"/>
          <w:snapToGrid w:val="0"/>
          <w:w w:val="99"/>
          <w:kern w:val="0"/>
          <w:sz w:val="28"/>
          <w:szCs w:val="28"/>
        </w:rPr>
        <w:t>公告</w:t>
      </w:r>
    </w:p>
    <w:p w14:paraId="7D1DCEAE">
      <w:pPr>
        <w:pStyle w:val="4"/>
        <w:spacing w:before="100" w:after="100" w:line="460" w:lineRule="exact"/>
        <w:rPr>
          <w:rFonts w:ascii="宋体" w:hAnsi="宋体"/>
          <w:snapToGrid w:val="0"/>
          <w:sz w:val="28"/>
          <w:szCs w:val="28"/>
        </w:rPr>
      </w:pPr>
      <w:bookmarkStart w:id="7" w:name="_Toc200359427"/>
      <w:bookmarkStart w:id="8" w:name="_Toc287620667"/>
      <w:bookmarkStart w:id="9" w:name="_Toc277082536"/>
      <w:bookmarkStart w:id="10" w:name="_Toc430530416"/>
      <w:bookmarkStart w:id="11" w:name="_Toc287607728"/>
      <w:bookmarkStart w:id="12" w:name="_Toc6489"/>
      <w:bookmarkStart w:id="13" w:name="_Toc200359238"/>
      <w:bookmarkStart w:id="14" w:name="_Toc509218692"/>
      <w:bookmarkStart w:id="15" w:name="_Toc224103299"/>
      <w:r>
        <w:rPr>
          <w:rFonts w:ascii="宋体" w:hAnsi="宋体"/>
          <w:snapToGrid w:val="0"/>
          <w:sz w:val="28"/>
          <w:szCs w:val="28"/>
        </w:rPr>
        <w:t xml:space="preserve">1. </w:t>
      </w:r>
      <w:r>
        <w:rPr>
          <w:rFonts w:hint="eastAsia" w:ascii="宋体" w:hAnsi="宋体"/>
          <w:snapToGrid w:val="0"/>
          <w:sz w:val="28"/>
          <w:szCs w:val="28"/>
        </w:rPr>
        <w:t xml:space="preserve"> </w:t>
      </w:r>
      <w:r>
        <w:rPr>
          <w:rFonts w:hint="eastAsia" w:ascii="宋体" w:hAnsi="宋体"/>
          <w:snapToGrid w:val="0"/>
          <w:sz w:val="28"/>
          <w:szCs w:val="28"/>
          <w:lang w:eastAsia="zh-CN"/>
        </w:rPr>
        <w:t>比选</w:t>
      </w:r>
      <w:r>
        <w:rPr>
          <w:rFonts w:ascii="宋体" w:hAnsi="宋体"/>
          <w:snapToGrid w:val="0"/>
          <w:sz w:val="28"/>
          <w:szCs w:val="28"/>
        </w:rPr>
        <w:t>条件</w:t>
      </w:r>
      <w:bookmarkEnd w:id="7"/>
      <w:bookmarkEnd w:id="8"/>
      <w:bookmarkEnd w:id="9"/>
      <w:bookmarkEnd w:id="10"/>
      <w:bookmarkEnd w:id="11"/>
      <w:bookmarkEnd w:id="12"/>
      <w:bookmarkEnd w:id="13"/>
      <w:bookmarkEnd w:id="14"/>
      <w:bookmarkEnd w:id="15"/>
    </w:p>
    <w:p w14:paraId="55EAA3DD">
      <w:pPr>
        <w:spacing w:line="360" w:lineRule="auto"/>
        <w:ind w:firstLine="420" w:firstLineChars="200"/>
        <w:jc w:val="left"/>
        <w:rPr>
          <w:rFonts w:ascii="宋体" w:hAnsi="宋体"/>
          <w:snapToGrid w:val="0"/>
          <w:kern w:val="0"/>
          <w:szCs w:val="21"/>
          <w:highlight w:val="none"/>
        </w:rPr>
      </w:pPr>
      <w:r>
        <w:rPr>
          <w:rFonts w:ascii="宋体" w:hAnsi="宋体"/>
          <w:snapToGrid w:val="0"/>
          <w:kern w:val="0"/>
          <w:szCs w:val="21"/>
          <w:highlight w:val="none"/>
        </w:rPr>
        <w:t>本</w:t>
      </w:r>
      <w:r>
        <w:rPr>
          <w:rFonts w:hint="eastAsia" w:ascii="宋体" w:hAnsi="宋体"/>
          <w:snapToGrid w:val="0"/>
          <w:kern w:val="0"/>
          <w:szCs w:val="21"/>
          <w:highlight w:val="none"/>
          <w:lang w:eastAsia="zh-CN"/>
        </w:rPr>
        <w:t>比选</w:t>
      </w:r>
      <w:r>
        <w:rPr>
          <w:rFonts w:ascii="宋体" w:hAnsi="宋体"/>
          <w:snapToGrid w:val="0"/>
          <w:kern w:val="0"/>
          <w:szCs w:val="21"/>
          <w:highlight w:val="none"/>
        </w:rPr>
        <w:t>项目</w:t>
      </w:r>
      <w:r>
        <w:rPr>
          <w:rFonts w:hint="eastAsia" w:ascii="宋体" w:hAnsi="宋体"/>
          <w:snapToGrid w:val="0"/>
          <w:kern w:val="0"/>
          <w:szCs w:val="21"/>
          <w:highlight w:val="none"/>
          <w:u w:val="single"/>
          <w:lang w:eastAsia="zh-CN"/>
        </w:rPr>
        <w:t>经开区社会停车场（长生桥镇）项目</w:t>
      </w:r>
      <w:r>
        <w:rPr>
          <w:rFonts w:ascii="宋体" w:hAnsi="宋体"/>
          <w:snapToGrid w:val="0"/>
          <w:kern w:val="0"/>
          <w:szCs w:val="21"/>
          <w:highlight w:val="none"/>
        </w:rPr>
        <w:t>已批准建设，项目业主为</w:t>
      </w:r>
      <w:r>
        <w:rPr>
          <w:rFonts w:hint="eastAsia" w:ascii="宋体" w:hAnsi="宋体"/>
          <w:snapToGrid w:val="0"/>
          <w:kern w:val="0"/>
          <w:szCs w:val="21"/>
          <w:highlight w:val="none"/>
          <w:u w:val="single"/>
        </w:rPr>
        <w:t xml:space="preserve"> 重庆经开区</w:t>
      </w:r>
      <w:r>
        <w:rPr>
          <w:rFonts w:hint="eastAsia" w:ascii="宋体" w:hAnsi="宋体"/>
          <w:snapToGrid w:val="0"/>
          <w:kern w:val="0"/>
          <w:szCs w:val="21"/>
          <w:highlight w:val="none"/>
          <w:u w:val="single"/>
          <w:lang w:eastAsia="zh-CN"/>
        </w:rPr>
        <w:t>投资集团</w:t>
      </w:r>
      <w:r>
        <w:rPr>
          <w:rFonts w:hint="eastAsia" w:ascii="宋体" w:hAnsi="宋体"/>
          <w:snapToGrid w:val="0"/>
          <w:kern w:val="0"/>
          <w:szCs w:val="21"/>
          <w:highlight w:val="none"/>
          <w:u w:val="single"/>
        </w:rPr>
        <w:t xml:space="preserve">有限公司 </w:t>
      </w:r>
      <w:r>
        <w:rPr>
          <w:rFonts w:ascii="宋体" w:hAnsi="宋体"/>
          <w:snapToGrid w:val="0"/>
          <w:kern w:val="0"/>
          <w:szCs w:val="21"/>
          <w:highlight w:val="none"/>
        </w:rPr>
        <w:t>，建设资金来自</w:t>
      </w:r>
      <w:r>
        <w:rPr>
          <w:rFonts w:hint="eastAsia" w:ascii="宋体" w:hAnsi="宋体"/>
          <w:snapToGrid w:val="0"/>
          <w:kern w:val="0"/>
          <w:szCs w:val="21"/>
          <w:highlight w:val="none"/>
          <w:u w:val="single"/>
        </w:rPr>
        <w:t xml:space="preserve">  业主自筹 </w:t>
      </w:r>
      <w:r>
        <w:rPr>
          <w:rFonts w:ascii="宋体" w:hAnsi="宋体"/>
          <w:snapToGrid w:val="0"/>
          <w:kern w:val="0"/>
          <w:szCs w:val="21"/>
          <w:highlight w:val="none"/>
        </w:rPr>
        <w:t>，项目出资比例为</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100%</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w:t>
      </w:r>
      <w:r>
        <w:rPr>
          <w:rFonts w:hint="eastAsia" w:ascii="宋体" w:hAnsi="宋体"/>
          <w:snapToGrid w:val="0"/>
          <w:kern w:val="0"/>
          <w:szCs w:val="21"/>
          <w:highlight w:val="none"/>
          <w:lang w:eastAsia="zh-CN"/>
        </w:rPr>
        <w:t>比选</w:t>
      </w:r>
      <w:r>
        <w:rPr>
          <w:rFonts w:ascii="宋体" w:hAnsi="宋体"/>
          <w:snapToGrid w:val="0"/>
          <w:kern w:val="0"/>
          <w:szCs w:val="21"/>
          <w:highlight w:val="none"/>
        </w:rPr>
        <w:t>人</w:t>
      </w:r>
      <w:r>
        <w:rPr>
          <w:rFonts w:ascii="宋体" w:hAnsi="宋体"/>
          <w:snapToGrid w:val="0"/>
          <w:kern w:val="0"/>
          <w:position w:val="-2"/>
          <w:szCs w:val="21"/>
          <w:highlight w:val="none"/>
        </w:rPr>
        <w:t>为</w:t>
      </w:r>
      <w:r>
        <w:rPr>
          <w:rFonts w:hint="eastAsia" w:ascii="宋体" w:hAnsi="宋体"/>
          <w:snapToGrid w:val="0"/>
          <w:kern w:val="0"/>
          <w:szCs w:val="21"/>
          <w:highlight w:val="none"/>
          <w:u w:val="single"/>
        </w:rPr>
        <w:t xml:space="preserve">  重庆经开区开发建设有限公司  </w:t>
      </w:r>
      <w:r>
        <w:rPr>
          <w:rFonts w:ascii="宋体" w:hAnsi="宋体"/>
          <w:snapToGrid w:val="0"/>
          <w:kern w:val="0"/>
          <w:position w:val="-2"/>
          <w:szCs w:val="21"/>
          <w:highlight w:val="none"/>
        </w:rPr>
        <w:t>。项目已具备</w:t>
      </w:r>
      <w:r>
        <w:rPr>
          <w:rFonts w:hint="eastAsia" w:ascii="宋体" w:hAnsi="宋体"/>
          <w:snapToGrid w:val="0"/>
          <w:kern w:val="0"/>
          <w:position w:val="-2"/>
          <w:szCs w:val="21"/>
          <w:highlight w:val="none"/>
          <w:lang w:eastAsia="zh-CN"/>
        </w:rPr>
        <w:t>比选</w:t>
      </w:r>
      <w:r>
        <w:rPr>
          <w:rFonts w:ascii="宋体" w:hAnsi="宋体"/>
          <w:snapToGrid w:val="0"/>
          <w:kern w:val="0"/>
          <w:position w:val="-2"/>
          <w:szCs w:val="21"/>
          <w:highlight w:val="none"/>
        </w:rPr>
        <w:t>条件，现对</w:t>
      </w:r>
      <w:r>
        <w:rPr>
          <w:rFonts w:hint="eastAsia" w:ascii="宋体" w:hAnsi="宋体"/>
          <w:snapToGrid w:val="0"/>
          <w:kern w:val="0"/>
          <w:position w:val="-2"/>
          <w:szCs w:val="21"/>
          <w:highlight w:val="none"/>
          <w:u w:val="single"/>
        </w:rPr>
        <w:t>该项目的施工</w:t>
      </w:r>
      <w:r>
        <w:rPr>
          <w:rFonts w:ascii="宋体" w:hAnsi="宋体"/>
          <w:snapToGrid w:val="0"/>
          <w:kern w:val="0"/>
          <w:position w:val="-2"/>
          <w:szCs w:val="21"/>
          <w:highlight w:val="none"/>
        </w:rPr>
        <w:t>进行</w:t>
      </w:r>
      <w:r>
        <w:rPr>
          <w:rFonts w:hint="eastAsia" w:ascii="宋体" w:hAnsi="宋体"/>
          <w:snapToGrid w:val="0"/>
          <w:kern w:val="0"/>
          <w:position w:val="-2"/>
          <w:szCs w:val="21"/>
          <w:highlight w:val="none"/>
          <w:u w:val="single"/>
        </w:rPr>
        <w:t>竞争性比选。</w:t>
      </w:r>
    </w:p>
    <w:p w14:paraId="4FBBFEAE">
      <w:pPr>
        <w:pStyle w:val="4"/>
        <w:spacing w:before="100" w:after="100" w:line="460" w:lineRule="exact"/>
        <w:rPr>
          <w:rFonts w:ascii="宋体" w:hAnsi="宋体"/>
          <w:snapToGrid w:val="0"/>
          <w:sz w:val="28"/>
          <w:szCs w:val="28"/>
        </w:rPr>
      </w:pPr>
      <w:bookmarkStart w:id="16" w:name="_Toc287620668"/>
      <w:bookmarkStart w:id="17" w:name="_Toc277082537"/>
      <w:bookmarkStart w:id="18" w:name="_Toc224103300"/>
      <w:bookmarkStart w:id="19" w:name="_Toc287607729"/>
      <w:bookmarkStart w:id="20" w:name="_Toc509218693"/>
      <w:bookmarkStart w:id="21" w:name="_Toc200359428"/>
      <w:bookmarkStart w:id="22" w:name="_Toc7267"/>
      <w:bookmarkStart w:id="23" w:name="_Toc200359239"/>
      <w:bookmarkStart w:id="24" w:name="_Toc430530417"/>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w:t>
      </w:r>
      <w:r>
        <w:rPr>
          <w:rFonts w:hint="eastAsia" w:ascii="宋体" w:hAnsi="宋体"/>
          <w:snapToGrid w:val="0"/>
          <w:sz w:val="28"/>
          <w:szCs w:val="28"/>
          <w:lang w:eastAsia="zh-CN"/>
        </w:rPr>
        <w:t>比选</w:t>
      </w:r>
      <w:r>
        <w:rPr>
          <w:rFonts w:ascii="宋体" w:hAnsi="宋体"/>
          <w:snapToGrid w:val="0"/>
          <w:sz w:val="28"/>
          <w:szCs w:val="28"/>
        </w:rPr>
        <w:t>范围</w:t>
      </w:r>
      <w:bookmarkEnd w:id="16"/>
      <w:bookmarkEnd w:id="17"/>
      <w:bookmarkEnd w:id="18"/>
      <w:bookmarkEnd w:id="19"/>
      <w:bookmarkEnd w:id="20"/>
      <w:bookmarkEnd w:id="21"/>
      <w:bookmarkEnd w:id="22"/>
      <w:bookmarkEnd w:id="23"/>
      <w:bookmarkEnd w:id="24"/>
    </w:p>
    <w:p w14:paraId="6B78D717">
      <w:pPr>
        <w:keepNext w:val="0"/>
        <w:keepLines w:val="0"/>
        <w:pageBreakBefore w:val="0"/>
        <w:tabs>
          <w:tab w:val="left" w:pos="3840"/>
          <w:tab w:val="left" w:pos="5300"/>
        </w:tabs>
        <w:kinsoku/>
        <w:wordWrap/>
        <w:overflowPunct/>
        <w:topLinePunct w:val="0"/>
        <w:autoSpaceDE w:val="0"/>
        <w:autoSpaceDN w:val="0"/>
        <w:bidi w:val="0"/>
        <w:adjustRightInd w:val="0"/>
        <w:snapToGrid w:val="0"/>
        <w:spacing w:line="460" w:lineRule="exact"/>
        <w:ind w:firstLine="420" w:firstLineChars="200"/>
        <w:jc w:val="left"/>
        <w:textAlignment w:val="auto"/>
        <w:rPr>
          <w:rFonts w:hint="eastAsia" w:ascii="宋体" w:hAnsi="宋体" w:eastAsia="宋体"/>
          <w:snapToGrid w:val="0"/>
          <w:kern w:val="0"/>
          <w:szCs w:val="21"/>
          <w:u w:val="single"/>
          <w:lang w:eastAsia="zh-CN"/>
        </w:rPr>
      </w:pPr>
      <w:r>
        <w:rPr>
          <w:rFonts w:hint="eastAsia" w:ascii="宋体" w:hAnsi="宋体"/>
          <w:snapToGrid w:val="0"/>
          <w:kern w:val="0"/>
          <w:szCs w:val="21"/>
        </w:rPr>
        <w:t>2.1 建设地点：</w:t>
      </w:r>
      <w:r>
        <w:rPr>
          <w:rFonts w:hint="eastAsia" w:ascii="宋体" w:hAnsi="宋体"/>
          <w:snapToGrid w:val="0"/>
          <w:kern w:val="0"/>
          <w:szCs w:val="21"/>
          <w:u w:val="single"/>
        </w:rPr>
        <w:t xml:space="preserve"> 重庆</w:t>
      </w:r>
      <w:r>
        <w:rPr>
          <w:rFonts w:hint="eastAsia" w:ascii="宋体" w:hAnsi="宋体"/>
          <w:snapToGrid w:val="0"/>
          <w:kern w:val="0"/>
          <w:szCs w:val="21"/>
          <w:u w:val="single"/>
          <w:lang w:eastAsia="zh-CN"/>
        </w:rPr>
        <w:t>南岸区长生桥镇</w:t>
      </w:r>
    </w:p>
    <w:p w14:paraId="7FAAC5D0">
      <w:pPr>
        <w:pStyle w:val="40"/>
        <w:keepNext w:val="0"/>
        <w:keepLines w:val="0"/>
        <w:pageBreakBefore w:val="0"/>
        <w:widowControl/>
        <w:suppressLineNumbers w:val="0"/>
        <w:kinsoku/>
        <w:wordWrap/>
        <w:overflowPunct/>
        <w:topLinePunct w:val="0"/>
        <w:bidi w:val="0"/>
        <w:spacing w:line="460" w:lineRule="exact"/>
        <w:ind w:firstLine="420" w:firstLineChars="200"/>
        <w:jc w:val="left"/>
        <w:textAlignment w:val="auto"/>
        <w:rPr>
          <w:rFonts w:hint="eastAsia" w:ascii="宋体" w:hAnsi="宋体" w:eastAsia="宋体"/>
          <w:snapToGrid w:val="0"/>
          <w:kern w:val="0"/>
          <w:szCs w:val="21"/>
          <w:u w:val="single"/>
          <w:lang w:eastAsia="zh-CN"/>
        </w:rPr>
      </w:pPr>
      <w:r>
        <w:rPr>
          <w:rFonts w:hint="eastAsia" w:ascii="宋体" w:hAnsi="宋体" w:eastAsia="宋体" w:cs="Times New Roman"/>
          <w:snapToGrid w:val="0"/>
          <w:color w:val="auto"/>
          <w:kern w:val="0"/>
          <w:sz w:val="21"/>
          <w:szCs w:val="21"/>
          <w:lang w:val="en-US" w:eastAsia="zh-CN" w:bidi="ar-SA"/>
        </w:rPr>
        <w:t>2.2 项目概况与建设规模：</w:t>
      </w:r>
      <w:r>
        <w:rPr>
          <w:rFonts w:hint="eastAsia" w:cs="Times New Roman"/>
          <w:snapToGrid w:val="0"/>
          <w:color w:val="auto"/>
          <w:kern w:val="0"/>
          <w:sz w:val="21"/>
          <w:szCs w:val="21"/>
          <w:lang w:val="en-US" w:eastAsia="zh-CN" w:bidi="ar-SA"/>
        </w:rPr>
        <w:t>完成经开区社会停车场（长生桥镇）项目设计图纸所有设计内容的建设，</w:t>
      </w:r>
      <w:r>
        <w:rPr>
          <w:rFonts w:hint="eastAsia" w:cs="Times New Roman"/>
          <w:snapToGrid w:val="0"/>
          <w:color w:val="auto"/>
          <w:kern w:val="0"/>
          <w:sz w:val="21"/>
          <w:szCs w:val="21"/>
          <w:u w:val="single"/>
          <w:lang w:val="en-US" w:eastAsia="zh-CN" w:bidi="ar-SA"/>
        </w:rPr>
        <w:t>包括建筑工程、电气工程和给排水工程等。一期：平整场地、基层碎石铺筑、雨污水管网、停车场设备等；二期：停车场面层施工、路灯及监控系统等，并达到相关验收要求，具体工作内容详见施工图及工程量清单。</w:t>
      </w:r>
    </w:p>
    <w:p w14:paraId="2DF8D1AB">
      <w:pPr>
        <w:keepNext w:val="0"/>
        <w:keepLines w:val="0"/>
        <w:pageBreakBefore w:val="0"/>
        <w:tabs>
          <w:tab w:val="left" w:pos="3840"/>
          <w:tab w:val="left" w:pos="5300"/>
        </w:tabs>
        <w:kinsoku/>
        <w:wordWrap/>
        <w:overflowPunct/>
        <w:topLinePunct w:val="0"/>
        <w:autoSpaceDE w:val="0"/>
        <w:autoSpaceDN w:val="0"/>
        <w:bidi w:val="0"/>
        <w:adjustRightInd w:val="0"/>
        <w:snapToGrid w:val="0"/>
        <w:spacing w:line="460" w:lineRule="exact"/>
        <w:ind w:firstLine="420" w:firstLineChars="200"/>
        <w:jc w:val="left"/>
        <w:textAlignment w:val="auto"/>
        <w:rPr>
          <w:rFonts w:ascii="宋体" w:hAnsi="宋体"/>
          <w:snapToGrid w:val="0"/>
          <w:kern w:val="0"/>
          <w:szCs w:val="21"/>
          <w:u w:val="single"/>
        </w:rPr>
      </w:pPr>
      <w:r>
        <w:rPr>
          <w:rFonts w:hint="eastAsia" w:ascii="宋体" w:hAnsi="宋体"/>
          <w:snapToGrid w:val="0"/>
          <w:kern w:val="0"/>
          <w:szCs w:val="21"/>
        </w:rPr>
        <w:t>2.3 本次</w:t>
      </w:r>
      <w:r>
        <w:rPr>
          <w:rFonts w:hint="eastAsia" w:ascii="宋体" w:hAnsi="宋体"/>
          <w:snapToGrid w:val="0"/>
          <w:kern w:val="0"/>
          <w:szCs w:val="21"/>
          <w:lang w:eastAsia="zh-CN"/>
        </w:rPr>
        <w:t>比选</w:t>
      </w:r>
      <w:r>
        <w:rPr>
          <w:rFonts w:hint="eastAsia" w:ascii="宋体" w:hAnsi="宋体"/>
          <w:snapToGrid w:val="0"/>
          <w:kern w:val="0"/>
          <w:szCs w:val="21"/>
        </w:rPr>
        <w:t>项目合同估算金额</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约</w:t>
      </w:r>
      <w:r>
        <w:rPr>
          <w:rFonts w:hint="eastAsia"/>
          <w:snapToGrid w:val="0"/>
          <w:kern w:val="0"/>
          <w:szCs w:val="21"/>
          <w:highlight w:val="none"/>
          <w:u w:val="single"/>
          <w:lang w:val="en-US" w:eastAsia="zh-CN"/>
        </w:rPr>
        <w:t>87.35万</w:t>
      </w:r>
      <w:r>
        <w:rPr>
          <w:rFonts w:hint="eastAsia" w:ascii="宋体" w:hAnsi="宋体"/>
          <w:snapToGrid w:val="0"/>
          <w:kern w:val="0"/>
          <w:szCs w:val="21"/>
          <w:highlight w:val="none"/>
          <w:u w:val="single"/>
        </w:rPr>
        <w:t>元。</w:t>
      </w:r>
    </w:p>
    <w:p w14:paraId="3B20830D">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u w:val="single"/>
          <w:lang w:eastAsia="zh-CN"/>
        </w:rPr>
      </w:pPr>
      <w:r>
        <w:rPr>
          <w:rFonts w:hint="eastAsia" w:ascii="宋体" w:hAnsi="宋体"/>
          <w:snapToGrid w:val="0"/>
          <w:kern w:val="0"/>
          <w:szCs w:val="21"/>
        </w:rPr>
        <w:t xml:space="preserve">2.4 </w:t>
      </w:r>
      <w:r>
        <w:rPr>
          <w:rFonts w:hint="eastAsia" w:ascii="宋体" w:hAnsi="宋体"/>
          <w:snapToGrid w:val="0"/>
          <w:kern w:val="0"/>
          <w:szCs w:val="21"/>
          <w:lang w:eastAsia="zh-CN"/>
        </w:rPr>
        <w:t>比选</w:t>
      </w:r>
      <w:r>
        <w:rPr>
          <w:rFonts w:hint="eastAsia" w:ascii="宋体" w:hAnsi="宋体"/>
          <w:snapToGrid w:val="0"/>
          <w:kern w:val="0"/>
          <w:szCs w:val="21"/>
        </w:rPr>
        <w:t>范围：</w:t>
      </w:r>
      <w:r>
        <w:rPr>
          <w:rFonts w:hint="eastAsia" w:ascii="宋体" w:hAnsi="宋体" w:eastAsia="宋体" w:cs="Times New Roman"/>
          <w:snapToGrid w:val="0"/>
          <w:kern w:val="0"/>
          <w:szCs w:val="21"/>
          <w:u w:val="single"/>
          <w:lang w:eastAsia="zh-CN"/>
        </w:rPr>
        <w:t>完成经开区社会停车场（长生桥镇）项目</w:t>
      </w:r>
      <w:r>
        <w:rPr>
          <w:rFonts w:hint="eastAsia" w:ascii="宋体" w:hAnsi="宋体" w:eastAsia="宋体" w:cs="Times New Roman"/>
          <w:snapToGrid w:val="0"/>
          <w:kern w:val="0"/>
          <w:szCs w:val="21"/>
          <w:u w:val="single"/>
          <w:lang w:val="en-US" w:eastAsia="zh-CN"/>
        </w:rPr>
        <w:t>设计图纸所有设计内容的建设</w:t>
      </w:r>
      <w:r>
        <w:rPr>
          <w:rFonts w:hint="eastAsia" w:ascii="宋体" w:hAnsi="宋体" w:eastAsia="宋体" w:cs="Times New Roman"/>
          <w:snapToGrid w:val="0"/>
          <w:kern w:val="0"/>
          <w:szCs w:val="21"/>
          <w:u w:val="single"/>
          <w:lang w:eastAsia="zh-CN"/>
        </w:rPr>
        <w:t>，具体工作内容详见</w:t>
      </w:r>
      <w:r>
        <w:rPr>
          <w:rFonts w:hint="eastAsia" w:ascii="宋体" w:hAnsi="宋体" w:cs="Times New Roman"/>
          <w:snapToGrid w:val="0"/>
          <w:kern w:val="0"/>
          <w:szCs w:val="21"/>
          <w:u w:val="single"/>
          <w:lang w:eastAsia="zh-CN"/>
        </w:rPr>
        <w:t>施工图及工程量</w:t>
      </w:r>
      <w:r>
        <w:rPr>
          <w:rFonts w:hint="eastAsia" w:ascii="宋体" w:hAnsi="宋体" w:eastAsia="宋体" w:cs="Times New Roman"/>
          <w:snapToGrid w:val="0"/>
          <w:kern w:val="0"/>
          <w:szCs w:val="21"/>
          <w:u w:val="single"/>
          <w:lang w:eastAsia="zh-CN"/>
        </w:rPr>
        <w:t>清单。</w:t>
      </w:r>
    </w:p>
    <w:p w14:paraId="5F0E6F81">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u w:val="single"/>
          <w:lang w:eastAsia="zh-CN"/>
        </w:rPr>
      </w:pPr>
      <w:r>
        <w:rPr>
          <w:rFonts w:hint="eastAsia" w:ascii="宋体" w:hAnsi="宋体"/>
          <w:snapToGrid w:val="0"/>
          <w:kern w:val="0"/>
          <w:szCs w:val="21"/>
        </w:rPr>
        <w:t xml:space="preserve">2.5 </w:t>
      </w:r>
      <w:r>
        <w:rPr>
          <w:rFonts w:hint="eastAsia" w:ascii="宋体" w:hAnsi="宋体"/>
          <w:snapToGrid w:val="0"/>
          <w:color w:val="FF0000"/>
          <w:kern w:val="0"/>
          <w:szCs w:val="21"/>
        </w:rPr>
        <w:t>工期要求：</w:t>
      </w:r>
      <w:r>
        <w:rPr>
          <w:rFonts w:hint="eastAsia" w:ascii="宋体" w:hAnsi="宋体"/>
          <w:snapToGrid w:val="0"/>
          <w:color w:val="FF0000"/>
          <w:kern w:val="0"/>
          <w:szCs w:val="21"/>
          <w:u w:val="single"/>
          <w:lang w:eastAsia="zh-CN"/>
        </w:rPr>
        <w:t>自总监理工程师下发开工令之日起，</w:t>
      </w:r>
      <w:r>
        <w:rPr>
          <w:rFonts w:hint="eastAsia" w:ascii="宋体" w:hAnsi="宋体"/>
          <w:snapToGrid w:val="0"/>
          <w:color w:val="FF0000"/>
          <w:kern w:val="0"/>
          <w:szCs w:val="21"/>
          <w:highlight w:val="none"/>
          <w:u w:val="single"/>
          <w:lang w:val="en-US" w:eastAsia="zh-CN"/>
        </w:rPr>
        <w:t>40日历</w:t>
      </w:r>
      <w:r>
        <w:rPr>
          <w:rFonts w:hint="eastAsia" w:ascii="宋体" w:hAnsi="宋体"/>
          <w:snapToGrid w:val="0"/>
          <w:color w:val="FF0000"/>
          <w:kern w:val="0"/>
          <w:szCs w:val="21"/>
          <w:highlight w:val="none"/>
          <w:u w:val="single"/>
        </w:rPr>
        <w:t>天</w:t>
      </w:r>
      <w:r>
        <w:rPr>
          <w:rFonts w:hint="eastAsia" w:ascii="宋体" w:hAnsi="宋体"/>
          <w:snapToGrid w:val="0"/>
          <w:color w:val="FF0000"/>
          <w:kern w:val="0"/>
          <w:szCs w:val="21"/>
          <w:highlight w:val="none"/>
          <w:u w:val="single"/>
          <w:lang w:eastAsia="zh-CN"/>
        </w:rPr>
        <w:t>完成停车场所有建设工作（一期：</w:t>
      </w:r>
      <w:r>
        <w:rPr>
          <w:rFonts w:hint="eastAsia" w:ascii="宋体" w:hAnsi="宋体"/>
          <w:snapToGrid w:val="0"/>
          <w:color w:val="FF0000"/>
          <w:kern w:val="0"/>
          <w:szCs w:val="21"/>
          <w:highlight w:val="none"/>
          <w:u w:val="single"/>
          <w:lang w:val="en-US" w:eastAsia="zh-CN"/>
        </w:rPr>
        <w:t>25日历天；二期：15日历天，如遇极端天气工期顺延，完工后及时通知委托人验收</w:t>
      </w:r>
      <w:r>
        <w:rPr>
          <w:rFonts w:hint="eastAsia" w:ascii="宋体" w:hAnsi="宋体"/>
          <w:snapToGrid w:val="0"/>
          <w:color w:val="FF0000"/>
          <w:kern w:val="0"/>
          <w:szCs w:val="21"/>
          <w:highlight w:val="none"/>
          <w:u w:val="single"/>
          <w:lang w:eastAsia="zh-CN"/>
        </w:rPr>
        <w:t>）。</w:t>
      </w:r>
    </w:p>
    <w:p w14:paraId="33EB8FF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 xml:space="preserve">    缺陷责任期要求：</w:t>
      </w:r>
      <w:r>
        <w:rPr>
          <w:rFonts w:hint="eastAsia" w:ascii="宋体" w:hAnsi="宋体"/>
          <w:snapToGrid w:val="0"/>
          <w:kern w:val="0"/>
          <w:szCs w:val="21"/>
          <w:u w:val="single"/>
        </w:rPr>
        <w:t xml:space="preserve"> </w:t>
      </w:r>
      <w:r>
        <w:rPr>
          <w:rFonts w:ascii="宋体" w:hAnsi="宋体"/>
          <w:snapToGrid w:val="0"/>
          <w:kern w:val="0"/>
          <w:szCs w:val="21"/>
          <w:u w:val="single"/>
        </w:rPr>
        <w:t>24</w:t>
      </w:r>
      <w:r>
        <w:rPr>
          <w:rFonts w:hint="eastAsia" w:ascii="宋体" w:hAnsi="宋体"/>
          <w:snapToGrid w:val="0"/>
          <w:kern w:val="0"/>
          <w:szCs w:val="21"/>
          <w:u w:val="single"/>
        </w:rPr>
        <w:t>个月</w:t>
      </w:r>
      <w:bookmarkStart w:id="2383" w:name="_GoBack"/>
      <w:bookmarkEnd w:id="2383"/>
    </w:p>
    <w:p w14:paraId="2C3C65C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r>
        <w:rPr>
          <w:rFonts w:ascii="宋体" w:hAnsi="宋体"/>
          <w:snapToGrid w:val="0"/>
          <w:kern w:val="0"/>
          <w:szCs w:val="21"/>
          <w:u w:val="single"/>
        </w:rPr>
        <w:t>/</w:t>
      </w:r>
      <w:r>
        <w:rPr>
          <w:rFonts w:hint="eastAsia" w:ascii="宋体" w:hAnsi="宋体"/>
          <w:snapToGrid w:val="0"/>
          <w:kern w:val="0"/>
          <w:szCs w:val="21"/>
          <w:u w:val="single"/>
        </w:rPr>
        <w:t xml:space="preserve">    </w:t>
      </w:r>
    </w:p>
    <w:p w14:paraId="0F2BF0E1">
      <w:pPr>
        <w:pStyle w:val="4"/>
        <w:spacing w:before="100" w:after="100" w:line="460" w:lineRule="exact"/>
        <w:rPr>
          <w:rFonts w:ascii="宋体" w:hAnsi="宋体"/>
          <w:snapToGrid w:val="0"/>
          <w:sz w:val="28"/>
          <w:szCs w:val="28"/>
        </w:rPr>
      </w:pPr>
      <w:bookmarkStart w:id="25" w:name="_Toc200359240"/>
      <w:bookmarkStart w:id="26" w:name="_Toc287607730"/>
      <w:bookmarkStart w:id="27" w:name="_Toc430530418"/>
      <w:bookmarkStart w:id="28" w:name="_Toc200359429"/>
      <w:bookmarkStart w:id="29" w:name="_Toc224103301"/>
      <w:bookmarkStart w:id="30" w:name="_Toc509218694"/>
      <w:bookmarkStart w:id="31" w:name="_Toc16457"/>
      <w:bookmarkStart w:id="32" w:name="_Toc277082538"/>
      <w:bookmarkStart w:id="33" w:name="_Toc287620669"/>
      <w:r>
        <w:rPr>
          <w:rFonts w:ascii="宋体" w:hAnsi="宋体"/>
          <w:snapToGrid w:val="0"/>
          <w:sz w:val="28"/>
          <w:szCs w:val="28"/>
        </w:rPr>
        <w:t xml:space="preserve">3. </w:t>
      </w:r>
      <w:r>
        <w:rPr>
          <w:rFonts w:hint="eastAsia" w:ascii="宋体" w:hAnsi="宋体"/>
          <w:snapToGrid w:val="0"/>
          <w:sz w:val="28"/>
          <w:szCs w:val="28"/>
        </w:rPr>
        <w:t xml:space="preserve"> </w:t>
      </w:r>
      <w:r>
        <w:rPr>
          <w:rFonts w:hint="eastAsia" w:ascii="宋体" w:hAnsi="宋体"/>
          <w:snapToGrid w:val="0"/>
          <w:sz w:val="28"/>
          <w:szCs w:val="28"/>
          <w:lang w:eastAsia="zh-CN"/>
        </w:rPr>
        <w:t>竞选</w:t>
      </w:r>
      <w:r>
        <w:rPr>
          <w:rFonts w:ascii="宋体" w:hAnsi="宋体"/>
          <w:snapToGrid w:val="0"/>
          <w:sz w:val="28"/>
          <w:szCs w:val="28"/>
        </w:rPr>
        <w:t>人资格要求</w:t>
      </w:r>
      <w:bookmarkEnd w:id="25"/>
      <w:bookmarkEnd w:id="26"/>
      <w:bookmarkEnd w:id="27"/>
      <w:bookmarkEnd w:id="28"/>
      <w:bookmarkEnd w:id="29"/>
      <w:bookmarkEnd w:id="30"/>
      <w:bookmarkEnd w:id="31"/>
      <w:bookmarkEnd w:id="32"/>
      <w:bookmarkEnd w:id="33"/>
    </w:p>
    <w:p w14:paraId="5CE34E3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w:t>
      </w:r>
      <w:r>
        <w:rPr>
          <w:rFonts w:hint="eastAsia" w:ascii="宋体" w:hAnsi="宋体"/>
          <w:snapToGrid w:val="0"/>
          <w:kern w:val="0"/>
          <w:szCs w:val="21"/>
          <w:lang w:eastAsia="zh-CN"/>
        </w:rPr>
        <w:t>比选</w:t>
      </w:r>
      <w:r>
        <w:rPr>
          <w:rFonts w:ascii="宋体" w:hAnsi="宋体"/>
          <w:snapToGrid w:val="0"/>
          <w:kern w:val="0"/>
          <w:szCs w:val="21"/>
        </w:rPr>
        <w:t>要求</w:t>
      </w:r>
      <w:r>
        <w:rPr>
          <w:rFonts w:hint="eastAsia" w:ascii="宋体" w:hAnsi="宋体"/>
          <w:snapToGrid w:val="0"/>
          <w:kern w:val="0"/>
          <w:szCs w:val="21"/>
          <w:lang w:eastAsia="zh-CN"/>
        </w:rPr>
        <w:t>竞选</w:t>
      </w:r>
      <w:r>
        <w:rPr>
          <w:rFonts w:ascii="宋体" w:hAnsi="宋体"/>
          <w:snapToGrid w:val="0"/>
          <w:kern w:val="0"/>
          <w:szCs w:val="21"/>
        </w:rPr>
        <w:t>人须具备</w:t>
      </w:r>
      <w:r>
        <w:rPr>
          <w:rFonts w:hint="eastAsia" w:ascii="宋体" w:hAnsi="宋体"/>
          <w:snapToGrid w:val="0"/>
          <w:kern w:val="0"/>
          <w:szCs w:val="21"/>
        </w:rPr>
        <w:t>以下条件：</w:t>
      </w:r>
    </w:p>
    <w:p w14:paraId="789C6BC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w:t>
      </w:r>
      <w:r>
        <w:rPr>
          <w:rFonts w:hint="eastAsia" w:ascii="宋体" w:hAnsi="宋体"/>
          <w:snapToGrid w:val="0"/>
          <w:kern w:val="0"/>
          <w:szCs w:val="21"/>
          <w:lang w:eastAsia="zh-CN"/>
        </w:rPr>
        <w:t>比选</w:t>
      </w:r>
      <w:r>
        <w:rPr>
          <w:rFonts w:hint="eastAsia" w:ascii="宋体" w:hAnsi="宋体"/>
          <w:snapToGrid w:val="0"/>
          <w:kern w:val="0"/>
          <w:szCs w:val="21"/>
        </w:rPr>
        <w:t>要求</w:t>
      </w:r>
      <w:r>
        <w:rPr>
          <w:rFonts w:hint="eastAsia" w:ascii="宋体" w:hAnsi="宋体"/>
          <w:snapToGrid w:val="0"/>
          <w:kern w:val="0"/>
          <w:szCs w:val="21"/>
          <w:lang w:eastAsia="zh-CN"/>
        </w:rPr>
        <w:t>竞选</w:t>
      </w:r>
      <w:r>
        <w:rPr>
          <w:rFonts w:hint="eastAsia" w:ascii="宋体" w:hAnsi="宋体"/>
          <w:snapToGrid w:val="0"/>
          <w:kern w:val="0"/>
          <w:szCs w:val="21"/>
        </w:rPr>
        <w:t>人具备的资质条件：</w:t>
      </w:r>
      <w:r>
        <w:rPr>
          <w:rFonts w:hint="eastAsia" w:ascii="宋体" w:hAnsi="宋体"/>
          <w:snapToGrid w:val="0"/>
          <w:kern w:val="0"/>
          <w:szCs w:val="21"/>
          <w:highlight w:val="none"/>
          <w:u w:val="single"/>
        </w:rPr>
        <w:t xml:space="preserve">市政公用工程施工总承包三级及以上 </w:t>
      </w:r>
      <w:r>
        <w:rPr>
          <w:rFonts w:hint="eastAsia" w:ascii="宋体" w:hAnsi="宋体"/>
          <w:snapToGrid w:val="0"/>
          <w:kern w:val="0"/>
          <w:szCs w:val="21"/>
        </w:rPr>
        <w:t>；</w:t>
      </w:r>
    </w:p>
    <w:p w14:paraId="150FA7ED">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rPr>
        <w:t>3.1.</w:t>
      </w:r>
      <w:r>
        <w:rPr>
          <w:rFonts w:ascii="宋体" w:hAnsi="宋体"/>
          <w:snapToGrid w:val="0"/>
          <w:kern w:val="0"/>
          <w:szCs w:val="21"/>
        </w:rPr>
        <w:t>2</w:t>
      </w:r>
      <w:r>
        <w:rPr>
          <w:rFonts w:hint="eastAsia" w:ascii="宋体" w:hAnsi="宋体"/>
          <w:snapToGrid w:val="0"/>
          <w:kern w:val="0"/>
          <w:szCs w:val="21"/>
        </w:rPr>
        <w:t xml:space="preserve"> </w:t>
      </w:r>
      <w:r>
        <w:rPr>
          <w:rFonts w:hint="eastAsia" w:ascii="宋体" w:hAnsi="宋体"/>
          <w:snapToGrid w:val="0"/>
          <w:kern w:val="0"/>
          <w:szCs w:val="21"/>
          <w:lang w:eastAsia="zh-CN"/>
        </w:rPr>
        <w:t>竞选</w:t>
      </w:r>
      <w:r>
        <w:rPr>
          <w:rFonts w:hint="eastAsia" w:ascii="宋体" w:hAnsi="宋体"/>
          <w:snapToGrid w:val="0"/>
          <w:kern w:val="0"/>
          <w:szCs w:val="21"/>
        </w:rPr>
        <w:t>人还应在人员、设备、资金等方面具有相应的施工能力，详见</w:t>
      </w:r>
      <w:r>
        <w:rPr>
          <w:rFonts w:hint="eastAsia" w:ascii="宋体" w:hAnsi="宋体"/>
          <w:snapToGrid w:val="0"/>
          <w:kern w:val="0"/>
          <w:szCs w:val="21"/>
          <w:lang w:eastAsia="zh-CN"/>
        </w:rPr>
        <w:t>比选</w:t>
      </w:r>
      <w:r>
        <w:rPr>
          <w:rFonts w:hint="eastAsia" w:ascii="宋体" w:hAnsi="宋体"/>
          <w:snapToGrid w:val="0"/>
          <w:kern w:val="0"/>
          <w:szCs w:val="21"/>
        </w:rPr>
        <w:t>文件第二章</w:t>
      </w:r>
      <w:r>
        <w:rPr>
          <w:rFonts w:hint="eastAsia" w:ascii="宋体" w:hAnsi="宋体"/>
          <w:snapToGrid w:val="0"/>
          <w:kern w:val="0"/>
          <w:szCs w:val="21"/>
          <w:lang w:eastAsia="zh-CN"/>
        </w:rPr>
        <w:t>竞选</w:t>
      </w:r>
      <w:r>
        <w:rPr>
          <w:rFonts w:hint="eastAsia" w:ascii="宋体" w:hAnsi="宋体"/>
          <w:snapToGrid w:val="0"/>
          <w:kern w:val="0"/>
          <w:szCs w:val="21"/>
        </w:rPr>
        <w:t>人须知前附表第1.4.1项内容。</w:t>
      </w:r>
    </w:p>
    <w:p w14:paraId="4FAC48A9">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ascii="宋体" w:hAnsi="宋体"/>
          <w:snapToGrid w:val="0"/>
          <w:kern w:val="0"/>
          <w:szCs w:val="21"/>
        </w:rPr>
        <w:t>3.2</w:t>
      </w:r>
      <w:r>
        <w:rPr>
          <w:rFonts w:ascii="宋体" w:hAnsi="宋体"/>
          <w:snapToGrid w:val="0"/>
          <w:kern w:val="0"/>
          <w:szCs w:val="21"/>
          <w:highlight w:val="none"/>
        </w:rPr>
        <w:t xml:space="preserve">  本次</w:t>
      </w:r>
      <w:r>
        <w:rPr>
          <w:rFonts w:hint="eastAsia" w:ascii="宋体" w:hAnsi="宋体"/>
          <w:snapToGrid w:val="0"/>
          <w:kern w:val="0"/>
          <w:szCs w:val="21"/>
          <w:highlight w:val="none"/>
          <w:lang w:eastAsia="zh-CN"/>
        </w:rPr>
        <w:t>比选</w:t>
      </w:r>
      <w:r>
        <w:rPr>
          <w:rFonts w:hint="eastAsia" w:ascii="宋体" w:hAnsi="宋体"/>
          <w:snapToGrid w:val="0"/>
          <w:kern w:val="0"/>
          <w:szCs w:val="21"/>
          <w:highlight w:val="none"/>
        </w:rPr>
        <w:t>不接受</w:t>
      </w:r>
      <w:r>
        <w:rPr>
          <w:rFonts w:ascii="宋体" w:hAnsi="宋体"/>
          <w:snapToGrid w:val="0"/>
          <w:kern w:val="0"/>
          <w:szCs w:val="21"/>
          <w:highlight w:val="none"/>
        </w:rPr>
        <w:t>联合体</w:t>
      </w:r>
      <w:r>
        <w:rPr>
          <w:rFonts w:hint="eastAsia" w:ascii="宋体" w:hAnsi="宋体"/>
          <w:snapToGrid w:val="0"/>
          <w:kern w:val="0"/>
          <w:szCs w:val="21"/>
          <w:highlight w:val="none"/>
          <w:lang w:eastAsia="zh-CN"/>
        </w:rPr>
        <w:t>竞选</w:t>
      </w:r>
      <w:r>
        <w:rPr>
          <w:rFonts w:ascii="宋体" w:hAnsi="宋体"/>
          <w:snapToGrid w:val="0"/>
          <w:kern w:val="0"/>
          <w:szCs w:val="21"/>
          <w:highlight w:val="none"/>
        </w:rPr>
        <w:t>。</w:t>
      </w:r>
    </w:p>
    <w:p w14:paraId="492D6EF2">
      <w:pPr>
        <w:pStyle w:val="4"/>
        <w:spacing w:before="100" w:after="100" w:line="460" w:lineRule="exact"/>
        <w:rPr>
          <w:rFonts w:ascii="宋体" w:hAnsi="宋体"/>
          <w:snapToGrid w:val="0"/>
          <w:sz w:val="28"/>
          <w:szCs w:val="28"/>
        </w:rPr>
      </w:pPr>
      <w:bookmarkStart w:id="34" w:name="_Toc200359430"/>
      <w:bookmarkStart w:id="35" w:name="_Toc200359241"/>
      <w:bookmarkStart w:id="36" w:name="_Toc287620670"/>
      <w:bookmarkStart w:id="37" w:name="_Toc14585"/>
      <w:bookmarkStart w:id="38" w:name="_Toc287607731"/>
      <w:bookmarkStart w:id="39" w:name="_Toc509218695"/>
      <w:bookmarkStart w:id="40" w:name="_Toc277082539"/>
      <w:bookmarkStart w:id="41" w:name="_Toc430530419"/>
      <w:bookmarkStart w:id="42" w:name="_Toc224103302"/>
      <w:r>
        <w:rPr>
          <w:rFonts w:ascii="宋体" w:hAnsi="宋体"/>
          <w:snapToGrid w:val="0"/>
          <w:sz w:val="28"/>
          <w:szCs w:val="28"/>
        </w:rPr>
        <w:t xml:space="preserve">4. </w:t>
      </w:r>
      <w:r>
        <w:rPr>
          <w:rFonts w:hint="eastAsia" w:ascii="宋体" w:hAnsi="宋体"/>
          <w:snapToGrid w:val="0"/>
          <w:sz w:val="28"/>
          <w:szCs w:val="28"/>
        </w:rPr>
        <w:t xml:space="preserve"> </w:t>
      </w:r>
      <w:r>
        <w:rPr>
          <w:rFonts w:hint="eastAsia" w:ascii="宋体" w:hAnsi="宋体"/>
          <w:snapToGrid w:val="0"/>
          <w:sz w:val="28"/>
          <w:szCs w:val="28"/>
          <w:lang w:eastAsia="zh-CN"/>
        </w:rPr>
        <w:t>比选</w:t>
      </w:r>
      <w:r>
        <w:rPr>
          <w:rFonts w:ascii="宋体" w:hAnsi="宋体"/>
          <w:snapToGrid w:val="0"/>
          <w:sz w:val="28"/>
          <w:szCs w:val="28"/>
        </w:rPr>
        <w:t>文件的获取</w:t>
      </w:r>
      <w:bookmarkEnd w:id="34"/>
      <w:bookmarkEnd w:id="35"/>
      <w:bookmarkEnd w:id="36"/>
      <w:bookmarkEnd w:id="37"/>
      <w:bookmarkEnd w:id="38"/>
      <w:bookmarkEnd w:id="39"/>
      <w:bookmarkEnd w:id="40"/>
      <w:bookmarkEnd w:id="41"/>
      <w:bookmarkEnd w:id="42"/>
    </w:p>
    <w:p w14:paraId="6DD597C9">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4.1</w:t>
      </w:r>
      <w:r>
        <w:rPr>
          <w:rFonts w:ascii="宋体" w:hAnsi="宋体"/>
          <w:snapToGrid w:val="0"/>
          <w:kern w:val="0"/>
          <w:szCs w:val="21"/>
        </w:rPr>
        <w:t>本</w:t>
      </w:r>
      <w:r>
        <w:rPr>
          <w:rFonts w:hint="eastAsia" w:ascii="宋体" w:hAnsi="宋体"/>
          <w:snapToGrid w:val="0"/>
          <w:kern w:val="0"/>
          <w:szCs w:val="21"/>
          <w:lang w:eastAsia="zh-CN"/>
        </w:rPr>
        <w:t>比选</w:t>
      </w:r>
      <w:r>
        <w:rPr>
          <w:rFonts w:ascii="宋体" w:hAnsi="宋体"/>
          <w:snapToGrid w:val="0"/>
          <w:kern w:val="0"/>
          <w:szCs w:val="21"/>
        </w:rPr>
        <w:t>项目</w:t>
      </w:r>
      <w:r>
        <w:rPr>
          <w:rFonts w:hint="eastAsia" w:ascii="宋体" w:hAnsi="宋体"/>
          <w:snapToGrid w:val="0"/>
          <w:kern w:val="0"/>
          <w:szCs w:val="21"/>
        </w:rPr>
        <w:t>自行递交</w:t>
      </w:r>
      <w:r>
        <w:rPr>
          <w:rFonts w:hint="eastAsia" w:ascii="宋体" w:hAnsi="宋体"/>
          <w:snapToGrid w:val="0"/>
          <w:kern w:val="0"/>
          <w:szCs w:val="21"/>
          <w:lang w:eastAsia="zh-CN"/>
        </w:rPr>
        <w:t>比选</w:t>
      </w:r>
      <w:r>
        <w:rPr>
          <w:rFonts w:hint="eastAsia" w:ascii="宋体" w:hAnsi="宋体"/>
          <w:snapToGrid w:val="0"/>
          <w:kern w:val="0"/>
          <w:szCs w:val="21"/>
        </w:rPr>
        <w:t>文件</w:t>
      </w:r>
      <w:r>
        <w:rPr>
          <w:rFonts w:ascii="宋体" w:hAnsi="宋体"/>
          <w:snapToGrid w:val="0"/>
          <w:kern w:val="0"/>
          <w:szCs w:val="21"/>
        </w:rPr>
        <w:t>，</w:t>
      </w:r>
      <w:r>
        <w:rPr>
          <w:rFonts w:hint="eastAsia" w:ascii="宋体" w:hAnsi="宋体"/>
          <w:snapToGrid w:val="0"/>
          <w:kern w:val="0"/>
          <w:szCs w:val="21"/>
          <w:lang w:eastAsia="zh-CN"/>
        </w:rPr>
        <w:t>竞选</w:t>
      </w:r>
      <w:r>
        <w:rPr>
          <w:rFonts w:ascii="宋体" w:hAnsi="宋体"/>
          <w:snapToGrid w:val="0"/>
          <w:kern w:val="0"/>
          <w:szCs w:val="21"/>
        </w:rPr>
        <w:t>人在</w:t>
      </w:r>
      <w:r>
        <w:rPr>
          <w:rFonts w:hint="eastAsia" w:ascii="宋体" w:hAnsi="宋体"/>
          <w:snapToGrid w:val="0"/>
          <w:kern w:val="0"/>
          <w:szCs w:val="21"/>
          <w:lang w:eastAsia="zh-CN"/>
        </w:rPr>
        <w:t>竞选</w:t>
      </w:r>
      <w:r>
        <w:rPr>
          <w:rFonts w:ascii="宋体" w:hAnsi="宋体"/>
          <w:snapToGrid w:val="0"/>
          <w:kern w:val="0"/>
          <w:szCs w:val="21"/>
        </w:rPr>
        <w:t>前可在</w:t>
      </w:r>
      <w:r>
        <w:rPr>
          <w:rFonts w:hint="eastAsia" w:ascii="宋体" w:hAnsi="宋体"/>
          <w:snapToGrid w:val="0"/>
          <w:kern w:val="0"/>
          <w:szCs w:val="21"/>
        </w:rPr>
        <w:t>重庆经开区投资集团官网</w:t>
      </w:r>
      <w:r>
        <w:rPr>
          <w:rFonts w:hint="eastAsia" w:ascii="宋体" w:hAnsi="宋体"/>
          <w:snapToGrid w:val="0"/>
          <w:kern w:val="0"/>
          <w:szCs w:val="21"/>
          <w:u w:val="single"/>
        </w:rPr>
        <w:t>（</w:t>
      </w:r>
      <w:r>
        <w:fldChar w:fldCharType="begin"/>
      </w:r>
      <w:r>
        <w:instrText xml:space="preserve"> HYPERLINK "http://www.cetzig.com/" </w:instrText>
      </w:r>
      <w:r>
        <w:fldChar w:fldCharType="separate"/>
      </w:r>
      <w:r>
        <w:rPr>
          <w:rFonts w:ascii="宋体" w:hAnsi="宋体"/>
          <w:snapToGrid w:val="0"/>
          <w:kern w:val="0"/>
          <w:szCs w:val="21"/>
          <w:u w:val="single"/>
        </w:rPr>
        <w:t>http://www.cetzig.com/</w:t>
      </w:r>
      <w:r>
        <w:rPr>
          <w:rFonts w:ascii="宋体" w:hAnsi="宋体"/>
          <w:snapToGrid w:val="0"/>
          <w:kern w:val="0"/>
          <w:szCs w:val="21"/>
          <w:u w:val="single"/>
        </w:rPr>
        <w:fldChar w:fldCharType="end"/>
      </w:r>
      <w:r>
        <w:rPr>
          <w:rFonts w:hint="eastAsia" w:ascii="宋体" w:hAnsi="宋体"/>
          <w:snapToGrid w:val="0"/>
          <w:kern w:val="0"/>
          <w:szCs w:val="21"/>
          <w:u w:val="single"/>
        </w:rPr>
        <w:t>）</w:t>
      </w:r>
      <w:r>
        <w:rPr>
          <w:rFonts w:ascii="宋体" w:hAnsi="宋体"/>
          <w:snapToGrid w:val="0"/>
          <w:kern w:val="0"/>
          <w:szCs w:val="21"/>
        </w:rPr>
        <w:t>下载</w:t>
      </w:r>
      <w:r>
        <w:rPr>
          <w:rFonts w:hint="eastAsia" w:ascii="宋体" w:hAnsi="宋体"/>
          <w:snapToGrid w:val="0"/>
          <w:kern w:val="0"/>
          <w:szCs w:val="21"/>
          <w:lang w:eastAsia="zh-CN"/>
        </w:rPr>
        <w:t>比选</w:t>
      </w:r>
      <w:r>
        <w:rPr>
          <w:rFonts w:ascii="宋体" w:hAnsi="宋体"/>
          <w:snapToGrid w:val="0"/>
          <w:kern w:val="0"/>
          <w:szCs w:val="21"/>
        </w:rPr>
        <w:t>文件、工程量清单、电子图纸等资料。</w:t>
      </w:r>
    </w:p>
    <w:p w14:paraId="609BED0D">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 xml:space="preserve">4.2  </w:t>
      </w:r>
      <w:r>
        <w:rPr>
          <w:rFonts w:hint="eastAsia" w:ascii="宋体" w:hAnsi="宋体"/>
          <w:snapToGrid w:val="0"/>
          <w:kern w:val="0"/>
          <w:szCs w:val="21"/>
          <w:lang w:eastAsia="zh-CN"/>
        </w:rPr>
        <w:t>竞选</w:t>
      </w:r>
      <w:r>
        <w:rPr>
          <w:rFonts w:hint="eastAsia" w:ascii="宋体" w:hAnsi="宋体"/>
          <w:snapToGrid w:val="0"/>
          <w:kern w:val="0"/>
          <w:szCs w:val="21"/>
        </w:rPr>
        <w:t>人可通过</w:t>
      </w:r>
      <w:r>
        <w:rPr>
          <w:rFonts w:hint="eastAsia" w:ascii="宋体" w:hAnsi="宋体"/>
          <w:snapToGrid w:val="0"/>
          <w:kern w:val="0"/>
          <w:szCs w:val="21"/>
          <w:lang w:eastAsia="zh-CN"/>
        </w:rPr>
        <w:t>比选</w:t>
      </w:r>
      <w:r>
        <w:rPr>
          <w:rFonts w:hint="eastAsia" w:ascii="宋体" w:hAnsi="宋体"/>
          <w:snapToGrid w:val="0"/>
          <w:kern w:val="0"/>
          <w:szCs w:val="21"/>
        </w:rPr>
        <w:t>公告中的</w:t>
      </w:r>
      <w:r>
        <w:rPr>
          <w:rFonts w:hint="eastAsia" w:ascii="宋体" w:hAnsi="宋体"/>
          <w:snapToGrid w:val="0"/>
          <w:kern w:val="0"/>
          <w:szCs w:val="21"/>
          <w:lang w:eastAsia="zh-CN"/>
        </w:rPr>
        <w:t>邮箱地址</w:t>
      </w:r>
      <w:r>
        <w:rPr>
          <w:rFonts w:hint="eastAsia" w:ascii="宋体" w:hAnsi="宋体"/>
          <w:snapToGrid w:val="0"/>
          <w:kern w:val="0"/>
          <w:szCs w:val="21"/>
        </w:rPr>
        <w:t>书面递交对</w:t>
      </w:r>
      <w:r>
        <w:rPr>
          <w:rFonts w:hint="eastAsia" w:ascii="宋体" w:hAnsi="宋体"/>
          <w:snapToGrid w:val="0"/>
          <w:kern w:val="0"/>
          <w:szCs w:val="21"/>
          <w:highlight w:val="none"/>
          <w:u w:val="single"/>
          <w:lang w:eastAsia="zh-CN"/>
        </w:rPr>
        <w:t>经开区社会停车场（长生桥镇）项目</w:t>
      </w:r>
      <w:r>
        <w:rPr>
          <w:rFonts w:hint="eastAsia" w:ascii="宋体" w:hAnsi="宋体"/>
          <w:snapToGrid w:val="0"/>
          <w:kern w:val="0"/>
          <w:szCs w:val="21"/>
        </w:rPr>
        <w:t>提出疑问，提问截止时间为公告公示后第二天。（提示：公告公示后第二天结束后，不再接收任何书面质疑。）</w:t>
      </w:r>
    </w:p>
    <w:p w14:paraId="6F56AEE6">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rPr>
        <w:t xml:space="preserve">4.3  </w:t>
      </w:r>
      <w:r>
        <w:rPr>
          <w:rFonts w:hint="eastAsia" w:ascii="宋体" w:hAnsi="宋体"/>
          <w:snapToGrid w:val="0"/>
          <w:kern w:val="0"/>
          <w:szCs w:val="21"/>
          <w:lang w:eastAsia="zh-CN"/>
        </w:rPr>
        <w:t>比选</w:t>
      </w:r>
      <w:r>
        <w:rPr>
          <w:rFonts w:hint="eastAsia" w:ascii="宋体" w:hAnsi="宋体"/>
          <w:snapToGrid w:val="0"/>
          <w:kern w:val="0"/>
          <w:szCs w:val="21"/>
        </w:rPr>
        <w:t>人应于</w:t>
      </w:r>
      <w:r>
        <w:rPr>
          <w:rFonts w:hint="eastAsia" w:ascii="宋体" w:hAnsi="宋体" w:cs="宋体"/>
          <w:kern w:val="0"/>
          <w:szCs w:val="21"/>
          <w:u w:val="single"/>
        </w:rPr>
        <w:t>公告公示后第三天</w:t>
      </w:r>
      <w:r>
        <w:rPr>
          <w:rFonts w:hint="eastAsia" w:ascii="宋体" w:hAnsi="宋体"/>
          <w:snapToGrid w:val="0"/>
          <w:kern w:val="0"/>
          <w:szCs w:val="21"/>
        </w:rPr>
        <w:t>在重庆经开区投资集团官网</w:t>
      </w:r>
      <w:r>
        <w:rPr>
          <w:rFonts w:hint="eastAsia" w:ascii="宋体" w:hAnsi="宋体"/>
          <w:snapToGrid w:val="0"/>
          <w:kern w:val="0"/>
          <w:szCs w:val="21"/>
          <w:u w:val="single"/>
        </w:rPr>
        <w:t>（</w:t>
      </w:r>
      <w:r>
        <w:fldChar w:fldCharType="begin"/>
      </w:r>
      <w:r>
        <w:instrText xml:space="preserve"> HYPERLINK "http://www.cetzig.com/" </w:instrText>
      </w:r>
      <w:r>
        <w:fldChar w:fldCharType="separate"/>
      </w:r>
      <w:r>
        <w:rPr>
          <w:rFonts w:ascii="宋体" w:hAnsi="宋体"/>
          <w:snapToGrid w:val="0"/>
          <w:kern w:val="0"/>
          <w:szCs w:val="21"/>
          <w:u w:val="single"/>
        </w:rPr>
        <w:t>http://www.cetzig.com/</w:t>
      </w:r>
      <w:r>
        <w:rPr>
          <w:rFonts w:ascii="宋体" w:hAnsi="宋体"/>
          <w:snapToGrid w:val="0"/>
          <w:kern w:val="0"/>
          <w:szCs w:val="21"/>
          <w:u w:val="single"/>
        </w:rPr>
        <w:fldChar w:fldCharType="end"/>
      </w:r>
      <w:r>
        <w:rPr>
          <w:rFonts w:hint="eastAsia" w:ascii="宋体" w:hAnsi="宋体"/>
          <w:snapToGrid w:val="0"/>
          <w:kern w:val="0"/>
          <w:szCs w:val="21"/>
          <w:u w:val="single"/>
        </w:rPr>
        <w:t>）</w:t>
      </w:r>
      <w:r>
        <w:rPr>
          <w:rFonts w:hint="eastAsia" w:ascii="宋体" w:hAnsi="宋体"/>
          <w:snapToGrid w:val="0"/>
          <w:kern w:val="0"/>
          <w:szCs w:val="21"/>
        </w:rPr>
        <w:t>发布澄清。</w:t>
      </w:r>
    </w:p>
    <w:p w14:paraId="391DBCC9">
      <w:pPr>
        <w:pStyle w:val="4"/>
        <w:spacing w:before="100" w:after="100" w:line="460" w:lineRule="exact"/>
        <w:rPr>
          <w:rFonts w:ascii="宋体" w:hAnsi="宋体"/>
          <w:snapToGrid w:val="0"/>
          <w:sz w:val="28"/>
          <w:szCs w:val="28"/>
        </w:rPr>
      </w:pPr>
      <w:bookmarkStart w:id="43" w:name="_Toc224103303"/>
      <w:bookmarkStart w:id="44" w:name="_Toc8046"/>
      <w:bookmarkStart w:id="45" w:name="_Toc287620671"/>
      <w:bookmarkStart w:id="46" w:name="_Toc287607732"/>
      <w:bookmarkStart w:id="47" w:name="_Toc509218696"/>
      <w:bookmarkStart w:id="48" w:name="_Toc277082540"/>
      <w:bookmarkStart w:id="49" w:name="_Toc430530420"/>
      <w:bookmarkStart w:id="50" w:name="_Toc200359242"/>
      <w:bookmarkStart w:id="51" w:name="_Toc200359431"/>
      <w:r>
        <w:rPr>
          <w:rFonts w:ascii="宋体" w:hAnsi="宋体"/>
          <w:snapToGrid w:val="0"/>
          <w:sz w:val="28"/>
          <w:szCs w:val="28"/>
        </w:rPr>
        <w:t xml:space="preserve">5. </w:t>
      </w:r>
      <w:r>
        <w:rPr>
          <w:rFonts w:hint="eastAsia" w:ascii="宋体" w:hAnsi="宋体"/>
          <w:snapToGrid w:val="0"/>
          <w:sz w:val="28"/>
          <w:szCs w:val="28"/>
        </w:rPr>
        <w:t xml:space="preserve"> </w:t>
      </w:r>
      <w:r>
        <w:rPr>
          <w:rFonts w:hint="eastAsia" w:ascii="宋体" w:hAnsi="宋体"/>
          <w:snapToGrid w:val="0"/>
          <w:sz w:val="28"/>
          <w:szCs w:val="28"/>
          <w:lang w:eastAsia="zh-CN"/>
        </w:rPr>
        <w:t>竞选</w:t>
      </w:r>
      <w:r>
        <w:rPr>
          <w:rFonts w:ascii="宋体" w:hAnsi="宋体"/>
          <w:snapToGrid w:val="0"/>
          <w:sz w:val="28"/>
          <w:szCs w:val="28"/>
        </w:rPr>
        <w:t>文件的递交</w:t>
      </w:r>
      <w:bookmarkEnd w:id="43"/>
      <w:bookmarkEnd w:id="44"/>
      <w:bookmarkEnd w:id="45"/>
      <w:bookmarkEnd w:id="46"/>
      <w:bookmarkEnd w:id="47"/>
      <w:bookmarkEnd w:id="48"/>
      <w:bookmarkEnd w:id="49"/>
      <w:bookmarkEnd w:id="50"/>
      <w:bookmarkEnd w:id="51"/>
    </w:p>
    <w:p w14:paraId="1A4DAF15">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 xml:space="preserve">5.1  </w:t>
      </w:r>
      <w:r>
        <w:rPr>
          <w:rFonts w:hint="eastAsia" w:ascii="宋体" w:hAnsi="宋体"/>
          <w:snapToGrid w:val="0"/>
          <w:kern w:val="0"/>
          <w:szCs w:val="21"/>
          <w:lang w:eastAsia="zh-CN"/>
        </w:rPr>
        <w:t>竞选</w:t>
      </w:r>
      <w:r>
        <w:rPr>
          <w:rFonts w:ascii="宋体" w:hAnsi="宋体"/>
          <w:snapToGrid w:val="0"/>
          <w:kern w:val="0"/>
          <w:szCs w:val="21"/>
        </w:rPr>
        <w:t>文件递交的截止时间（</w:t>
      </w:r>
      <w:r>
        <w:rPr>
          <w:rFonts w:hint="eastAsia" w:ascii="宋体" w:hAnsi="宋体"/>
          <w:snapToGrid w:val="0"/>
          <w:kern w:val="0"/>
          <w:szCs w:val="21"/>
          <w:lang w:eastAsia="zh-CN"/>
        </w:rPr>
        <w:t>竞选</w:t>
      </w:r>
      <w:r>
        <w:rPr>
          <w:rFonts w:ascii="宋体" w:hAnsi="宋体"/>
          <w:snapToGrid w:val="0"/>
          <w:kern w:val="0"/>
          <w:szCs w:val="21"/>
        </w:rPr>
        <w:t>截止时间，下同）为</w:t>
      </w:r>
      <w:r>
        <w:rPr>
          <w:rFonts w:ascii="宋体" w:hAnsi="宋体"/>
          <w:kern w:val="0"/>
          <w:szCs w:val="21"/>
          <w:highlight w:val="none"/>
          <w:u w:val="single"/>
        </w:rPr>
        <w:t>202</w:t>
      </w:r>
      <w:r>
        <w:rPr>
          <w:rFonts w:hint="eastAsia" w:ascii="宋体" w:hAnsi="宋体"/>
          <w:kern w:val="0"/>
          <w:szCs w:val="21"/>
          <w:highlight w:val="none"/>
          <w:u w:val="single"/>
          <w:lang w:val="en-US" w:eastAsia="zh-CN"/>
        </w:rPr>
        <w:t>6</w:t>
      </w:r>
      <w:r>
        <w:rPr>
          <w:rFonts w:ascii="宋体" w:hAnsi="宋体"/>
          <w:kern w:val="0"/>
          <w:szCs w:val="21"/>
          <w:highlight w:val="none"/>
          <w:u w:val="single"/>
        </w:rPr>
        <w:t>年</w:t>
      </w:r>
      <w:r>
        <w:rPr>
          <w:rFonts w:hint="eastAsia" w:ascii="宋体" w:hAnsi="宋体"/>
          <w:kern w:val="0"/>
          <w:szCs w:val="21"/>
          <w:highlight w:val="none"/>
          <w:u w:val="single"/>
          <w:lang w:val="en-US" w:eastAsia="zh-CN"/>
        </w:rPr>
        <w:t xml:space="preserve"> 9 </w:t>
      </w:r>
      <w:r>
        <w:rPr>
          <w:rFonts w:ascii="宋体" w:hAnsi="宋体"/>
          <w:kern w:val="0"/>
          <w:szCs w:val="21"/>
          <w:highlight w:val="none"/>
          <w:u w:val="single"/>
        </w:rPr>
        <w:t>月</w:t>
      </w:r>
      <w:r>
        <w:rPr>
          <w:rFonts w:hint="eastAsia" w:ascii="宋体" w:hAnsi="宋体"/>
          <w:kern w:val="0"/>
          <w:szCs w:val="21"/>
          <w:highlight w:val="none"/>
          <w:u w:val="single"/>
          <w:lang w:val="en-US" w:eastAsia="zh-CN"/>
        </w:rPr>
        <w:t xml:space="preserve"> 4 </w:t>
      </w:r>
      <w:r>
        <w:rPr>
          <w:rFonts w:ascii="宋体" w:hAnsi="宋体"/>
          <w:kern w:val="0"/>
          <w:szCs w:val="21"/>
          <w:highlight w:val="none"/>
          <w:u w:val="single"/>
        </w:rPr>
        <w:t>日</w:t>
      </w:r>
      <w:r>
        <w:rPr>
          <w:rFonts w:hint="eastAsia" w:ascii="宋体" w:hAnsi="宋体"/>
          <w:kern w:val="0"/>
          <w:szCs w:val="21"/>
          <w:highlight w:val="none"/>
          <w:u w:val="single"/>
          <w:lang w:val="en-US" w:eastAsia="zh-CN"/>
        </w:rPr>
        <w:t xml:space="preserve"> 9 </w:t>
      </w:r>
      <w:r>
        <w:rPr>
          <w:rFonts w:ascii="宋体" w:hAnsi="宋体"/>
          <w:kern w:val="0"/>
          <w:szCs w:val="21"/>
          <w:highlight w:val="none"/>
          <w:u w:val="single"/>
        </w:rPr>
        <w:t>时</w:t>
      </w:r>
      <w:r>
        <w:rPr>
          <w:rFonts w:hint="eastAsia" w:ascii="宋体" w:hAnsi="宋体"/>
          <w:kern w:val="0"/>
          <w:szCs w:val="21"/>
          <w:highlight w:val="none"/>
          <w:u w:val="single"/>
          <w:lang w:val="en-US" w:eastAsia="zh-CN"/>
        </w:rPr>
        <w:t xml:space="preserve"> 30 </w:t>
      </w:r>
      <w:r>
        <w:rPr>
          <w:rFonts w:ascii="宋体" w:hAnsi="宋体"/>
          <w:kern w:val="0"/>
          <w:szCs w:val="21"/>
          <w:highlight w:val="none"/>
          <w:u w:val="single"/>
        </w:rPr>
        <w:t>分</w:t>
      </w:r>
      <w:r>
        <w:rPr>
          <w:rFonts w:ascii="宋体" w:hAnsi="宋体"/>
          <w:snapToGrid w:val="0"/>
          <w:kern w:val="0"/>
          <w:szCs w:val="21"/>
          <w:highlight w:val="none"/>
          <w:u w:val="single"/>
        </w:rPr>
        <w:t>，</w:t>
      </w:r>
      <w:r>
        <w:rPr>
          <w:rFonts w:hint="eastAsia" w:ascii="宋体" w:hAnsi="宋体"/>
          <w:snapToGrid w:val="0"/>
          <w:kern w:val="0"/>
          <w:szCs w:val="21"/>
          <w:lang w:eastAsia="zh-CN"/>
        </w:rPr>
        <w:t>竞选</w:t>
      </w:r>
      <w:r>
        <w:rPr>
          <w:rFonts w:hint="eastAsia" w:ascii="宋体" w:hAnsi="宋体"/>
          <w:snapToGrid w:val="0"/>
          <w:kern w:val="0"/>
          <w:szCs w:val="21"/>
        </w:rPr>
        <w:t>人应当在</w:t>
      </w:r>
      <w:r>
        <w:rPr>
          <w:rFonts w:hint="eastAsia" w:ascii="宋体" w:hAnsi="宋体"/>
          <w:snapToGrid w:val="0"/>
          <w:kern w:val="0"/>
          <w:szCs w:val="21"/>
          <w:lang w:eastAsia="zh-CN"/>
        </w:rPr>
        <w:t>竞选</w:t>
      </w:r>
      <w:r>
        <w:rPr>
          <w:rFonts w:hint="eastAsia" w:ascii="宋体" w:hAnsi="宋体"/>
          <w:snapToGrid w:val="0"/>
          <w:kern w:val="0"/>
          <w:szCs w:val="21"/>
        </w:rPr>
        <w:t>截止时间前，递交至重庆市南岸区茶园江桥路一号附1号</w:t>
      </w:r>
      <w:r>
        <w:rPr>
          <w:rFonts w:hint="eastAsia" w:ascii="宋体" w:hAnsi="宋体"/>
          <w:snapToGrid w:val="0"/>
          <w:kern w:val="0"/>
          <w:szCs w:val="21"/>
          <w:lang w:val="en-US" w:eastAsia="zh-CN"/>
        </w:rPr>
        <w:t>14楼会议室</w:t>
      </w:r>
      <w:r>
        <w:rPr>
          <w:rFonts w:hint="eastAsia" w:ascii="宋体" w:hAnsi="宋体"/>
          <w:snapToGrid w:val="0"/>
          <w:kern w:val="0"/>
          <w:szCs w:val="21"/>
        </w:rPr>
        <w:t>。</w:t>
      </w:r>
    </w:p>
    <w:p w14:paraId="11B8CFF4">
      <w:pPr>
        <w:pStyle w:val="4"/>
        <w:spacing w:before="100" w:after="100" w:line="460" w:lineRule="exact"/>
        <w:rPr>
          <w:rFonts w:ascii="宋体" w:hAnsi="宋体"/>
          <w:snapToGrid w:val="0"/>
          <w:sz w:val="28"/>
          <w:szCs w:val="28"/>
        </w:rPr>
      </w:pPr>
      <w:bookmarkStart w:id="52" w:name="_Toc509218698"/>
      <w:bookmarkStart w:id="53" w:name="_Toc18038"/>
      <w:bookmarkStart w:id="54" w:name="_Toc277082542"/>
      <w:bookmarkStart w:id="55" w:name="_Toc224103305"/>
      <w:bookmarkStart w:id="56" w:name="_Toc287620673"/>
      <w:bookmarkStart w:id="57" w:name="_Toc287607734"/>
      <w:bookmarkStart w:id="58" w:name="_Toc430530422"/>
      <w:r>
        <w:rPr>
          <w:rFonts w:ascii="宋体" w:hAnsi="宋体"/>
          <w:snapToGrid w:val="0"/>
          <w:sz w:val="28"/>
          <w:szCs w:val="28"/>
        </w:rPr>
        <w:t xml:space="preserve">6. </w:t>
      </w:r>
      <w:r>
        <w:rPr>
          <w:rFonts w:hint="eastAsia" w:ascii="宋体" w:hAnsi="宋体"/>
          <w:snapToGrid w:val="0"/>
          <w:sz w:val="28"/>
          <w:szCs w:val="28"/>
        </w:rPr>
        <w:t xml:space="preserve"> </w:t>
      </w:r>
      <w:r>
        <w:rPr>
          <w:rFonts w:ascii="宋体" w:hAnsi="宋体"/>
          <w:snapToGrid w:val="0"/>
          <w:sz w:val="28"/>
          <w:szCs w:val="28"/>
        </w:rPr>
        <w:t>联系方式</w:t>
      </w:r>
      <w:bookmarkEnd w:id="52"/>
      <w:bookmarkEnd w:id="53"/>
      <w:bookmarkEnd w:id="54"/>
      <w:bookmarkEnd w:id="55"/>
      <w:bookmarkEnd w:id="56"/>
      <w:bookmarkEnd w:id="57"/>
      <w:bookmarkEnd w:id="58"/>
    </w:p>
    <w:p w14:paraId="0EF59AB3">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重庆经开区开发建设有限公司 </w:t>
      </w:r>
      <w:r>
        <w:rPr>
          <w:rFonts w:ascii="宋体" w:hAnsi="宋体"/>
          <w:snapToGrid w:val="0"/>
          <w:kern w:val="0"/>
          <w:szCs w:val="21"/>
        </w:rPr>
        <w:t xml:space="preserve">     </w:t>
      </w:r>
    </w:p>
    <w:p w14:paraId="6B755F9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hint="eastAsia" w:ascii="宋体" w:hAnsi="宋体"/>
          <w:snapToGrid w:val="0"/>
          <w:kern w:val="0"/>
          <w:szCs w:val="21"/>
          <w:u w:val="single"/>
        </w:rPr>
        <w:t>重庆市南岸区茶园江桥路一号附1号</w:t>
      </w:r>
      <w:r>
        <w:rPr>
          <w:rFonts w:ascii="宋体" w:hAnsi="宋体"/>
          <w:snapToGrid w:val="0"/>
          <w:kern w:val="0"/>
          <w:szCs w:val="21"/>
          <w:u w:val="single"/>
        </w:rPr>
        <w:t xml:space="preserve">  </w:t>
      </w:r>
      <w:r>
        <w:rPr>
          <w:rFonts w:ascii="宋体" w:hAnsi="宋体"/>
          <w:snapToGrid w:val="0"/>
          <w:kern w:val="0"/>
          <w:szCs w:val="21"/>
        </w:rPr>
        <w:t xml:space="preserve">     </w:t>
      </w:r>
    </w:p>
    <w:p w14:paraId="54108C1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400060                </w:t>
      </w:r>
      <w:r>
        <w:rPr>
          <w:rFonts w:ascii="宋体" w:hAnsi="宋体"/>
          <w:snapToGrid w:val="0"/>
          <w:kern w:val="0"/>
          <w:szCs w:val="21"/>
        </w:rPr>
        <w:t xml:space="preserve">     </w:t>
      </w:r>
    </w:p>
    <w:p w14:paraId="1424588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hint="eastAsia" w:ascii="宋体" w:hAnsi="宋体"/>
          <w:snapToGrid w:val="0"/>
          <w:kern w:val="0"/>
          <w:szCs w:val="21"/>
          <w:u w:val="single"/>
          <w:lang w:eastAsia="zh-CN"/>
        </w:rPr>
        <w:t>刘老师</w:t>
      </w:r>
      <w:r>
        <w:rPr>
          <w:rFonts w:ascii="宋体" w:hAnsi="宋体"/>
          <w:snapToGrid w:val="0"/>
          <w:kern w:val="0"/>
          <w:szCs w:val="21"/>
          <w:u w:val="single"/>
        </w:rPr>
        <w:t xml:space="preserve">                </w:t>
      </w:r>
      <w:r>
        <w:rPr>
          <w:rFonts w:ascii="宋体" w:hAnsi="宋体"/>
          <w:snapToGrid w:val="0"/>
          <w:kern w:val="0"/>
          <w:szCs w:val="21"/>
        </w:rPr>
        <w:t xml:space="preserve">     </w:t>
      </w:r>
    </w:p>
    <w:p w14:paraId="0C689CA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电    话：</w:t>
      </w:r>
      <w:r>
        <w:rPr>
          <w:rFonts w:ascii="宋体" w:hAnsi="宋体"/>
          <w:snapToGrid w:val="0"/>
          <w:kern w:val="0"/>
          <w:szCs w:val="21"/>
          <w:u w:val="single"/>
        </w:rPr>
        <w:t xml:space="preserve">      </w:t>
      </w:r>
      <w:r>
        <w:rPr>
          <w:rFonts w:hint="eastAsia" w:ascii="宋体" w:hAnsi="宋体"/>
          <w:snapToGrid w:val="0"/>
          <w:kern w:val="0"/>
          <w:szCs w:val="21"/>
          <w:u w:val="single"/>
        </w:rPr>
        <w:t>（023）626330</w:t>
      </w:r>
      <w:r>
        <w:rPr>
          <w:rFonts w:hint="eastAsia" w:ascii="宋体" w:hAnsi="宋体"/>
          <w:snapToGrid w:val="0"/>
          <w:kern w:val="0"/>
          <w:szCs w:val="21"/>
          <w:u w:val="single"/>
          <w:lang w:val="en-US" w:eastAsia="zh-CN"/>
        </w:rPr>
        <w:t>1</w:t>
      </w:r>
      <w:r>
        <w:rPr>
          <w:rFonts w:hint="eastAsia" w:ascii="宋体" w:hAnsi="宋体"/>
          <w:snapToGrid w:val="0"/>
          <w:kern w:val="0"/>
          <w:szCs w:val="21"/>
          <w:u w:val="single"/>
        </w:rPr>
        <w:t>6</w:t>
      </w:r>
      <w:r>
        <w:rPr>
          <w:rFonts w:ascii="宋体" w:hAnsi="宋体"/>
          <w:snapToGrid w:val="0"/>
          <w:kern w:val="0"/>
          <w:szCs w:val="21"/>
          <w:u w:val="single"/>
        </w:rPr>
        <w:t xml:space="preserve">       </w:t>
      </w:r>
      <w:r>
        <w:rPr>
          <w:rFonts w:ascii="宋体" w:hAnsi="宋体"/>
          <w:snapToGrid w:val="0"/>
          <w:kern w:val="0"/>
          <w:szCs w:val="21"/>
        </w:rPr>
        <w:t xml:space="preserve">        </w:t>
      </w:r>
    </w:p>
    <w:p w14:paraId="54555D5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1417204502@qq.com</w:t>
      </w:r>
      <w:r>
        <w:rPr>
          <w:rFonts w:ascii="宋体" w:hAnsi="宋体"/>
          <w:snapToGrid w:val="0"/>
          <w:kern w:val="0"/>
          <w:szCs w:val="21"/>
          <w:u w:val="single"/>
        </w:rPr>
        <w:t xml:space="preserve">     </w:t>
      </w:r>
      <w:r>
        <w:rPr>
          <w:rFonts w:ascii="宋体" w:hAnsi="宋体"/>
          <w:snapToGrid w:val="0"/>
          <w:kern w:val="0"/>
          <w:szCs w:val="21"/>
        </w:rPr>
        <w:t xml:space="preserve">     </w:t>
      </w:r>
    </w:p>
    <w:p w14:paraId="1325C5F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w:t>
      </w:r>
    </w:p>
    <w:p w14:paraId="1123962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w:t>
      </w:r>
    </w:p>
    <w:p w14:paraId="20016D4D">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2FBAF211">
      <w:pPr>
        <w:wordWrap w:val="0"/>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ascii="宋体" w:hAnsi="宋体"/>
          <w:snapToGrid w:val="0"/>
          <w:kern w:val="0"/>
          <w:szCs w:val="21"/>
          <w:u w:val="single"/>
        </w:rPr>
        <w:t xml:space="preserve">   202</w:t>
      </w:r>
      <w:r>
        <w:rPr>
          <w:rFonts w:hint="eastAsia" w:ascii="宋体" w:hAnsi="宋体"/>
          <w:snapToGrid w:val="0"/>
          <w:kern w:val="0"/>
          <w:szCs w:val="21"/>
          <w:u w:val="single"/>
          <w:lang w:val="en-US" w:eastAsia="zh-CN"/>
        </w:rPr>
        <w:t>6</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8</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27</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7B10999A">
      <w:pPr>
        <w:pStyle w:val="3"/>
        <w:spacing w:before="0" w:after="0" w:line="592" w:lineRule="exact"/>
        <w:rPr>
          <w:rFonts w:ascii="宋体" w:hAnsi="宋体"/>
          <w:snapToGrid w:val="0"/>
          <w:kern w:val="0"/>
          <w:szCs w:val="21"/>
        </w:rPr>
      </w:pPr>
      <w:r>
        <w:rPr>
          <w:rFonts w:ascii="宋体" w:hAnsi="宋体"/>
          <w:snapToGrid w:val="0"/>
          <w:kern w:val="0"/>
          <w:szCs w:val="21"/>
        </w:rPr>
        <w:br w:type="page"/>
      </w:r>
      <w:bookmarkStart w:id="59" w:name="_Toc287607744"/>
      <w:bookmarkStart w:id="60" w:name="_Toc430530432"/>
      <w:bookmarkStart w:id="61" w:name="_Toc224103315"/>
      <w:bookmarkStart w:id="62" w:name="_Toc28381"/>
      <w:bookmarkStart w:id="63" w:name="_Toc287620683"/>
    </w:p>
    <w:p w14:paraId="49041618">
      <w:pPr>
        <w:pStyle w:val="3"/>
        <w:numPr>
          <w:ilvl w:val="0"/>
          <w:numId w:val="1"/>
        </w:numPr>
        <w:spacing w:before="0" w:after="0" w:line="592" w:lineRule="exact"/>
        <w:ind w:firstLine="2650" w:firstLineChars="600"/>
        <w:rPr>
          <w:rFonts w:ascii="宋体" w:hAnsi="宋体"/>
          <w:snapToGrid w:val="0"/>
          <w:kern w:val="0"/>
        </w:rPr>
      </w:pPr>
      <w:r>
        <w:rPr>
          <w:rFonts w:ascii="宋体" w:hAnsi="宋体"/>
          <w:snapToGrid w:val="0"/>
          <w:kern w:val="0"/>
        </w:rPr>
        <w:t xml:space="preserve"> </w:t>
      </w:r>
      <w:r>
        <w:rPr>
          <w:rFonts w:hint="eastAsia" w:ascii="宋体" w:hAnsi="宋体"/>
          <w:snapToGrid w:val="0"/>
          <w:kern w:val="0"/>
          <w:lang w:eastAsia="zh-CN"/>
        </w:rPr>
        <w:t>竞选</w:t>
      </w:r>
      <w:r>
        <w:rPr>
          <w:rFonts w:ascii="宋体" w:hAnsi="宋体"/>
          <w:snapToGrid w:val="0"/>
          <w:kern w:val="0"/>
        </w:rPr>
        <w:t>人须知</w:t>
      </w:r>
      <w:bookmarkEnd w:id="59"/>
      <w:bookmarkEnd w:id="60"/>
      <w:bookmarkEnd w:id="61"/>
      <w:bookmarkEnd w:id="62"/>
      <w:bookmarkEnd w:id="63"/>
      <w:bookmarkStart w:id="64" w:name="_Toc224103316"/>
      <w:bookmarkStart w:id="65" w:name="_Toc277082551"/>
      <w:bookmarkStart w:id="66" w:name="_Toc287607745"/>
      <w:bookmarkStart w:id="67" w:name="_Toc430530433"/>
      <w:bookmarkStart w:id="68" w:name="_Toc287620684"/>
    </w:p>
    <w:p w14:paraId="1E7956C2">
      <w:pPr>
        <w:numPr>
          <w:ilvl w:val="0"/>
          <w:numId w:val="0"/>
        </w:numPr>
      </w:pPr>
    </w:p>
    <w:p w14:paraId="7294EF4C">
      <w:pPr>
        <w:pStyle w:val="4"/>
        <w:spacing w:before="100" w:after="100" w:line="592" w:lineRule="exact"/>
        <w:rPr>
          <w:rFonts w:ascii="宋体" w:hAnsi="宋体"/>
        </w:rPr>
      </w:pPr>
      <w:bookmarkStart w:id="69" w:name="_Toc32562"/>
      <w:bookmarkStart w:id="70" w:name="_Toc509218708"/>
      <w:r>
        <w:rPr>
          <w:rFonts w:hint="eastAsia" w:ascii="宋体" w:hAnsi="宋体"/>
          <w:lang w:eastAsia="zh-CN"/>
        </w:rPr>
        <w:t>竞选</w:t>
      </w:r>
      <w:r>
        <w:rPr>
          <w:rFonts w:hint="eastAsia" w:ascii="宋体" w:hAnsi="宋体"/>
        </w:rPr>
        <w:t>人须知前附表</w:t>
      </w:r>
      <w:bookmarkEnd w:id="64"/>
      <w:bookmarkEnd w:id="65"/>
      <w:bookmarkEnd w:id="66"/>
      <w:bookmarkEnd w:id="67"/>
      <w:bookmarkEnd w:id="68"/>
      <w:bookmarkEnd w:id="69"/>
      <w:bookmarkEnd w:id="70"/>
    </w:p>
    <w:p w14:paraId="22298A0E">
      <w:pPr>
        <w:spacing w:line="360" w:lineRule="auto"/>
        <w:rPr>
          <w:rFonts w:ascii="宋体" w:hAnsi="宋体"/>
          <w:szCs w:val="21"/>
        </w:rPr>
      </w:pPr>
      <w:r>
        <w:rPr>
          <w:rFonts w:ascii="宋体" w:hAnsi="宋体"/>
          <w:szCs w:val="21"/>
        </w:rPr>
        <w:t>正文内容不允许修改。若</w:t>
      </w:r>
      <w:r>
        <w:rPr>
          <w:rFonts w:hint="eastAsia" w:ascii="宋体" w:hAnsi="宋体"/>
          <w:szCs w:val="21"/>
          <w:lang w:eastAsia="zh-CN"/>
        </w:rPr>
        <w:t>竞选</w:t>
      </w:r>
      <w:r>
        <w:rPr>
          <w:rFonts w:ascii="宋体" w:hAnsi="宋体"/>
          <w:szCs w:val="21"/>
        </w:rPr>
        <w:t>人须知前附表与正文不一致的地方，以</w:t>
      </w:r>
      <w:r>
        <w:rPr>
          <w:rFonts w:hint="eastAsia" w:ascii="宋体" w:hAnsi="宋体"/>
          <w:szCs w:val="21"/>
          <w:lang w:eastAsia="zh-CN"/>
        </w:rPr>
        <w:t>竞选</w:t>
      </w:r>
      <w:r>
        <w:rPr>
          <w:rFonts w:ascii="宋体" w:hAnsi="宋体"/>
          <w:szCs w:val="21"/>
        </w:rPr>
        <w:t>人须知前附表为准。</w:t>
      </w:r>
    </w:p>
    <w:tbl>
      <w:tblPr>
        <w:tblStyle w:val="45"/>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451"/>
        <w:gridCol w:w="6683"/>
      </w:tblGrid>
      <w:tr w14:paraId="7AB3A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0" w:type="dxa"/>
            <w:vAlign w:val="center"/>
          </w:tcPr>
          <w:p w14:paraId="12A4EB28">
            <w:pPr>
              <w:snapToGrid w:val="0"/>
              <w:spacing w:line="400" w:lineRule="exact"/>
              <w:jc w:val="center"/>
              <w:rPr>
                <w:rFonts w:ascii="宋体" w:hAnsi="宋体"/>
                <w:b/>
                <w:kern w:val="0"/>
                <w:szCs w:val="21"/>
              </w:rPr>
            </w:pPr>
            <w:r>
              <w:rPr>
                <w:rFonts w:ascii="宋体" w:hAnsi="宋体"/>
                <w:b/>
                <w:kern w:val="0"/>
                <w:szCs w:val="21"/>
              </w:rPr>
              <w:t>条 款 号</w:t>
            </w:r>
          </w:p>
        </w:tc>
        <w:tc>
          <w:tcPr>
            <w:tcW w:w="1451" w:type="dxa"/>
            <w:vAlign w:val="center"/>
          </w:tcPr>
          <w:p w14:paraId="1B48AD63">
            <w:pPr>
              <w:snapToGrid w:val="0"/>
              <w:spacing w:line="400" w:lineRule="exact"/>
              <w:jc w:val="center"/>
              <w:rPr>
                <w:rFonts w:ascii="宋体" w:hAnsi="宋体"/>
                <w:b/>
                <w:kern w:val="0"/>
                <w:szCs w:val="21"/>
              </w:rPr>
            </w:pPr>
            <w:r>
              <w:rPr>
                <w:rFonts w:ascii="宋体" w:hAnsi="宋体"/>
                <w:b/>
                <w:kern w:val="0"/>
                <w:szCs w:val="21"/>
              </w:rPr>
              <w:t>条款名称</w:t>
            </w:r>
          </w:p>
        </w:tc>
        <w:tc>
          <w:tcPr>
            <w:tcW w:w="6683" w:type="dxa"/>
            <w:vAlign w:val="center"/>
          </w:tcPr>
          <w:p w14:paraId="79EC48CF">
            <w:pPr>
              <w:snapToGrid w:val="0"/>
              <w:spacing w:line="400" w:lineRule="exact"/>
              <w:jc w:val="center"/>
              <w:rPr>
                <w:rFonts w:ascii="宋体" w:hAnsi="宋体"/>
                <w:b/>
                <w:kern w:val="0"/>
                <w:szCs w:val="21"/>
              </w:rPr>
            </w:pPr>
            <w:r>
              <w:rPr>
                <w:rFonts w:ascii="宋体" w:hAnsi="宋体"/>
                <w:b/>
                <w:kern w:val="0"/>
                <w:szCs w:val="21"/>
              </w:rPr>
              <w:t>编  列  内  容</w:t>
            </w:r>
          </w:p>
        </w:tc>
      </w:tr>
      <w:tr w14:paraId="604D63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27C0FFB">
            <w:pPr>
              <w:snapToGrid w:val="0"/>
              <w:spacing w:line="400" w:lineRule="exact"/>
              <w:jc w:val="center"/>
              <w:rPr>
                <w:rFonts w:ascii="宋体" w:hAnsi="宋体"/>
                <w:kern w:val="0"/>
                <w:szCs w:val="21"/>
              </w:rPr>
            </w:pPr>
            <w:r>
              <w:rPr>
                <w:rFonts w:ascii="宋体" w:hAnsi="宋体"/>
                <w:kern w:val="0"/>
                <w:szCs w:val="21"/>
              </w:rPr>
              <w:t>1.1.2</w:t>
            </w:r>
          </w:p>
        </w:tc>
        <w:tc>
          <w:tcPr>
            <w:tcW w:w="1451" w:type="dxa"/>
            <w:vAlign w:val="center"/>
          </w:tcPr>
          <w:p w14:paraId="7C2A022A">
            <w:pPr>
              <w:snapToGrid w:val="0"/>
              <w:spacing w:line="400" w:lineRule="exact"/>
              <w:jc w:val="center"/>
              <w:rPr>
                <w:rFonts w:ascii="宋体" w:hAnsi="宋体"/>
                <w:kern w:val="0"/>
                <w:szCs w:val="21"/>
              </w:rPr>
            </w:pPr>
            <w:r>
              <w:rPr>
                <w:rFonts w:hint="eastAsia" w:ascii="宋体" w:hAnsi="宋体"/>
                <w:kern w:val="0"/>
                <w:szCs w:val="21"/>
                <w:lang w:eastAsia="zh-CN"/>
              </w:rPr>
              <w:t>比选</w:t>
            </w:r>
            <w:r>
              <w:rPr>
                <w:rFonts w:ascii="宋体" w:hAnsi="宋体"/>
                <w:kern w:val="0"/>
                <w:szCs w:val="21"/>
              </w:rPr>
              <w:t>人</w:t>
            </w:r>
          </w:p>
        </w:tc>
        <w:tc>
          <w:tcPr>
            <w:tcW w:w="6683" w:type="dxa"/>
            <w:vAlign w:val="center"/>
          </w:tcPr>
          <w:p w14:paraId="63ADD7C7">
            <w:pPr>
              <w:snapToGrid w:val="0"/>
              <w:spacing w:line="400" w:lineRule="exact"/>
              <w:rPr>
                <w:rFonts w:ascii="宋体" w:hAnsi="宋体"/>
                <w:kern w:val="0"/>
                <w:szCs w:val="21"/>
              </w:rPr>
            </w:pPr>
            <w:r>
              <w:rPr>
                <w:rFonts w:ascii="宋体" w:hAnsi="宋体"/>
                <w:kern w:val="0"/>
                <w:szCs w:val="21"/>
              </w:rPr>
              <w:t>名称：重庆经开区开发建设有限公司</w:t>
            </w:r>
          </w:p>
          <w:p w14:paraId="2C22D6F7">
            <w:pPr>
              <w:snapToGrid w:val="0"/>
              <w:spacing w:line="400" w:lineRule="exact"/>
              <w:rPr>
                <w:rFonts w:ascii="宋体" w:hAnsi="宋体"/>
                <w:kern w:val="0"/>
                <w:szCs w:val="21"/>
              </w:rPr>
            </w:pPr>
            <w:r>
              <w:rPr>
                <w:rFonts w:ascii="宋体" w:hAnsi="宋体"/>
                <w:kern w:val="0"/>
                <w:szCs w:val="21"/>
              </w:rPr>
              <w:t>地址：</w:t>
            </w:r>
            <w:r>
              <w:rPr>
                <w:rFonts w:hint="eastAsia" w:ascii="宋体" w:hAnsi="宋体"/>
                <w:snapToGrid w:val="0"/>
                <w:kern w:val="0"/>
                <w:szCs w:val="21"/>
              </w:rPr>
              <w:t>重庆市南岸区茶园江桥路一号附1号</w:t>
            </w:r>
          </w:p>
          <w:p w14:paraId="2520F860">
            <w:pPr>
              <w:snapToGrid w:val="0"/>
              <w:spacing w:line="400" w:lineRule="exact"/>
              <w:rPr>
                <w:rFonts w:hint="eastAsia" w:ascii="宋体" w:hAnsi="宋体" w:eastAsia="宋体"/>
                <w:kern w:val="0"/>
                <w:szCs w:val="21"/>
                <w:lang w:eastAsia="zh-CN"/>
              </w:rPr>
            </w:pPr>
            <w:r>
              <w:rPr>
                <w:rFonts w:ascii="宋体" w:hAnsi="宋体"/>
                <w:kern w:val="0"/>
                <w:szCs w:val="21"/>
              </w:rPr>
              <w:t>联系人：</w:t>
            </w:r>
            <w:r>
              <w:rPr>
                <w:rFonts w:hint="eastAsia" w:ascii="宋体" w:hAnsi="宋体"/>
                <w:kern w:val="0"/>
                <w:szCs w:val="21"/>
                <w:lang w:eastAsia="zh-CN"/>
              </w:rPr>
              <w:t>刘老师</w:t>
            </w:r>
          </w:p>
          <w:p w14:paraId="05EE07F0">
            <w:pPr>
              <w:snapToGrid w:val="0"/>
              <w:spacing w:line="400" w:lineRule="exact"/>
              <w:rPr>
                <w:rFonts w:ascii="宋体" w:hAnsi="宋体"/>
                <w:kern w:val="0"/>
                <w:szCs w:val="21"/>
              </w:rPr>
            </w:pPr>
            <w:r>
              <w:rPr>
                <w:rFonts w:ascii="宋体" w:hAnsi="宋体"/>
                <w:kern w:val="0"/>
                <w:szCs w:val="21"/>
              </w:rPr>
              <w:t>电话：</w:t>
            </w:r>
            <w:r>
              <w:rPr>
                <w:rFonts w:hint="eastAsia" w:ascii="宋体" w:hAnsi="宋体"/>
                <w:kern w:val="0"/>
                <w:szCs w:val="21"/>
              </w:rPr>
              <w:t>（023）626330</w:t>
            </w:r>
            <w:r>
              <w:rPr>
                <w:rFonts w:hint="eastAsia" w:ascii="宋体" w:hAnsi="宋体"/>
                <w:kern w:val="0"/>
                <w:szCs w:val="21"/>
                <w:lang w:val="en-US" w:eastAsia="zh-CN"/>
              </w:rPr>
              <w:t>1</w:t>
            </w:r>
            <w:r>
              <w:rPr>
                <w:rFonts w:hint="eastAsia" w:ascii="宋体" w:hAnsi="宋体"/>
                <w:kern w:val="0"/>
                <w:szCs w:val="21"/>
              </w:rPr>
              <w:t>6</w:t>
            </w:r>
          </w:p>
        </w:tc>
      </w:tr>
      <w:tr w14:paraId="1D9333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240" w:type="dxa"/>
            <w:vAlign w:val="center"/>
          </w:tcPr>
          <w:p w14:paraId="18CF6463">
            <w:pPr>
              <w:snapToGrid w:val="0"/>
              <w:spacing w:line="400" w:lineRule="exact"/>
              <w:jc w:val="center"/>
              <w:rPr>
                <w:rFonts w:ascii="宋体" w:hAnsi="宋体"/>
                <w:kern w:val="0"/>
                <w:szCs w:val="21"/>
              </w:rPr>
            </w:pPr>
            <w:r>
              <w:rPr>
                <w:rFonts w:ascii="宋体" w:hAnsi="宋体"/>
                <w:kern w:val="0"/>
                <w:szCs w:val="21"/>
              </w:rPr>
              <w:t>1.1.</w:t>
            </w:r>
            <w:r>
              <w:rPr>
                <w:rFonts w:hint="eastAsia" w:ascii="宋体" w:hAnsi="宋体"/>
                <w:kern w:val="0"/>
                <w:szCs w:val="21"/>
              </w:rPr>
              <w:t>3</w:t>
            </w:r>
          </w:p>
        </w:tc>
        <w:tc>
          <w:tcPr>
            <w:tcW w:w="1451" w:type="dxa"/>
            <w:vAlign w:val="center"/>
          </w:tcPr>
          <w:p w14:paraId="5FA27982">
            <w:pPr>
              <w:snapToGrid w:val="0"/>
              <w:spacing w:line="400" w:lineRule="exact"/>
              <w:jc w:val="center"/>
              <w:rPr>
                <w:rFonts w:ascii="宋体" w:hAnsi="宋体"/>
                <w:kern w:val="0"/>
                <w:szCs w:val="21"/>
                <w:highlight w:val="yellow"/>
              </w:rPr>
            </w:pPr>
            <w:r>
              <w:rPr>
                <w:rFonts w:ascii="宋体" w:hAnsi="宋体"/>
                <w:kern w:val="0"/>
                <w:szCs w:val="21"/>
                <w:highlight w:val="none"/>
              </w:rPr>
              <w:t>项目名称</w:t>
            </w:r>
          </w:p>
        </w:tc>
        <w:tc>
          <w:tcPr>
            <w:tcW w:w="6683" w:type="dxa"/>
            <w:vAlign w:val="center"/>
          </w:tcPr>
          <w:p w14:paraId="79DFD16A">
            <w:pPr>
              <w:snapToGrid w:val="0"/>
              <w:spacing w:line="400" w:lineRule="exact"/>
              <w:ind w:firstLine="1260" w:firstLineChars="600"/>
              <w:jc w:val="left"/>
              <w:rPr>
                <w:rFonts w:ascii="宋体" w:hAnsi="宋体"/>
                <w:szCs w:val="21"/>
              </w:rPr>
            </w:pPr>
            <w:r>
              <w:rPr>
                <w:rFonts w:hint="eastAsia" w:ascii="宋体" w:hAnsi="宋体"/>
                <w:snapToGrid w:val="0"/>
                <w:kern w:val="0"/>
                <w:szCs w:val="21"/>
                <w:u w:val="single"/>
              </w:rPr>
              <w:t xml:space="preserve"> </w:t>
            </w:r>
            <w:r>
              <w:rPr>
                <w:rFonts w:hint="eastAsia" w:ascii="宋体" w:hAnsi="宋体"/>
                <w:snapToGrid w:val="0"/>
                <w:kern w:val="0"/>
                <w:szCs w:val="21"/>
                <w:u w:val="single"/>
                <w:lang w:eastAsia="zh-CN"/>
              </w:rPr>
              <w:t>经开区社会停车场（长生桥镇）项目</w:t>
            </w:r>
            <w:r>
              <w:rPr>
                <w:rFonts w:hint="eastAsia" w:ascii="宋体" w:hAnsi="宋体"/>
                <w:snapToGrid w:val="0"/>
                <w:kern w:val="0"/>
                <w:szCs w:val="21"/>
                <w:u w:val="single"/>
              </w:rPr>
              <w:t xml:space="preserve"> </w:t>
            </w:r>
          </w:p>
        </w:tc>
      </w:tr>
      <w:tr w14:paraId="7D89E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40" w:type="dxa"/>
            <w:vAlign w:val="center"/>
          </w:tcPr>
          <w:p w14:paraId="69DD96B0">
            <w:pPr>
              <w:snapToGrid w:val="0"/>
              <w:spacing w:line="400" w:lineRule="exact"/>
              <w:jc w:val="center"/>
              <w:rPr>
                <w:rFonts w:ascii="宋体" w:hAnsi="宋体"/>
                <w:kern w:val="0"/>
                <w:szCs w:val="21"/>
              </w:rPr>
            </w:pPr>
            <w:r>
              <w:rPr>
                <w:rFonts w:ascii="宋体" w:hAnsi="宋体"/>
                <w:kern w:val="0"/>
                <w:szCs w:val="21"/>
              </w:rPr>
              <w:t>1.1.</w:t>
            </w:r>
            <w:r>
              <w:rPr>
                <w:rFonts w:hint="eastAsia" w:ascii="宋体" w:hAnsi="宋体"/>
                <w:kern w:val="0"/>
                <w:szCs w:val="21"/>
              </w:rPr>
              <w:t>4</w:t>
            </w:r>
          </w:p>
        </w:tc>
        <w:tc>
          <w:tcPr>
            <w:tcW w:w="1451" w:type="dxa"/>
            <w:vAlign w:val="center"/>
          </w:tcPr>
          <w:p w14:paraId="578B8259">
            <w:pPr>
              <w:snapToGrid w:val="0"/>
              <w:spacing w:line="400" w:lineRule="exact"/>
              <w:jc w:val="center"/>
              <w:rPr>
                <w:rFonts w:ascii="宋体" w:hAnsi="宋体"/>
                <w:kern w:val="0"/>
                <w:szCs w:val="21"/>
                <w:highlight w:val="yellow"/>
              </w:rPr>
            </w:pPr>
            <w:r>
              <w:rPr>
                <w:rFonts w:ascii="宋体" w:hAnsi="宋体"/>
                <w:kern w:val="0"/>
                <w:szCs w:val="21"/>
                <w:highlight w:val="none"/>
              </w:rPr>
              <w:t>建设地点</w:t>
            </w:r>
          </w:p>
        </w:tc>
        <w:tc>
          <w:tcPr>
            <w:tcW w:w="6683" w:type="dxa"/>
            <w:vAlign w:val="center"/>
          </w:tcPr>
          <w:p w14:paraId="5A52EDAA">
            <w:pPr>
              <w:snapToGrid w:val="0"/>
              <w:spacing w:line="400" w:lineRule="exact"/>
              <w:ind w:firstLine="1890" w:firstLineChars="900"/>
              <w:jc w:val="left"/>
              <w:rPr>
                <w:rFonts w:ascii="宋体" w:hAnsi="宋体"/>
                <w:szCs w:val="21"/>
              </w:rPr>
            </w:pPr>
            <w:r>
              <w:rPr>
                <w:rFonts w:hint="eastAsia" w:ascii="宋体" w:hAnsi="宋体"/>
                <w:snapToGrid w:val="0"/>
                <w:kern w:val="0"/>
                <w:szCs w:val="21"/>
                <w:u w:val="single"/>
                <w:lang w:eastAsia="zh-CN"/>
              </w:rPr>
              <w:t>重庆南岸区长生桥镇</w:t>
            </w:r>
          </w:p>
        </w:tc>
      </w:tr>
      <w:tr w14:paraId="7C3C4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1240" w:type="dxa"/>
            <w:vAlign w:val="center"/>
          </w:tcPr>
          <w:p w14:paraId="16AB46F0">
            <w:pPr>
              <w:snapToGrid w:val="0"/>
              <w:spacing w:line="400" w:lineRule="exact"/>
              <w:jc w:val="center"/>
              <w:rPr>
                <w:rFonts w:ascii="宋体" w:hAnsi="宋体"/>
                <w:kern w:val="0"/>
                <w:szCs w:val="21"/>
              </w:rPr>
            </w:pPr>
            <w:r>
              <w:rPr>
                <w:rFonts w:ascii="宋体" w:hAnsi="宋体"/>
                <w:kern w:val="0"/>
                <w:szCs w:val="21"/>
              </w:rPr>
              <w:t>1.1.</w:t>
            </w:r>
            <w:r>
              <w:rPr>
                <w:rFonts w:hint="eastAsia" w:ascii="宋体" w:hAnsi="宋体"/>
                <w:kern w:val="0"/>
                <w:szCs w:val="21"/>
              </w:rPr>
              <w:t>5</w:t>
            </w:r>
          </w:p>
        </w:tc>
        <w:tc>
          <w:tcPr>
            <w:tcW w:w="1451" w:type="dxa"/>
            <w:vAlign w:val="center"/>
          </w:tcPr>
          <w:p w14:paraId="6EDDA3C2">
            <w:pPr>
              <w:snapToGrid w:val="0"/>
              <w:spacing w:line="400" w:lineRule="exact"/>
              <w:jc w:val="center"/>
              <w:rPr>
                <w:rFonts w:ascii="宋体" w:hAnsi="宋体"/>
                <w:kern w:val="0"/>
                <w:szCs w:val="21"/>
                <w:highlight w:val="yellow"/>
              </w:rPr>
            </w:pPr>
            <w:r>
              <w:rPr>
                <w:rFonts w:ascii="宋体" w:hAnsi="宋体"/>
                <w:kern w:val="0"/>
                <w:szCs w:val="21"/>
                <w:highlight w:val="none"/>
              </w:rPr>
              <w:t>建设规模</w:t>
            </w:r>
          </w:p>
        </w:tc>
        <w:tc>
          <w:tcPr>
            <w:tcW w:w="6683" w:type="dxa"/>
            <w:vAlign w:val="center"/>
          </w:tcPr>
          <w:p w14:paraId="24A788A1">
            <w:pPr>
              <w:tabs>
                <w:tab w:val="left" w:pos="3840"/>
                <w:tab w:val="left" w:pos="5300"/>
              </w:tabs>
              <w:autoSpaceDE w:val="0"/>
              <w:autoSpaceDN w:val="0"/>
              <w:adjustRightInd w:val="0"/>
              <w:snapToGrid w:val="0"/>
              <w:spacing w:line="460" w:lineRule="exact"/>
              <w:ind w:firstLine="420" w:firstLineChars="200"/>
              <w:jc w:val="left"/>
              <w:rPr>
                <w:rFonts w:eastAsia="方正仿宋_GBK"/>
                <w:color w:val="FF0000"/>
                <w:sz w:val="32"/>
                <w:szCs w:val="32"/>
              </w:rPr>
            </w:pPr>
            <w:r>
              <w:rPr>
                <w:rFonts w:hint="eastAsia" w:cs="Times New Roman"/>
                <w:snapToGrid w:val="0"/>
                <w:color w:val="auto"/>
                <w:kern w:val="0"/>
                <w:sz w:val="21"/>
                <w:szCs w:val="21"/>
                <w:lang w:val="en-US" w:eastAsia="zh-CN" w:bidi="ar-SA"/>
              </w:rPr>
              <w:t>完成经开区社会停车场（长生桥镇）项目设计图纸所有设计内容的建设，</w:t>
            </w:r>
            <w:r>
              <w:rPr>
                <w:rFonts w:hint="eastAsia" w:cs="Times New Roman"/>
                <w:snapToGrid w:val="0"/>
                <w:color w:val="auto"/>
                <w:kern w:val="0"/>
                <w:sz w:val="21"/>
                <w:szCs w:val="21"/>
                <w:u w:val="single"/>
                <w:lang w:val="en-US" w:eastAsia="zh-CN" w:bidi="ar-SA"/>
              </w:rPr>
              <w:t>包括建筑工程、电气工程和给排水工程等。一期：平整场地、基层碎石铺筑、雨污水管网、停车场设备等；二期：停车场面层施工、路灯及监控系统等，并达到相关验收要求，具体工作内容详见施工图及工程量清单。</w:t>
            </w:r>
          </w:p>
        </w:tc>
      </w:tr>
      <w:tr w14:paraId="403FC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40" w:type="dxa"/>
            <w:vAlign w:val="center"/>
          </w:tcPr>
          <w:p w14:paraId="5E8550B2">
            <w:pPr>
              <w:snapToGrid w:val="0"/>
              <w:spacing w:line="400" w:lineRule="exact"/>
              <w:jc w:val="center"/>
              <w:rPr>
                <w:rFonts w:ascii="宋体" w:hAnsi="宋体"/>
                <w:kern w:val="0"/>
                <w:szCs w:val="21"/>
              </w:rPr>
            </w:pPr>
            <w:r>
              <w:rPr>
                <w:rFonts w:ascii="宋体" w:hAnsi="宋体"/>
                <w:kern w:val="0"/>
                <w:szCs w:val="21"/>
              </w:rPr>
              <w:t>1.2.</w:t>
            </w:r>
            <w:r>
              <w:rPr>
                <w:rFonts w:hint="eastAsia" w:ascii="宋体" w:hAnsi="宋体"/>
                <w:kern w:val="0"/>
                <w:szCs w:val="21"/>
              </w:rPr>
              <w:t>6</w:t>
            </w:r>
          </w:p>
        </w:tc>
        <w:tc>
          <w:tcPr>
            <w:tcW w:w="1451" w:type="dxa"/>
            <w:vAlign w:val="center"/>
          </w:tcPr>
          <w:p w14:paraId="2CF09454">
            <w:pPr>
              <w:snapToGrid w:val="0"/>
              <w:spacing w:line="400" w:lineRule="exact"/>
              <w:jc w:val="center"/>
              <w:rPr>
                <w:rFonts w:ascii="宋体" w:hAnsi="宋体"/>
                <w:kern w:val="0"/>
                <w:szCs w:val="21"/>
                <w:highlight w:val="yellow"/>
              </w:rPr>
            </w:pPr>
            <w:r>
              <w:rPr>
                <w:rFonts w:ascii="宋体" w:hAnsi="宋体"/>
                <w:kern w:val="0"/>
                <w:szCs w:val="21"/>
                <w:highlight w:val="none"/>
              </w:rPr>
              <w:t>资金来源</w:t>
            </w:r>
          </w:p>
        </w:tc>
        <w:tc>
          <w:tcPr>
            <w:tcW w:w="6683" w:type="dxa"/>
            <w:vAlign w:val="center"/>
          </w:tcPr>
          <w:p w14:paraId="54D0EF6E">
            <w:pPr>
              <w:tabs>
                <w:tab w:val="left" w:pos="3840"/>
                <w:tab w:val="left" w:pos="5300"/>
              </w:tabs>
              <w:autoSpaceDE w:val="0"/>
              <w:autoSpaceDN w:val="0"/>
              <w:adjustRightInd w:val="0"/>
              <w:snapToGrid w:val="0"/>
              <w:spacing w:line="460" w:lineRule="exact"/>
              <w:ind w:firstLine="2310" w:firstLineChars="1100"/>
              <w:rPr>
                <w:rFonts w:ascii="宋体" w:hAnsi="宋体"/>
                <w:snapToGrid w:val="0"/>
                <w:kern w:val="0"/>
                <w:szCs w:val="21"/>
              </w:rPr>
            </w:pPr>
            <w:r>
              <w:rPr>
                <w:rFonts w:hint="eastAsia" w:ascii="宋体" w:hAnsi="宋体"/>
                <w:snapToGrid w:val="0"/>
                <w:kern w:val="0"/>
                <w:szCs w:val="21"/>
                <w:u w:val="single"/>
              </w:rPr>
              <w:t xml:space="preserve"> </w:t>
            </w:r>
            <w:r>
              <w:rPr>
                <w:rFonts w:hint="eastAsia" w:ascii="宋体" w:hAnsi="宋体"/>
                <w:snapToGrid w:val="0"/>
                <w:kern w:val="0"/>
                <w:szCs w:val="21"/>
                <w:u w:val="single"/>
                <w:lang w:eastAsia="zh-CN"/>
              </w:rPr>
              <w:t>业主自筹</w:t>
            </w:r>
            <w:r>
              <w:rPr>
                <w:rFonts w:hint="eastAsia" w:ascii="宋体" w:hAnsi="宋体"/>
                <w:snapToGrid w:val="0"/>
                <w:kern w:val="0"/>
                <w:szCs w:val="21"/>
                <w:u w:val="single"/>
              </w:rPr>
              <w:t xml:space="preserve">  </w:t>
            </w:r>
          </w:p>
        </w:tc>
      </w:tr>
      <w:tr w14:paraId="21F49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40" w:type="dxa"/>
            <w:vAlign w:val="center"/>
          </w:tcPr>
          <w:p w14:paraId="45D3F1A0">
            <w:pPr>
              <w:snapToGrid w:val="0"/>
              <w:spacing w:line="400" w:lineRule="exact"/>
              <w:jc w:val="center"/>
              <w:rPr>
                <w:rFonts w:ascii="宋体" w:hAnsi="宋体"/>
                <w:kern w:val="0"/>
                <w:szCs w:val="21"/>
              </w:rPr>
            </w:pPr>
            <w:r>
              <w:rPr>
                <w:rFonts w:ascii="宋体" w:hAnsi="宋体"/>
                <w:kern w:val="0"/>
                <w:szCs w:val="21"/>
              </w:rPr>
              <w:t>1.2.</w:t>
            </w:r>
            <w:r>
              <w:rPr>
                <w:rFonts w:hint="eastAsia" w:ascii="宋体" w:hAnsi="宋体"/>
                <w:kern w:val="0"/>
                <w:szCs w:val="21"/>
              </w:rPr>
              <w:t>7</w:t>
            </w:r>
          </w:p>
        </w:tc>
        <w:tc>
          <w:tcPr>
            <w:tcW w:w="1451" w:type="dxa"/>
            <w:vAlign w:val="center"/>
          </w:tcPr>
          <w:p w14:paraId="1A870D4D">
            <w:pPr>
              <w:snapToGrid w:val="0"/>
              <w:spacing w:line="400" w:lineRule="exact"/>
              <w:jc w:val="center"/>
              <w:rPr>
                <w:rFonts w:ascii="宋体" w:hAnsi="宋体"/>
                <w:kern w:val="0"/>
                <w:szCs w:val="21"/>
              </w:rPr>
            </w:pPr>
            <w:r>
              <w:rPr>
                <w:rFonts w:ascii="宋体" w:hAnsi="宋体"/>
                <w:kern w:val="0"/>
                <w:szCs w:val="21"/>
              </w:rPr>
              <w:t>出资比例</w:t>
            </w:r>
          </w:p>
        </w:tc>
        <w:tc>
          <w:tcPr>
            <w:tcW w:w="6683" w:type="dxa"/>
            <w:vAlign w:val="center"/>
          </w:tcPr>
          <w:p w14:paraId="32551A29">
            <w:pPr>
              <w:snapToGrid w:val="0"/>
              <w:spacing w:line="400" w:lineRule="exact"/>
              <w:ind w:firstLine="2730" w:firstLineChars="1300"/>
              <w:jc w:val="left"/>
              <w:rPr>
                <w:rFonts w:ascii="宋体" w:hAnsi="宋体"/>
                <w:szCs w:val="21"/>
                <w:u w:val="single"/>
              </w:rPr>
            </w:pPr>
            <w:r>
              <w:rPr>
                <w:rFonts w:hint="eastAsia" w:ascii="宋体" w:hAnsi="宋体"/>
                <w:szCs w:val="21"/>
                <w:u w:val="single"/>
              </w:rPr>
              <w:t>100%</w:t>
            </w:r>
          </w:p>
        </w:tc>
      </w:tr>
      <w:tr w14:paraId="07927D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A2A8F87">
            <w:pPr>
              <w:snapToGrid w:val="0"/>
              <w:spacing w:line="400" w:lineRule="exact"/>
              <w:jc w:val="center"/>
              <w:rPr>
                <w:rFonts w:ascii="宋体" w:hAnsi="宋体"/>
                <w:kern w:val="0"/>
                <w:szCs w:val="21"/>
              </w:rPr>
            </w:pPr>
            <w:r>
              <w:rPr>
                <w:rFonts w:ascii="宋体" w:hAnsi="宋体"/>
                <w:kern w:val="0"/>
                <w:szCs w:val="21"/>
              </w:rPr>
              <w:t>1.2.</w:t>
            </w:r>
            <w:r>
              <w:rPr>
                <w:rFonts w:hint="eastAsia" w:ascii="宋体" w:hAnsi="宋体"/>
                <w:kern w:val="0"/>
                <w:szCs w:val="21"/>
              </w:rPr>
              <w:t>8</w:t>
            </w:r>
          </w:p>
        </w:tc>
        <w:tc>
          <w:tcPr>
            <w:tcW w:w="1451" w:type="dxa"/>
            <w:vAlign w:val="center"/>
          </w:tcPr>
          <w:p w14:paraId="2161C134">
            <w:pPr>
              <w:snapToGrid w:val="0"/>
              <w:spacing w:line="400" w:lineRule="exact"/>
              <w:jc w:val="center"/>
              <w:rPr>
                <w:rFonts w:ascii="宋体" w:hAnsi="宋体"/>
                <w:kern w:val="0"/>
                <w:szCs w:val="21"/>
              </w:rPr>
            </w:pPr>
            <w:r>
              <w:rPr>
                <w:rFonts w:ascii="宋体" w:hAnsi="宋体"/>
                <w:kern w:val="0"/>
                <w:szCs w:val="21"/>
              </w:rPr>
              <w:t>资金落实情况</w:t>
            </w:r>
          </w:p>
        </w:tc>
        <w:tc>
          <w:tcPr>
            <w:tcW w:w="6683" w:type="dxa"/>
            <w:vAlign w:val="center"/>
          </w:tcPr>
          <w:p w14:paraId="090C05E6">
            <w:pPr>
              <w:snapToGrid w:val="0"/>
              <w:spacing w:line="400" w:lineRule="exact"/>
              <w:ind w:firstLine="2520" w:firstLineChars="1200"/>
              <w:jc w:val="left"/>
              <w:rPr>
                <w:rFonts w:ascii="宋体" w:hAnsi="宋体"/>
                <w:szCs w:val="21"/>
                <w:u w:val="single"/>
              </w:rPr>
            </w:pPr>
            <w:r>
              <w:rPr>
                <w:rFonts w:hint="eastAsia" w:ascii="宋体" w:hAnsi="宋体"/>
                <w:szCs w:val="21"/>
                <w:u w:val="single"/>
              </w:rPr>
              <w:t>已落实</w:t>
            </w:r>
          </w:p>
        </w:tc>
      </w:tr>
      <w:tr w14:paraId="11CD83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240" w:type="dxa"/>
            <w:vAlign w:val="center"/>
          </w:tcPr>
          <w:p w14:paraId="1881587F">
            <w:pPr>
              <w:snapToGrid w:val="0"/>
              <w:spacing w:line="400" w:lineRule="exact"/>
              <w:jc w:val="center"/>
              <w:rPr>
                <w:rFonts w:ascii="宋体" w:hAnsi="宋体"/>
                <w:kern w:val="0"/>
                <w:szCs w:val="21"/>
              </w:rPr>
            </w:pPr>
            <w:r>
              <w:rPr>
                <w:rFonts w:hint="eastAsia" w:ascii="宋体" w:hAnsi="宋体"/>
                <w:kern w:val="0"/>
                <w:szCs w:val="21"/>
              </w:rPr>
              <w:t>1.3.1</w:t>
            </w:r>
          </w:p>
        </w:tc>
        <w:tc>
          <w:tcPr>
            <w:tcW w:w="1451" w:type="dxa"/>
            <w:vAlign w:val="center"/>
          </w:tcPr>
          <w:p w14:paraId="69ECB0B8">
            <w:pPr>
              <w:snapToGrid w:val="0"/>
              <w:spacing w:line="400" w:lineRule="exact"/>
              <w:jc w:val="center"/>
              <w:rPr>
                <w:rFonts w:ascii="宋体" w:hAnsi="宋体"/>
                <w:kern w:val="0"/>
                <w:szCs w:val="21"/>
              </w:rPr>
            </w:pPr>
            <w:r>
              <w:rPr>
                <w:rFonts w:hint="eastAsia" w:ascii="宋体" w:hAnsi="宋体"/>
                <w:kern w:val="0"/>
                <w:szCs w:val="21"/>
                <w:lang w:eastAsia="zh-CN"/>
              </w:rPr>
              <w:t>比选</w:t>
            </w:r>
            <w:r>
              <w:rPr>
                <w:rFonts w:ascii="宋体" w:hAnsi="宋体"/>
                <w:kern w:val="0"/>
                <w:szCs w:val="21"/>
              </w:rPr>
              <w:t>范围</w:t>
            </w:r>
          </w:p>
        </w:tc>
        <w:tc>
          <w:tcPr>
            <w:tcW w:w="6683" w:type="dxa"/>
            <w:vAlign w:val="center"/>
          </w:tcPr>
          <w:p w14:paraId="4FBBB35C">
            <w:pPr>
              <w:snapToGrid w:val="0"/>
              <w:spacing w:line="400" w:lineRule="exact"/>
              <w:ind w:firstLine="420" w:firstLineChars="200"/>
              <w:rPr>
                <w:rFonts w:hint="eastAsia" w:ascii="宋体" w:hAnsi="宋体" w:eastAsia="宋体"/>
                <w:szCs w:val="21"/>
                <w:lang w:eastAsia="zh-CN"/>
              </w:rPr>
            </w:pPr>
            <w:r>
              <w:rPr>
                <w:rFonts w:hint="eastAsia" w:ascii="宋体" w:hAnsi="宋体" w:eastAsia="宋体" w:cs="Times New Roman"/>
                <w:snapToGrid w:val="0"/>
                <w:kern w:val="0"/>
                <w:szCs w:val="21"/>
                <w:u w:val="single"/>
                <w:lang w:eastAsia="zh-CN"/>
              </w:rPr>
              <w:t>完成经开区社会停车场（长生桥镇）项目</w:t>
            </w:r>
            <w:r>
              <w:rPr>
                <w:rFonts w:hint="eastAsia" w:ascii="宋体" w:hAnsi="宋体" w:eastAsia="宋体" w:cs="Times New Roman"/>
                <w:snapToGrid w:val="0"/>
                <w:kern w:val="0"/>
                <w:szCs w:val="21"/>
                <w:u w:val="single"/>
                <w:lang w:val="en-US" w:eastAsia="zh-CN"/>
              </w:rPr>
              <w:t>设计图纸所有设计内容的建设</w:t>
            </w:r>
            <w:r>
              <w:rPr>
                <w:rFonts w:hint="eastAsia" w:ascii="宋体" w:hAnsi="宋体" w:eastAsia="宋体" w:cs="Times New Roman"/>
                <w:snapToGrid w:val="0"/>
                <w:kern w:val="0"/>
                <w:szCs w:val="21"/>
                <w:u w:val="single"/>
                <w:lang w:eastAsia="zh-CN"/>
              </w:rPr>
              <w:t>，具体工作内容详见</w:t>
            </w:r>
            <w:r>
              <w:rPr>
                <w:rFonts w:hint="eastAsia" w:ascii="宋体" w:hAnsi="宋体" w:cs="Times New Roman"/>
                <w:snapToGrid w:val="0"/>
                <w:kern w:val="0"/>
                <w:szCs w:val="21"/>
                <w:u w:val="single"/>
                <w:lang w:eastAsia="zh-CN"/>
              </w:rPr>
              <w:t>施工图及工程量</w:t>
            </w:r>
            <w:r>
              <w:rPr>
                <w:rFonts w:hint="eastAsia" w:ascii="宋体" w:hAnsi="宋体" w:eastAsia="宋体" w:cs="Times New Roman"/>
                <w:snapToGrid w:val="0"/>
                <w:kern w:val="0"/>
                <w:szCs w:val="21"/>
                <w:u w:val="single"/>
                <w:lang w:eastAsia="zh-CN"/>
              </w:rPr>
              <w:t>清单。</w:t>
            </w:r>
          </w:p>
        </w:tc>
      </w:tr>
      <w:tr w14:paraId="1163CA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240" w:type="dxa"/>
            <w:vAlign w:val="center"/>
          </w:tcPr>
          <w:p w14:paraId="14D959CB">
            <w:pPr>
              <w:snapToGrid w:val="0"/>
              <w:spacing w:line="400" w:lineRule="exact"/>
              <w:jc w:val="center"/>
              <w:rPr>
                <w:rFonts w:ascii="宋体" w:hAnsi="宋体"/>
                <w:kern w:val="0"/>
                <w:szCs w:val="21"/>
              </w:rPr>
            </w:pPr>
            <w:r>
              <w:rPr>
                <w:rFonts w:ascii="宋体" w:hAnsi="宋体"/>
                <w:kern w:val="0"/>
                <w:szCs w:val="21"/>
              </w:rPr>
              <w:t>1.3.2</w:t>
            </w:r>
          </w:p>
        </w:tc>
        <w:tc>
          <w:tcPr>
            <w:tcW w:w="1451" w:type="dxa"/>
            <w:vAlign w:val="center"/>
          </w:tcPr>
          <w:p w14:paraId="0733E6AE">
            <w:pPr>
              <w:snapToGrid w:val="0"/>
              <w:spacing w:line="400" w:lineRule="exact"/>
              <w:jc w:val="center"/>
              <w:rPr>
                <w:rFonts w:ascii="宋体" w:hAnsi="宋体"/>
                <w:kern w:val="0"/>
                <w:szCs w:val="21"/>
              </w:rPr>
            </w:pPr>
            <w:r>
              <w:rPr>
                <w:rFonts w:ascii="宋体" w:hAnsi="宋体"/>
                <w:kern w:val="0"/>
                <w:szCs w:val="21"/>
              </w:rPr>
              <w:t>计划工期</w:t>
            </w:r>
          </w:p>
          <w:p w14:paraId="4A4F2C6C">
            <w:pPr>
              <w:snapToGrid w:val="0"/>
              <w:spacing w:line="400" w:lineRule="exact"/>
              <w:jc w:val="center"/>
              <w:rPr>
                <w:rFonts w:ascii="宋体" w:hAnsi="宋体"/>
                <w:kern w:val="0"/>
                <w:szCs w:val="21"/>
              </w:rPr>
            </w:pPr>
            <w:r>
              <w:rPr>
                <w:rFonts w:hint="eastAsia" w:ascii="宋体" w:hAnsi="宋体"/>
                <w:kern w:val="0"/>
                <w:szCs w:val="21"/>
              </w:rPr>
              <w:t>缺陷责任期</w:t>
            </w:r>
          </w:p>
        </w:tc>
        <w:tc>
          <w:tcPr>
            <w:tcW w:w="6683" w:type="dxa"/>
            <w:vAlign w:val="center"/>
          </w:tcPr>
          <w:p w14:paraId="75A7A861">
            <w:pPr>
              <w:snapToGrid w:val="0"/>
              <w:spacing w:line="400" w:lineRule="exact"/>
              <w:ind w:firstLine="420" w:firstLineChars="200"/>
              <w:rPr>
                <w:rFonts w:ascii="宋体" w:hAnsi="宋体"/>
                <w:snapToGrid w:val="0"/>
                <w:color w:val="FF0000"/>
                <w:kern w:val="0"/>
                <w:szCs w:val="21"/>
                <w:u w:val="single"/>
              </w:rPr>
            </w:pPr>
            <w:r>
              <w:rPr>
                <w:rFonts w:hint="eastAsia" w:ascii="宋体" w:hAnsi="宋体"/>
                <w:color w:val="FF0000"/>
                <w:kern w:val="0"/>
                <w:szCs w:val="21"/>
              </w:rPr>
              <w:t>工期：</w:t>
            </w:r>
            <w:r>
              <w:rPr>
                <w:rFonts w:hint="eastAsia" w:ascii="宋体" w:hAnsi="宋体"/>
                <w:snapToGrid w:val="0"/>
                <w:color w:val="FF0000"/>
                <w:kern w:val="0"/>
                <w:szCs w:val="21"/>
                <w:u w:val="single"/>
                <w:lang w:eastAsia="zh-CN"/>
              </w:rPr>
              <w:t>自总监理工程师下发开工令之日起，</w:t>
            </w:r>
            <w:r>
              <w:rPr>
                <w:rFonts w:hint="eastAsia" w:ascii="宋体" w:hAnsi="宋体"/>
                <w:snapToGrid w:val="0"/>
                <w:color w:val="FF0000"/>
                <w:kern w:val="0"/>
                <w:szCs w:val="21"/>
                <w:highlight w:val="none"/>
                <w:u w:val="single"/>
                <w:lang w:val="en-US" w:eastAsia="zh-CN"/>
              </w:rPr>
              <w:t>40日历</w:t>
            </w:r>
            <w:r>
              <w:rPr>
                <w:rFonts w:hint="eastAsia" w:ascii="宋体" w:hAnsi="宋体"/>
                <w:snapToGrid w:val="0"/>
                <w:color w:val="FF0000"/>
                <w:kern w:val="0"/>
                <w:szCs w:val="21"/>
                <w:highlight w:val="none"/>
                <w:u w:val="single"/>
              </w:rPr>
              <w:t>天</w:t>
            </w:r>
            <w:r>
              <w:rPr>
                <w:rFonts w:hint="eastAsia" w:ascii="宋体" w:hAnsi="宋体"/>
                <w:snapToGrid w:val="0"/>
                <w:color w:val="FF0000"/>
                <w:kern w:val="0"/>
                <w:szCs w:val="21"/>
                <w:highlight w:val="none"/>
                <w:u w:val="single"/>
                <w:lang w:eastAsia="zh-CN"/>
              </w:rPr>
              <w:t>完成停车场所有建设工作（一期：</w:t>
            </w:r>
            <w:r>
              <w:rPr>
                <w:rFonts w:hint="eastAsia" w:ascii="宋体" w:hAnsi="宋体"/>
                <w:snapToGrid w:val="0"/>
                <w:color w:val="FF0000"/>
                <w:kern w:val="0"/>
                <w:szCs w:val="21"/>
                <w:highlight w:val="none"/>
                <w:u w:val="single"/>
                <w:lang w:val="en-US" w:eastAsia="zh-CN"/>
              </w:rPr>
              <w:t>25日历天；二期：15日历天，如遇极端天气工期顺延，完工后及时通知委托人验收</w:t>
            </w:r>
            <w:r>
              <w:rPr>
                <w:rFonts w:hint="eastAsia" w:ascii="宋体" w:hAnsi="宋体"/>
                <w:snapToGrid w:val="0"/>
                <w:color w:val="FF0000"/>
                <w:kern w:val="0"/>
                <w:szCs w:val="21"/>
                <w:highlight w:val="none"/>
                <w:u w:val="single"/>
                <w:lang w:eastAsia="zh-CN"/>
              </w:rPr>
              <w:t>）。</w:t>
            </w:r>
          </w:p>
          <w:p w14:paraId="50F1A9CA">
            <w:pPr>
              <w:snapToGrid w:val="0"/>
              <w:spacing w:line="400" w:lineRule="exact"/>
              <w:ind w:firstLine="420" w:firstLineChars="200"/>
              <w:rPr>
                <w:rFonts w:hint="eastAsia" w:ascii="宋体" w:hAnsi="宋体" w:eastAsia="宋体"/>
                <w:kern w:val="0"/>
                <w:szCs w:val="21"/>
                <w:lang w:eastAsia="zh-CN"/>
              </w:rPr>
            </w:pPr>
            <w:r>
              <w:rPr>
                <w:rFonts w:hint="eastAsia" w:ascii="宋体" w:hAnsi="宋体"/>
                <w:kern w:val="0"/>
                <w:szCs w:val="21"/>
              </w:rPr>
              <w:t>缺陷责任期：</w:t>
            </w:r>
            <w:r>
              <w:rPr>
                <w:rFonts w:hint="eastAsia" w:ascii="宋体" w:hAnsi="宋体"/>
                <w:snapToGrid w:val="0"/>
                <w:kern w:val="0"/>
                <w:szCs w:val="21"/>
                <w:u w:val="single"/>
              </w:rPr>
              <w:t xml:space="preserve">  </w:t>
            </w:r>
            <w:r>
              <w:rPr>
                <w:rFonts w:ascii="宋体" w:hAnsi="宋体"/>
                <w:snapToGrid w:val="0"/>
                <w:kern w:val="0"/>
                <w:szCs w:val="21"/>
                <w:u w:val="single"/>
              </w:rPr>
              <w:t>24</w:t>
            </w:r>
            <w:r>
              <w:rPr>
                <w:rFonts w:hint="eastAsia" w:ascii="宋体" w:hAnsi="宋体"/>
                <w:snapToGrid w:val="0"/>
                <w:kern w:val="0"/>
                <w:szCs w:val="21"/>
                <w:u w:val="single"/>
              </w:rPr>
              <w:t>个月</w:t>
            </w:r>
            <w:r>
              <w:rPr>
                <w:rFonts w:hint="eastAsia" w:ascii="宋体" w:hAnsi="宋体"/>
                <w:snapToGrid w:val="0"/>
                <w:kern w:val="0"/>
                <w:szCs w:val="21"/>
                <w:u w:val="single"/>
                <w:lang w:eastAsia="zh-CN"/>
              </w:rPr>
              <w:t>。</w:t>
            </w:r>
          </w:p>
        </w:tc>
      </w:tr>
      <w:tr w14:paraId="7580B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25" w:hRule="atLeast"/>
          <w:jc w:val="center"/>
        </w:trPr>
        <w:tc>
          <w:tcPr>
            <w:tcW w:w="1240" w:type="dxa"/>
            <w:vAlign w:val="center"/>
          </w:tcPr>
          <w:p w14:paraId="1A154CEB">
            <w:pPr>
              <w:snapToGrid w:val="0"/>
              <w:spacing w:line="400" w:lineRule="exact"/>
              <w:jc w:val="center"/>
              <w:rPr>
                <w:rFonts w:ascii="宋体" w:hAnsi="宋体"/>
                <w:kern w:val="0"/>
                <w:szCs w:val="21"/>
              </w:rPr>
            </w:pPr>
            <w:r>
              <w:rPr>
                <w:rFonts w:ascii="宋体" w:hAnsi="宋体"/>
                <w:kern w:val="0"/>
                <w:szCs w:val="21"/>
              </w:rPr>
              <w:t>1.3.3</w:t>
            </w:r>
          </w:p>
        </w:tc>
        <w:tc>
          <w:tcPr>
            <w:tcW w:w="1451" w:type="dxa"/>
            <w:vAlign w:val="center"/>
          </w:tcPr>
          <w:p w14:paraId="08B42318">
            <w:pPr>
              <w:snapToGrid w:val="0"/>
              <w:spacing w:line="400" w:lineRule="exact"/>
              <w:jc w:val="center"/>
              <w:rPr>
                <w:rFonts w:ascii="宋体" w:hAnsi="宋体"/>
                <w:kern w:val="0"/>
                <w:szCs w:val="21"/>
              </w:rPr>
            </w:pPr>
            <w:r>
              <w:rPr>
                <w:rFonts w:ascii="宋体" w:hAnsi="宋体"/>
                <w:kern w:val="0"/>
                <w:szCs w:val="21"/>
              </w:rPr>
              <w:t>质量要求</w:t>
            </w:r>
          </w:p>
        </w:tc>
        <w:tc>
          <w:tcPr>
            <w:tcW w:w="6683" w:type="dxa"/>
            <w:vAlign w:val="center"/>
          </w:tcPr>
          <w:p w14:paraId="3CDE45C6">
            <w:pPr>
              <w:snapToGrid w:val="0"/>
              <w:spacing w:line="400" w:lineRule="exact"/>
              <w:rPr>
                <w:rFonts w:ascii="宋体" w:hAnsi="宋体"/>
                <w:szCs w:val="21"/>
              </w:rPr>
            </w:pPr>
            <w:r>
              <w:rPr>
                <w:rFonts w:hint="eastAsia" w:ascii="宋体" w:hAnsi="宋体"/>
                <w:szCs w:val="21"/>
              </w:rPr>
              <w:t>符合强制性质量标准，</w:t>
            </w:r>
            <w:r>
              <w:rPr>
                <w:rFonts w:hint="eastAsia" w:ascii="宋体" w:hAnsi="宋体"/>
                <w:szCs w:val="21"/>
                <w:u w:val="single"/>
              </w:rPr>
              <w:t>符合</w:t>
            </w:r>
            <w:r>
              <w:rPr>
                <w:rFonts w:ascii="宋体" w:hAnsi="宋体"/>
                <w:szCs w:val="21"/>
                <w:u w:val="single"/>
              </w:rPr>
              <w:t>国家和重庆市现行有关施工质量验收规范要求，并达到合格标准</w:t>
            </w:r>
            <w:r>
              <w:rPr>
                <w:rFonts w:ascii="宋体" w:hAnsi="宋体"/>
                <w:szCs w:val="21"/>
              </w:rPr>
              <w:t>。</w:t>
            </w:r>
          </w:p>
        </w:tc>
      </w:tr>
      <w:tr w14:paraId="29FE0F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240" w:type="dxa"/>
            <w:vAlign w:val="center"/>
          </w:tcPr>
          <w:p w14:paraId="380BF5A6">
            <w:pPr>
              <w:snapToGrid w:val="0"/>
              <w:spacing w:line="400" w:lineRule="exact"/>
              <w:jc w:val="center"/>
              <w:rPr>
                <w:rFonts w:ascii="宋体" w:hAnsi="宋体"/>
                <w:kern w:val="0"/>
                <w:szCs w:val="21"/>
              </w:rPr>
            </w:pPr>
          </w:p>
          <w:p w14:paraId="78DC2FB6">
            <w:pPr>
              <w:snapToGrid w:val="0"/>
              <w:spacing w:line="400" w:lineRule="exact"/>
              <w:jc w:val="center"/>
              <w:rPr>
                <w:rFonts w:ascii="宋体" w:hAnsi="宋体"/>
                <w:kern w:val="0"/>
                <w:szCs w:val="21"/>
              </w:rPr>
            </w:pPr>
          </w:p>
          <w:p w14:paraId="7E3EB23F">
            <w:pPr>
              <w:snapToGrid w:val="0"/>
              <w:spacing w:line="400" w:lineRule="exact"/>
              <w:jc w:val="center"/>
              <w:rPr>
                <w:rFonts w:ascii="宋体" w:hAnsi="宋体"/>
                <w:kern w:val="0"/>
                <w:szCs w:val="21"/>
              </w:rPr>
            </w:pPr>
          </w:p>
          <w:p w14:paraId="7D52D301">
            <w:pPr>
              <w:snapToGrid w:val="0"/>
              <w:spacing w:line="400" w:lineRule="exact"/>
              <w:jc w:val="center"/>
              <w:rPr>
                <w:rFonts w:ascii="宋体" w:hAnsi="宋体"/>
                <w:kern w:val="0"/>
                <w:szCs w:val="21"/>
              </w:rPr>
            </w:pPr>
          </w:p>
          <w:p w14:paraId="7CE146AB">
            <w:pPr>
              <w:snapToGrid w:val="0"/>
              <w:spacing w:line="400" w:lineRule="exact"/>
              <w:jc w:val="center"/>
              <w:rPr>
                <w:rFonts w:ascii="宋体" w:hAnsi="宋体"/>
                <w:kern w:val="0"/>
                <w:szCs w:val="21"/>
              </w:rPr>
            </w:pPr>
          </w:p>
          <w:p w14:paraId="1347A472">
            <w:pPr>
              <w:snapToGrid w:val="0"/>
              <w:spacing w:line="400" w:lineRule="exact"/>
              <w:jc w:val="center"/>
              <w:rPr>
                <w:rFonts w:ascii="宋体" w:hAnsi="宋体"/>
                <w:kern w:val="0"/>
                <w:szCs w:val="21"/>
              </w:rPr>
            </w:pPr>
          </w:p>
          <w:p w14:paraId="01A4DA5F">
            <w:pPr>
              <w:snapToGrid w:val="0"/>
              <w:spacing w:line="400" w:lineRule="exact"/>
              <w:jc w:val="center"/>
              <w:rPr>
                <w:rFonts w:ascii="宋体" w:hAnsi="宋体"/>
                <w:kern w:val="0"/>
                <w:szCs w:val="21"/>
              </w:rPr>
            </w:pPr>
          </w:p>
          <w:p w14:paraId="64362974">
            <w:pPr>
              <w:snapToGrid w:val="0"/>
              <w:spacing w:line="400" w:lineRule="exact"/>
              <w:jc w:val="center"/>
              <w:rPr>
                <w:rFonts w:ascii="宋体" w:hAnsi="宋体"/>
                <w:kern w:val="0"/>
                <w:szCs w:val="21"/>
              </w:rPr>
            </w:pPr>
          </w:p>
          <w:p w14:paraId="166AD22E">
            <w:pPr>
              <w:snapToGrid w:val="0"/>
              <w:spacing w:line="400" w:lineRule="exact"/>
              <w:jc w:val="center"/>
              <w:rPr>
                <w:rFonts w:ascii="宋体" w:hAnsi="宋体"/>
                <w:kern w:val="0"/>
                <w:szCs w:val="21"/>
              </w:rPr>
            </w:pPr>
          </w:p>
          <w:p w14:paraId="43922B33">
            <w:pPr>
              <w:snapToGrid w:val="0"/>
              <w:spacing w:line="400" w:lineRule="exact"/>
              <w:jc w:val="center"/>
              <w:rPr>
                <w:rFonts w:ascii="宋体" w:hAnsi="宋体"/>
                <w:kern w:val="0"/>
                <w:szCs w:val="21"/>
              </w:rPr>
            </w:pPr>
          </w:p>
          <w:p w14:paraId="6163A699">
            <w:pPr>
              <w:snapToGrid w:val="0"/>
              <w:spacing w:line="400" w:lineRule="exact"/>
              <w:jc w:val="center"/>
              <w:rPr>
                <w:rFonts w:ascii="宋体" w:hAnsi="宋体"/>
                <w:kern w:val="0"/>
                <w:szCs w:val="21"/>
              </w:rPr>
            </w:pPr>
          </w:p>
          <w:p w14:paraId="06DFC972">
            <w:pPr>
              <w:snapToGrid w:val="0"/>
              <w:spacing w:line="400" w:lineRule="exact"/>
              <w:jc w:val="center"/>
              <w:rPr>
                <w:rFonts w:ascii="宋体" w:hAnsi="宋体"/>
                <w:kern w:val="0"/>
                <w:szCs w:val="21"/>
              </w:rPr>
            </w:pPr>
          </w:p>
          <w:p w14:paraId="5BB65195">
            <w:pPr>
              <w:snapToGrid w:val="0"/>
              <w:spacing w:line="400" w:lineRule="exact"/>
              <w:jc w:val="center"/>
              <w:rPr>
                <w:rFonts w:ascii="宋体" w:hAnsi="宋体"/>
                <w:kern w:val="0"/>
                <w:szCs w:val="21"/>
              </w:rPr>
            </w:pPr>
          </w:p>
          <w:p w14:paraId="372D03BE">
            <w:pPr>
              <w:snapToGrid w:val="0"/>
              <w:spacing w:line="400" w:lineRule="exact"/>
              <w:jc w:val="center"/>
              <w:rPr>
                <w:rFonts w:ascii="宋体" w:hAnsi="宋体"/>
                <w:kern w:val="0"/>
                <w:szCs w:val="21"/>
              </w:rPr>
            </w:pPr>
          </w:p>
          <w:p w14:paraId="7AD0D8F9">
            <w:pPr>
              <w:snapToGrid w:val="0"/>
              <w:spacing w:line="400" w:lineRule="exact"/>
              <w:jc w:val="center"/>
              <w:rPr>
                <w:rFonts w:ascii="宋体" w:hAnsi="宋体"/>
                <w:kern w:val="0"/>
                <w:szCs w:val="21"/>
              </w:rPr>
            </w:pPr>
          </w:p>
          <w:p w14:paraId="2378D6F1">
            <w:pPr>
              <w:snapToGrid w:val="0"/>
              <w:spacing w:line="400" w:lineRule="exact"/>
              <w:jc w:val="center"/>
              <w:rPr>
                <w:rFonts w:ascii="宋体" w:hAnsi="宋体"/>
                <w:kern w:val="0"/>
                <w:szCs w:val="21"/>
              </w:rPr>
            </w:pPr>
          </w:p>
          <w:p w14:paraId="2C00B1A9">
            <w:pPr>
              <w:snapToGrid w:val="0"/>
              <w:spacing w:line="400" w:lineRule="exact"/>
              <w:jc w:val="center"/>
              <w:rPr>
                <w:rFonts w:ascii="宋体" w:hAnsi="宋体"/>
                <w:kern w:val="0"/>
                <w:szCs w:val="21"/>
              </w:rPr>
            </w:pPr>
          </w:p>
          <w:p w14:paraId="1376B4BC">
            <w:pPr>
              <w:snapToGrid w:val="0"/>
              <w:spacing w:line="400" w:lineRule="exact"/>
              <w:jc w:val="center"/>
              <w:rPr>
                <w:rFonts w:ascii="宋体" w:hAnsi="宋体"/>
                <w:kern w:val="0"/>
                <w:szCs w:val="21"/>
              </w:rPr>
            </w:pPr>
            <w:r>
              <w:rPr>
                <w:rFonts w:ascii="宋体" w:hAnsi="宋体"/>
                <w:kern w:val="0"/>
                <w:szCs w:val="21"/>
              </w:rPr>
              <w:t>1.4.1</w:t>
            </w:r>
          </w:p>
          <w:p w14:paraId="37910F1E">
            <w:pPr>
              <w:snapToGrid w:val="0"/>
              <w:spacing w:line="400" w:lineRule="exact"/>
              <w:jc w:val="center"/>
              <w:rPr>
                <w:rFonts w:ascii="宋体" w:hAnsi="宋体"/>
                <w:kern w:val="0"/>
                <w:szCs w:val="21"/>
              </w:rPr>
            </w:pPr>
          </w:p>
          <w:p w14:paraId="17680392">
            <w:pPr>
              <w:snapToGrid w:val="0"/>
              <w:spacing w:line="400" w:lineRule="exact"/>
              <w:jc w:val="center"/>
              <w:rPr>
                <w:rFonts w:ascii="宋体" w:hAnsi="宋体"/>
                <w:kern w:val="0"/>
                <w:szCs w:val="21"/>
              </w:rPr>
            </w:pPr>
          </w:p>
          <w:p w14:paraId="1A1838E9">
            <w:pPr>
              <w:snapToGrid w:val="0"/>
              <w:spacing w:line="400" w:lineRule="exact"/>
              <w:jc w:val="center"/>
              <w:rPr>
                <w:rFonts w:ascii="宋体" w:hAnsi="宋体"/>
                <w:kern w:val="0"/>
                <w:szCs w:val="21"/>
              </w:rPr>
            </w:pPr>
          </w:p>
          <w:p w14:paraId="131E89AE">
            <w:pPr>
              <w:snapToGrid w:val="0"/>
              <w:spacing w:line="400" w:lineRule="exact"/>
              <w:jc w:val="center"/>
              <w:rPr>
                <w:rFonts w:ascii="宋体" w:hAnsi="宋体"/>
                <w:kern w:val="0"/>
                <w:szCs w:val="21"/>
              </w:rPr>
            </w:pPr>
          </w:p>
          <w:p w14:paraId="4D93B142">
            <w:pPr>
              <w:snapToGrid w:val="0"/>
              <w:spacing w:line="400" w:lineRule="exact"/>
              <w:jc w:val="center"/>
              <w:rPr>
                <w:rFonts w:ascii="宋体" w:hAnsi="宋体"/>
                <w:kern w:val="0"/>
                <w:szCs w:val="21"/>
              </w:rPr>
            </w:pPr>
          </w:p>
          <w:p w14:paraId="730A2729">
            <w:pPr>
              <w:snapToGrid w:val="0"/>
              <w:spacing w:line="400" w:lineRule="exact"/>
              <w:jc w:val="center"/>
              <w:rPr>
                <w:rFonts w:ascii="宋体" w:hAnsi="宋体"/>
                <w:kern w:val="0"/>
                <w:szCs w:val="21"/>
              </w:rPr>
            </w:pPr>
          </w:p>
          <w:p w14:paraId="04358D28">
            <w:pPr>
              <w:snapToGrid w:val="0"/>
              <w:spacing w:line="400" w:lineRule="exact"/>
              <w:jc w:val="center"/>
              <w:rPr>
                <w:rFonts w:ascii="宋体" w:hAnsi="宋体"/>
                <w:kern w:val="0"/>
                <w:szCs w:val="21"/>
              </w:rPr>
            </w:pPr>
          </w:p>
          <w:p w14:paraId="5C6BF68C">
            <w:pPr>
              <w:snapToGrid w:val="0"/>
              <w:spacing w:line="400" w:lineRule="exact"/>
              <w:jc w:val="center"/>
              <w:rPr>
                <w:rFonts w:ascii="宋体" w:hAnsi="宋体"/>
                <w:kern w:val="0"/>
                <w:szCs w:val="21"/>
              </w:rPr>
            </w:pPr>
          </w:p>
          <w:p w14:paraId="745F0B12">
            <w:pPr>
              <w:snapToGrid w:val="0"/>
              <w:spacing w:line="400" w:lineRule="exact"/>
              <w:jc w:val="center"/>
              <w:rPr>
                <w:rFonts w:ascii="宋体" w:hAnsi="宋体"/>
                <w:kern w:val="0"/>
                <w:szCs w:val="21"/>
              </w:rPr>
            </w:pPr>
          </w:p>
          <w:p w14:paraId="699F27FC">
            <w:pPr>
              <w:snapToGrid w:val="0"/>
              <w:spacing w:line="400" w:lineRule="exact"/>
              <w:jc w:val="center"/>
              <w:rPr>
                <w:rFonts w:ascii="宋体" w:hAnsi="宋体"/>
                <w:kern w:val="0"/>
                <w:szCs w:val="21"/>
              </w:rPr>
            </w:pPr>
          </w:p>
          <w:p w14:paraId="6A452A44">
            <w:pPr>
              <w:snapToGrid w:val="0"/>
              <w:spacing w:line="400" w:lineRule="exact"/>
              <w:jc w:val="center"/>
              <w:rPr>
                <w:rFonts w:ascii="宋体" w:hAnsi="宋体"/>
                <w:kern w:val="0"/>
                <w:szCs w:val="21"/>
              </w:rPr>
            </w:pPr>
          </w:p>
          <w:p w14:paraId="4FFF89A0">
            <w:pPr>
              <w:snapToGrid w:val="0"/>
              <w:spacing w:line="400" w:lineRule="exact"/>
              <w:jc w:val="center"/>
              <w:rPr>
                <w:rFonts w:ascii="宋体" w:hAnsi="宋体"/>
                <w:kern w:val="0"/>
                <w:szCs w:val="21"/>
              </w:rPr>
            </w:pPr>
          </w:p>
          <w:p w14:paraId="2C9573C4">
            <w:pPr>
              <w:snapToGrid w:val="0"/>
              <w:spacing w:line="400" w:lineRule="exact"/>
              <w:jc w:val="center"/>
              <w:rPr>
                <w:rFonts w:ascii="宋体" w:hAnsi="宋体"/>
                <w:kern w:val="0"/>
                <w:szCs w:val="21"/>
              </w:rPr>
            </w:pPr>
          </w:p>
          <w:p w14:paraId="665392DA">
            <w:pPr>
              <w:snapToGrid w:val="0"/>
              <w:spacing w:line="400" w:lineRule="exact"/>
              <w:jc w:val="center"/>
              <w:rPr>
                <w:rFonts w:ascii="宋体" w:hAnsi="宋体"/>
                <w:kern w:val="0"/>
                <w:szCs w:val="21"/>
              </w:rPr>
            </w:pPr>
          </w:p>
          <w:p w14:paraId="1E0203B6">
            <w:pPr>
              <w:snapToGrid w:val="0"/>
              <w:spacing w:line="400" w:lineRule="exact"/>
              <w:jc w:val="center"/>
              <w:rPr>
                <w:rFonts w:ascii="宋体" w:hAnsi="宋体"/>
                <w:kern w:val="0"/>
                <w:szCs w:val="21"/>
              </w:rPr>
            </w:pPr>
          </w:p>
          <w:p w14:paraId="5457A7DF">
            <w:pPr>
              <w:snapToGrid w:val="0"/>
              <w:spacing w:line="400" w:lineRule="exact"/>
              <w:jc w:val="center"/>
              <w:rPr>
                <w:rFonts w:ascii="宋体" w:hAnsi="宋体"/>
                <w:kern w:val="0"/>
                <w:szCs w:val="21"/>
              </w:rPr>
            </w:pPr>
          </w:p>
          <w:p w14:paraId="3FF82824">
            <w:pPr>
              <w:snapToGrid w:val="0"/>
              <w:spacing w:line="400" w:lineRule="exact"/>
              <w:jc w:val="center"/>
              <w:rPr>
                <w:rFonts w:ascii="宋体" w:hAnsi="宋体"/>
                <w:kern w:val="0"/>
                <w:szCs w:val="21"/>
              </w:rPr>
            </w:pPr>
          </w:p>
          <w:p w14:paraId="40882E8E">
            <w:pPr>
              <w:snapToGrid w:val="0"/>
              <w:spacing w:line="400" w:lineRule="exact"/>
              <w:jc w:val="center"/>
              <w:rPr>
                <w:rFonts w:ascii="宋体" w:hAnsi="宋体"/>
                <w:kern w:val="0"/>
                <w:szCs w:val="21"/>
              </w:rPr>
            </w:pPr>
          </w:p>
          <w:p w14:paraId="689D1EC3">
            <w:pPr>
              <w:snapToGrid w:val="0"/>
              <w:spacing w:line="400" w:lineRule="exact"/>
              <w:jc w:val="center"/>
              <w:rPr>
                <w:rFonts w:ascii="宋体" w:hAnsi="宋体"/>
                <w:kern w:val="0"/>
                <w:szCs w:val="21"/>
              </w:rPr>
            </w:pPr>
          </w:p>
          <w:p w14:paraId="100E0A43">
            <w:pPr>
              <w:snapToGrid w:val="0"/>
              <w:spacing w:line="400" w:lineRule="exact"/>
              <w:jc w:val="center"/>
              <w:rPr>
                <w:rFonts w:ascii="宋体" w:hAnsi="宋体"/>
                <w:kern w:val="0"/>
                <w:szCs w:val="21"/>
              </w:rPr>
            </w:pPr>
          </w:p>
          <w:p w14:paraId="69BBEE56">
            <w:pPr>
              <w:snapToGrid w:val="0"/>
              <w:spacing w:line="400" w:lineRule="exact"/>
              <w:jc w:val="center"/>
              <w:rPr>
                <w:rFonts w:ascii="宋体" w:hAnsi="宋体"/>
                <w:kern w:val="0"/>
                <w:szCs w:val="21"/>
              </w:rPr>
            </w:pPr>
          </w:p>
          <w:p w14:paraId="653A71CE">
            <w:pPr>
              <w:snapToGrid w:val="0"/>
              <w:spacing w:line="400" w:lineRule="exact"/>
              <w:jc w:val="center"/>
              <w:rPr>
                <w:rFonts w:ascii="宋体" w:hAnsi="宋体"/>
                <w:kern w:val="0"/>
                <w:szCs w:val="21"/>
              </w:rPr>
            </w:pPr>
          </w:p>
          <w:p w14:paraId="0DFBB118">
            <w:pPr>
              <w:snapToGrid w:val="0"/>
              <w:spacing w:line="400" w:lineRule="exact"/>
              <w:jc w:val="center"/>
              <w:rPr>
                <w:rFonts w:ascii="宋体" w:hAnsi="宋体"/>
                <w:kern w:val="0"/>
                <w:szCs w:val="21"/>
              </w:rPr>
            </w:pPr>
          </w:p>
          <w:p w14:paraId="0A3B5633">
            <w:pPr>
              <w:snapToGrid w:val="0"/>
              <w:spacing w:line="400" w:lineRule="exact"/>
              <w:jc w:val="center"/>
              <w:rPr>
                <w:rFonts w:ascii="宋体" w:hAnsi="宋体"/>
                <w:kern w:val="0"/>
                <w:szCs w:val="21"/>
              </w:rPr>
            </w:pPr>
          </w:p>
          <w:p w14:paraId="1C945BFC">
            <w:pPr>
              <w:snapToGrid w:val="0"/>
              <w:spacing w:line="400" w:lineRule="exact"/>
              <w:jc w:val="center"/>
              <w:rPr>
                <w:rFonts w:ascii="宋体" w:hAnsi="宋体"/>
                <w:kern w:val="0"/>
                <w:szCs w:val="21"/>
              </w:rPr>
            </w:pPr>
          </w:p>
          <w:p w14:paraId="18DCA1A2">
            <w:pPr>
              <w:snapToGrid w:val="0"/>
              <w:spacing w:line="400" w:lineRule="exact"/>
              <w:jc w:val="center"/>
              <w:rPr>
                <w:rFonts w:ascii="宋体" w:hAnsi="宋体"/>
                <w:kern w:val="0"/>
                <w:szCs w:val="21"/>
              </w:rPr>
            </w:pPr>
          </w:p>
          <w:p w14:paraId="07137222">
            <w:pPr>
              <w:snapToGrid w:val="0"/>
              <w:spacing w:line="400" w:lineRule="exact"/>
              <w:jc w:val="center"/>
              <w:rPr>
                <w:rFonts w:ascii="宋体" w:hAnsi="宋体"/>
                <w:kern w:val="0"/>
                <w:szCs w:val="21"/>
              </w:rPr>
            </w:pPr>
          </w:p>
          <w:p w14:paraId="48F8EA2B">
            <w:pPr>
              <w:snapToGrid w:val="0"/>
              <w:spacing w:line="400" w:lineRule="exact"/>
              <w:jc w:val="center"/>
              <w:rPr>
                <w:rFonts w:ascii="宋体" w:hAnsi="宋体"/>
                <w:kern w:val="0"/>
                <w:szCs w:val="21"/>
              </w:rPr>
            </w:pPr>
          </w:p>
          <w:p w14:paraId="21CAA12F">
            <w:pPr>
              <w:snapToGrid w:val="0"/>
              <w:spacing w:line="400" w:lineRule="exact"/>
              <w:jc w:val="center"/>
              <w:rPr>
                <w:rFonts w:ascii="宋体" w:hAnsi="宋体"/>
                <w:kern w:val="0"/>
                <w:szCs w:val="21"/>
              </w:rPr>
            </w:pPr>
          </w:p>
          <w:p w14:paraId="04AA6809">
            <w:pPr>
              <w:snapToGrid w:val="0"/>
              <w:spacing w:line="400" w:lineRule="exact"/>
              <w:jc w:val="center"/>
              <w:rPr>
                <w:rFonts w:ascii="宋体" w:hAnsi="宋体"/>
                <w:kern w:val="0"/>
                <w:szCs w:val="21"/>
              </w:rPr>
            </w:pPr>
          </w:p>
          <w:p w14:paraId="30B195F0">
            <w:pPr>
              <w:snapToGrid w:val="0"/>
              <w:spacing w:line="400" w:lineRule="exact"/>
              <w:jc w:val="center"/>
              <w:rPr>
                <w:rFonts w:ascii="宋体" w:hAnsi="宋体"/>
                <w:kern w:val="0"/>
                <w:szCs w:val="21"/>
              </w:rPr>
            </w:pPr>
          </w:p>
          <w:p w14:paraId="691E07E7">
            <w:pPr>
              <w:snapToGrid w:val="0"/>
              <w:spacing w:line="400" w:lineRule="exact"/>
              <w:jc w:val="center"/>
              <w:rPr>
                <w:rFonts w:ascii="宋体" w:hAnsi="宋体"/>
                <w:kern w:val="0"/>
                <w:szCs w:val="21"/>
              </w:rPr>
            </w:pPr>
            <w:r>
              <w:rPr>
                <w:rFonts w:ascii="宋体" w:hAnsi="宋体"/>
                <w:kern w:val="0"/>
                <w:szCs w:val="21"/>
              </w:rPr>
              <w:t>1.4.1</w:t>
            </w:r>
          </w:p>
          <w:p w14:paraId="53B31384">
            <w:pPr>
              <w:snapToGrid w:val="0"/>
              <w:spacing w:line="400" w:lineRule="exact"/>
              <w:jc w:val="center"/>
              <w:rPr>
                <w:rFonts w:ascii="宋体" w:hAnsi="宋体"/>
                <w:kern w:val="0"/>
                <w:szCs w:val="21"/>
              </w:rPr>
            </w:pPr>
          </w:p>
          <w:p w14:paraId="008ACDC3">
            <w:pPr>
              <w:snapToGrid w:val="0"/>
              <w:spacing w:line="400" w:lineRule="exact"/>
              <w:jc w:val="center"/>
              <w:rPr>
                <w:rFonts w:ascii="宋体" w:hAnsi="宋体"/>
                <w:kern w:val="0"/>
                <w:szCs w:val="21"/>
              </w:rPr>
            </w:pPr>
          </w:p>
          <w:p w14:paraId="5149790D">
            <w:pPr>
              <w:snapToGrid w:val="0"/>
              <w:spacing w:line="400" w:lineRule="exact"/>
              <w:jc w:val="center"/>
              <w:rPr>
                <w:rFonts w:ascii="宋体" w:hAnsi="宋体"/>
                <w:kern w:val="0"/>
                <w:szCs w:val="21"/>
              </w:rPr>
            </w:pPr>
          </w:p>
          <w:p w14:paraId="4BCC36A2">
            <w:pPr>
              <w:snapToGrid w:val="0"/>
              <w:spacing w:line="400" w:lineRule="exact"/>
              <w:jc w:val="center"/>
              <w:rPr>
                <w:rFonts w:ascii="宋体" w:hAnsi="宋体"/>
                <w:kern w:val="0"/>
                <w:szCs w:val="21"/>
              </w:rPr>
            </w:pPr>
          </w:p>
          <w:p w14:paraId="239E5914">
            <w:pPr>
              <w:snapToGrid w:val="0"/>
              <w:spacing w:line="400" w:lineRule="exact"/>
              <w:jc w:val="center"/>
              <w:rPr>
                <w:rFonts w:ascii="宋体" w:hAnsi="宋体"/>
                <w:kern w:val="0"/>
                <w:szCs w:val="21"/>
              </w:rPr>
            </w:pPr>
          </w:p>
          <w:p w14:paraId="2287B793">
            <w:pPr>
              <w:snapToGrid w:val="0"/>
              <w:spacing w:line="400" w:lineRule="exact"/>
              <w:jc w:val="center"/>
              <w:rPr>
                <w:rFonts w:ascii="宋体" w:hAnsi="宋体"/>
                <w:kern w:val="0"/>
                <w:szCs w:val="21"/>
              </w:rPr>
            </w:pPr>
          </w:p>
          <w:p w14:paraId="44502E8A">
            <w:pPr>
              <w:snapToGrid w:val="0"/>
              <w:spacing w:line="400" w:lineRule="exact"/>
              <w:jc w:val="center"/>
              <w:rPr>
                <w:rFonts w:ascii="宋体" w:hAnsi="宋体"/>
                <w:kern w:val="0"/>
                <w:szCs w:val="21"/>
              </w:rPr>
            </w:pPr>
          </w:p>
          <w:p w14:paraId="358B9E28">
            <w:pPr>
              <w:snapToGrid w:val="0"/>
              <w:spacing w:line="400" w:lineRule="exact"/>
              <w:jc w:val="center"/>
              <w:rPr>
                <w:rFonts w:ascii="宋体" w:hAnsi="宋体"/>
                <w:kern w:val="0"/>
                <w:szCs w:val="21"/>
              </w:rPr>
            </w:pPr>
          </w:p>
          <w:p w14:paraId="76393227">
            <w:pPr>
              <w:snapToGrid w:val="0"/>
              <w:spacing w:line="400" w:lineRule="exact"/>
              <w:jc w:val="center"/>
              <w:rPr>
                <w:rFonts w:ascii="宋体" w:hAnsi="宋体"/>
                <w:kern w:val="0"/>
                <w:szCs w:val="21"/>
              </w:rPr>
            </w:pPr>
          </w:p>
          <w:p w14:paraId="5BE916A7">
            <w:pPr>
              <w:snapToGrid w:val="0"/>
              <w:spacing w:line="400" w:lineRule="exact"/>
              <w:jc w:val="center"/>
              <w:rPr>
                <w:rFonts w:ascii="宋体" w:hAnsi="宋体"/>
                <w:kern w:val="0"/>
                <w:szCs w:val="21"/>
              </w:rPr>
            </w:pPr>
          </w:p>
          <w:p w14:paraId="408E597C">
            <w:pPr>
              <w:snapToGrid w:val="0"/>
              <w:spacing w:line="400" w:lineRule="exact"/>
              <w:jc w:val="center"/>
              <w:rPr>
                <w:rFonts w:ascii="宋体" w:hAnsi="宋体"/>
                <w:kern w:val="0"/>
                <w:szCs w:val="21"/>
              </w:rPr>
            </w:pPr>
          </w:p>
          <w:p w14:paraId="0D28277B">
            <w:pPr>
              <w:snapToGrid w:val="0"/>
              <w:spacing w:line="400" w:lineRule="exact"/>
              <w:jc w:val="center"/>
              <w:rPr>
                <w:rFonts w:ascii="宋体" w:hAnsi="宋体"/>
                <w:kern w:val="0"/>
                <w:szCs w:val="21"/>
              </w:rPr>
            </w:pPr>
          </w:p>
          <w:p w14:paraId="188A5D43">
            <w:pPr>
              <w:snapToGrid w:val="0"/>
              <w:spacing w:line="400" w:lineRule="exact"/>
              <w:jc w:val="center"/>
              <w:rPr>
                <w:rFonts w:ascii="宋体" w:hAnsi="宋体"/>
                <w:kern w:val="0"/>
                <w:szCs w:val="21"/>
              </w:rPr>
            </w:pPr>
          </w:p>
          <w:p w14:paraId="71969BDB">
            <w:pPr>
              <w:snapToGrid w:val="0"/>
              <w:spacing w:line="400" w:lineRule="exact"/>
              <w:jc w:val="center"/>
              <w:rPr>
                <w:rFonts w:ascii="宋体" w:hAnsi="宋体"/>
                <w:kern w:val="0"/>
                <w:szCs w:val="21"/>
              </w:rPr>
            </w:pPr>
          </w:p>
          <w:p w14:paraId="1E3C7388">
            <w:pPr>
              <w:snapToGrid w:val="0"/>
              <w:spacing w:line="400" w:lineRule="exact"/>
              <w:jc w:val="center"/>
              <w:rPr>
                <w:rFonts w:ascii="宋体" w:hAnsi="宋体"/>
                <w:kern w:val="0"/>
                <w:szCs w:val="21"/>
              </w:rPr>
            </w:pPr>
          </w:p>
          <w:p w14:paraId="693B5B00">
            <w:pPr>
              <w:snapToGrid w:val="0"/>
              <w:spacing w:line="400" w:lineRule="exact"/>
              <w:jc w:val="center"/>
              <w:rPr>
                <w:rFonts w:ascii="宋体" w:hAnsi="宋体"/>
                <w:kern w:val="0"/>
                <w:szCs w:val="21"/>
              </w:rPr>
            </w:pPr>
          </w:p>
          <w:p w14:paraId="0369D161">
            <w:pPr>
              <w:snapToGrid w:val="0"/>
              <w:spacing w:line="400" w:lineRule="exact"/>
              <w:jc w:val="center"/>
              <w:rPr>
                <w:rFonts w:ascii="宋体" w:hAnsi="宋体"/>
                <w:kern w:val="0"/>
                <w:szCs w:val="21"/>
              </w:rPr>
            </w:pPr>
          </w:p>
          <w:p w14:paraId="67A0EC86">
            <w:pPr>
              <w:snapToGrid w:val="0"/>
              <w:spacing w:line="400" w:lineRule="exact"/>
              <w:jc w:val="center"/>
              <w:rPr>
                <w:rFonts w:ascii="宋体" w:hAnsi="宋体"/>
                <w:kern w:val="0"/>
                <w:szCs w:val="21"/>
              </w:rPr>
            </w:pPr>
          </w:p>
          <w:p w14:paraId="353CC3CF">
            <w:pPr>
              <w:snapToGrid w:val="0"/>
              <w:spacing w:line="400" w:lineRule="exact"/>
              <w:jc w:val="center"/>
              <w:rPr>
                <w:rFonts w:ascii="宋体" w:hAnsi="宋体"/>
                <w:kern w:val="0"/>
                <w:szCs w:val="21"/>
              </w:rPr>
            </w:pPr>
          </w:p>
          <w:p w14:paraId="7962753A">
            <w:pPr>
              <w:snapToGrid w:val="0"/>
              <w:spacing w:line="400" w:lineRule="exact"/>
              <w:jc w:val="center"/>
              <w:rPr>
                <w:rFonts w:ascii="宋体" w:hAnsi="宋体"/>
                <w:kern w:val="0"/>
                <w:szCs w:val="21"/>
              </w:rPr>
            </w:pPr>
          </w:p>
          <w:p w14:paraId="5DCAB599">
            <w:pPr>
              <w:snapToGrid w:val="0"/>
              <w:spacing w:line="400" w:lineRule="exact"/>
              <w:jc w:val="center"/>
              <w:rPr>
                <w:rFonts w:ascii="宋体" w:hAnsi="宋体"/>
                <w:kern w:val="0"/>
                <w:szCs w:val="21"/>
              </w:rPr>
            </w:pPr>
          </w:p>
          <w:p w14:paraId="5B463193">
            <w:pPr>
              <w:snapToGrid w:val="0"/>
              <w:spacing w:line="400" w:lineRule="exact"/>
              <w:jc w:val="center"/>
              <w:rPr>
                <w:rFonts w:ascii="宋体" w:hAnsi="宋体"/>
                <w:kern w:val="0"/>
                <w:szCs w:val="21"/>
              </w:rPr>
            </w:pPr>
          </w:p>
          <w:p w14:paraId="432D1480">
            <w:pPr>
              <w:snapToGrid w:val="0"/>
              <w:spacing w:line="400" w:lineRule="exact"/>
              <w:jc w:val="center"/>
              <w:rPr>
                <w:rFonts w:ascii="宋体" w:hAnsi="宋体"/>
                <w:kern w:val="0"/>
                <w:szCs w:val="21"/>
              </w:rPr>
            </w:pPr>
          </w:p>
          <w:p w14:paraId="3EE079A0">
            <w:pPr>
              <w:snapToGrid w:val="0"/>
              <w:spacing w:line="400" w:lineRule="exact"/>
              <w:jc w:val="center"/>
              <w:rPr>
                <w:rFonts w:ascii="宋体" w:hAnsi="宋体"/>
                <w:kern w:val="0"/>
                <w:szCs w:val="21"/>
              </w:rPr>
            </w:pPr>
          </w:p>
          <w:p w14:paraId="6058845F">
            <w:pPr>
              <w:snapToGrid w:val="0"/>
              <w:spacing w:line="400" w:lineRule="exact"/>
              <w:jc w:val="center"/>
              <w:rPr>
                <w:rFonts w:ascii="宋体" w:hAnsi="宋体"/>
                <w:kern w:val="0"/>
                <w:szCs w:val="21"/>
              </w:rPr>
            </w:pPr>
          </w:p>
          <w:p w14:paraId="1C23DF53">
            <w:pPr>
              <w:snapToGrid w:val="0"/>
              <w:spacing w:line="400" w:lineRule="exact"/>
              <w:jc w:val="center"/>
              <w:rPr>
                <w:rFonts w:ascii="宋体" w:hAnsi="宋体"/>
                <w:kern w:val="0"/>
                <w:szCs w:val="21"/>
              </w:rPr>
            </w:pPr>
          </w:p>
          <w:p w14:paraId="03B3B3B3">
            <w:pPr>
              <w:snapToGrid w:val="0"/>
              <w:spacing w:line="400" w:lineRule="exact"/>
              <w:jc w:val="center"/>
              <w:rPr>
                <w:rFonts w:ascii="宋体" w:hAnsi="宋体"/>
                <w:kern w:val="0"/>
                <w:szCs w:val="21"/>
              </w:rPr>
            </w:pPr>
          </w:p>
          <w:p w14:paraId="547545CF">
            <w:pPr>
              <w:snapToGrid w:val="0"/>
              <w:spacing w:line="400" w:lineRule="exact"/>
              <w:jc w:val="center"/>
              <w:rPr>
                <w:rFonts w:ascii="宋体" w:hAnsi="宋体"/>
                <w:kern w:val="0"/>
                <w:szCs w:val="21"/>
              </w:rPr>
            </w:pPr>
          </w:p>
          <w:p w14:paraId="52773197">
            <w:pPr>
              <w:snapToGrid w:val="0"/>
              <w:spacing w:line="400" w:lineRule="exact"/>
              <w:jc w:val="center"/>
              <w:rPr>
                <w:rFonts w:ascii="宋体" w:hAnsi="宋体"/>
                <w:kern w:val="0"/>
                <w:szCs w:val="21"/>
              </w:rPr>
            </w:pPr>
          </w:p>
          <w:p w14:paraId="39806CF6">
            <w:pPr>
              <w:snapToGrid w:val="0"/>
              <w:spacing w:line="400" w:lineRule="exact"/>
              <w:jc w:val="center"/>
              <w:rPr>
                <w:rFonts w:ascii="宋体" w:hAnsi="宋体"/>
                <w:kern w:val="0"/>
                <w:szCs w:val="21"/>
              </w:rPr>
            </w:pPr>
          </w:p>
          <w:p w14:paraId="6D45DFA6">
            <w:pPr>
              <w:snapToGrid w:val="0"/>
              <w:spacing w:line="400" w:lineRule="exact"/>
              <w:jc w:val="center"/>
              <w:rPr>
                <w:rFonts w:ascii="宋体" w:hAnsi="宋体"/>
                <w:kern w:val="0"/>
                <w:szCs w:val="21"/>
              </w:rPr>
            </w:pPr>
          </w:p>
          <w:p w14:paraId="554F4E4B">
            <w:pPr>
              <w:snapToGrid w:val="0"/>
              <w:spacing w:line="400" w:lineRule="exact"/>
              <w:jc w:val="center"/>
              <w:rPr>
                <w:rFonts w:ascii="宋体" w:hAnsi="宋体"/>
                <w:kern w:val="0"/>
                <w:szCs w:val="21"/>
              </w:rPr>
            </w:pPr>
          </w:p>
          <w:p w14:paraId="250EC9FD">
            <w:pPr>
              <w:snapToGrid w:val="0"/>
              <w:spacing w:line="400" w:lineRule="exact"/>
              <w:jc w:val="center"/>
              <w:rPr>
                <w:rFonts w:ascii="宋体" w:hAnsi="宋体"/>
                <w:kern w:val="0"/>
                <w:szCs w:val="21"/>
              </w:rPr>
            </w:pPr>
          </w:p>
          <w:p w14:paraId="40B63BEA">
            <w:pPr>
              <w:snapToGrid w:val="0"/>
              <w:spacing w:line="400" w:lineRule="exact"/>
              <w:jc w:val="center"/>
              <w:rPr>
                <w:rFonts w:ascii="宋体" w:hAnsi="宋体"/>
                <w:kern w:val="0"/>
                <w:szCs w:val="21"/>
              </w:rPr>
            </w:pPr>
          </w:p>
          <w:p w14:paraId="73D2C6A2">
            <w:pPr>
              <w:snapToGrid w:val="0"/>
              <w:spacing w:line="400" w:lineRule="exact"/>
              <w:jc w:val="center"/>
              <w:rPr>
                <w:rFonts w:ascii="宋体" w:hAnsi="宋体"/>
                <w:kern w:val="0"/>
                <w:szCs w:val="21"/>
              </w:rPr>
            </w:pPr>
          </w:p>
          <w:p w14:paraId="75079C52">
            <w:pPr>
              <w:snapToGrid w:val="0"/>
              <w:spacing w:line="400" w:lineRule="exact"/>
              <w:jc w:val="center"/>
              <w:rPr>
                <w:rFonts w:ascii="宋体" w:hAnsi="宋体"/>
                <w:kern w:val="0"/>
                <w:szCs w:val="21"/>
              </w:rPr>
            </w:pPr>
          </w:p>
          <w:p w14:paraId="18951F6F">
            <w:pPr>
              <w:snapToGrid w:val="0"/>
              <w:spacing w:line="400" w:lineRule="exact"/>
              <w:jc w:val="center"/>
              <w:rPr>
                <w:rFonts w:ascii="宋体" w:hAnsi="宋体"/>
                <w:kern w:val="0"/>
                <w:szCs w:val="21"/>
              </w:rPr>
            </w:pPr>
          </w:p>
          <w:p w14:paraId="1724667B">
            <w:pPr>
              <w:snapToGrid w:val="0"/>
              <w:spacing w:line="400" w:lineRule="exact"/>
              <w:jc w:val="center"/>
              <w:rPr>
                <w:rFonts w:ascii="宋体" w:hAnsi="宋体"/>
                <w:kern w:val="0"/>
                <w:szCs w:val="21"/>
              </w:rPr>
            </w:pPr>
          </w:p>
          <w:p w14:paraId="7341743F">
            <w:pPr>
              <w:snapToGrid w:val="0"/>
              <w:spacing w:line="400" w:lineRule="exact"/>
              <w:jc w:val="both"/>
              <w:rPr>
                <w:rFonts w:ascii="宋体" w:hAnsi="宋体"/>
                <w:kern w:val="0"/>
                <w:szCs w:val="21"/>
              </w:rPr>
            </w:pPr>
            <w:r>
              <w:rPr>
                <w:rFonts w:ascii="宋体" w:hAnsi="宋体"/>
                <w:kern w:val="0"/>
                <w:szCs w:val="21"/>
              </w:rPr>
              <w:t>1.4.1</w:t>
            </w:r>
          </w:p>
          <w:p w14:paraId="5C3373CD">
            <w:pPr>
              <w:snapToGrid w:val="0"/>
              <w:spacing w:line="400" w:lineRule="exact"/>
              <w:jc w:val="center"/>
              <w:rPr>
                <w:rFonts w:ascii="宋体" w:hAnsi="宋体"/>
                <w:kern w:val="0"/>
                <w:szCs w:val="21"/>
              </w:rPr>
            </w:pPr>
          </w:p>
          <w:p w14:paraId="154BB82B">
            <w:pPr>
              <w:snapToGrid w:val="0"/>
              <w:spacing w:line="400" w:lineRule="exact"/>
              <w:jc w:val="center"/>
              <w:rPr>
                <w:rFonts w:ascii="宋体" w:hAnsi="宋体"/>
                <w:kern w:val="0"/>
                <w:szCs w:val="21"/>
              </w:rPr>
            </w:pPr>
          </w:p>
          <w:p w14:paraId="46E1FA69">
            <w:pPr>
              <w:snapToGrid w:val="0"/>
              <w:spacing w:line="400" w:lineRule="exact"/>
              <w:jc w:val="center"/>
              <w:rPr>
                <w:rFonts w:ascii="宋体" w:hAnsi="宋体"/>
                <w:kern w:val="0"/>
                <w:szCs w:val="21"/>
              </w:rPr>
            </w:pPr>
          </w:p>
          <w:p w14:paraId="28605716">
            <w:pPr>
              <w:snapToGrid w:val="0"/>
              <w:spacing w:line="400" w:lineRule="exact"/>
              <w:jc w:val="center"/>
              <w:rPr>
                <w:rFonts w:ascii="宋体" w:hAnsi="宋体"/>
                <w:kern w:val="0"/>
                <w:szCs w:val="21"/>
              </w:rPr>
            </w:pPr>
          </w:p>
          <w:p w14:paraId="4DA8D180">
            <w:pPr>
              <w:snapToGrid w:val="0"/>
              <w:spacing w:line="400" w:lineRule="exact"/>
              <w:jc w:val="center"/>
              <w:rPr>
                <w:rFonts w:ascii="宋体" w:hAnsi="宋体"/>
                <w:kern w:val="0"/>
                <w:szCs w:val="21"/>
              </w:rPr>
            </w:pPr>
          </w:p>
          <w:p w14:paraId="1612EB70">
            <w:pPr>
              <w:snapToGrid w:val="0"/>
              <w:spacing w:line="400" w:lineRule="exact"/>
              <w:jc w:val="center"/>
              <w:rPr>
                <w:rFonts w:ascii="宋体" w:hAnsi="宋体"/>
                <w:kern w:val="0"/>
                <w:szCs w:val="21"/>
              </w:rPr>
            </w:pPr>
          </w:p>
          <w:p w14:paraId="2569D228">
            <w:pPr>
              <w:snapToGrid w:val="0"/>
              <w:spacing w:line="400" w:lineRule="exact"/>
              <w:jc w:val="center"/>
              <w:rPr>
                <w:rFonts w:ascii="宋体" w:hAnsi="宋体"/>
                <w:kern w:val="0"/>
                <w:szCs w:val="21"/>
              </w:rPr>
            </w:pPr>
          </w:p>
          <w:p w14:paraId="4D00E74B">
            <w:pPr>
              <w:snapToGrid w:val="0"/>
              <w:spacing w:line="400" w:lineRule="exact"/>
              <w:jc w:val="center"/>
              <w:rPr>
                <w:rFonts w:ascii="宋体" w:hAnsi="宋体"/>
                <w:kern w:val="0"/>
                <w:szCs w:val="21"/>
              </w:rPr>
            </w:pPr>
          </w:p>
          <w:p w14:paraId="0D7BDE9C">
            <w:pPr>
              <w:snapToGrid w:val="0"/>
              <w:spacing w:line="400" w:lineRule="exact"/>
              <w:jc w:val="center"/>
              <w:rPr>
                <w:rFonts w:ascii="宋体" w:hAnsi="宋体"/>
                <w:kern w:val="0"/>
                <w:szCs w:val="21"/>
              </w:rPr>
            </w:pPr>
          </w:p>
          <w:p w14:paraId="5F8DAE2A">
            <w:pPr>
              <w:snapToGrid w:val="0"/>
              <w:spacing w:line="400" w:lineRule="exact"/>
              <w:jc w:val="center"/>
              <w:rPr>
                <w:rFonts w:ascii="宋体" w:hAnsi="宋体"/>
                <w:kern w:val="0"/>
                <w:szCs w:val="21"/>
              </w:rPr>
            </w:pPr>
          </w:p>
          <w:p w14:paraId="6EA27D40">
            <w:pPr>
              <w:snapToGrid w:val="0"/>
              <w:spacing w:line="400" w:lineRule="exact"/>
              <w:jc w:val="center"/>
              <w:rPr>
                <w:rFonts w:ascii="宋体" w:hAnsi="宋体"/>
                <w:kern w:val="0"/>
                <w:szCs w:val="21"/>
              </w:rPr>
            </w:pPr>
          </w:p>
          <w:p w14:paraId="07B929AE">
            <w:pPr>
              <w:snapToGrid w:val="0"/>
              <w:spacing w:line="400" w:lineRule="exact"/>
              <w:jc w:val="center"/>
              <w:rPr>
                <w:rFonts w:ascii="宋体" w:hAnsi="宋体"/>
                <w:kern w:val="0"/>
                <w:szCs w:val="21"/>
              </w:rPr>
            </w:pPr>
          </w:p>
          <w:p w14:paraId="0775ECF7">
            <w:pPr>
              <w:snapToGrid w:val="0"/>
              <w:spacing w:line="400" w:lineRule="exact"/>
              <w:jc w:val="center"/>
              <w:rPr>
                <w:rFonts w:ascii="宋体" w:hAnsi="宋体"/>
                <w:kern w:val="0"/>
                <w:szCs w:val="21"/>
              </w:rPr>
            </w:pPr>
          </w:p>
          <w:p w14:paraId="4EB379BD">
            <w:pPr>
              <w:snapToGrid w:val="0"/>
              <w:spacing w:line="400" w:lineRule="exact"/>
              <w:jc w:val="center"/>
              <w:rPr>
                <w:rFonts w:ascii="宋体" w:hAnsi="宋体"/>
                <w:kern w:val="0"/>
                <w:szCs w:val="21"/>
              </w:rPr>
            </w:pPr>
          </w:p>
          <w:p w14:paraId="3B96809E">
            <w:pPr>
              <w:snapToGrid w:val="0"/>
              <w:spacing w:line="400" w:lineRule="exact"/>
              <w:jc w:val="center"/>
              <w:rPr>
                <w:rFonts w:ascii="宋体" w:hAnsi="宋体"/>
                <w:kern w:val="0"/>
                <w:szCs w:val="21"/>
              </w:rPr>
            </w:pPr>
          </w:p>
          <w:p w14:paraId="656A5215">
            <w:pPr>
              <w:snapToGrid w:val="0"/>
              <w:spacing w:line="400" w:lineRule="exact"/>
              <w:jc w:val="center"/>
              <w:rPr>
                <w:rFonts w:ascii="宋体" w:hAnsi="宋体"/>
                <w:kern w:val="0"/>
                <w:szCs w:val="21"/>
              </w:rPr>
            </w:pPr>
          </w:p>
          <w:p w14:paraId="08B83F0A">
            <w:pPr>
              <w:snapToGrid w:val="0"/>
              <w:spacing w:line="400" w:lineRule="exact"/>
              <w:jc w:val="center"/>
              <w:rPr>
                <w:rFonts w:ascii="宋体" w:hAnsi="宋体"/>
                <w:kern w:val="0"/>
                <w:szCs w:val="21"/>
              </w:rPr>
            </w:pPr>
          </w:p>
          <w:p w14:paraId="598A84E5">
            <w:pPr>
              <w:snapToGrid w:val="0"/>
              <w:spacing w:line="400" w:lineRule="exact"/>
              <w:jc w:val="center"/>
              <w:rPr>
                <w:rFonts w:ascii="宋体" w:hAnsi="宋体"/>
                <w:kern w:val="0"/>
                <w:szCs w:val="21"/>
              </w:rPr>
            </w:pPr>
          </w:p>
          <w:p w14:paraId="5380DE06">
            <w:pPr>
              <w:snapToGrid w:val="0"/>
              <w:spacing w:line="400" w:lineRule="exact"/>
              <w:rPr>
                <w:rFonts w:ascii="宋体" w:hAnsi="宋体"/>
                <w:kern w:val="0"/>
                <w:szCs w:val="21"/>
              </w:rPr>
            </w:pPr>
          </w:p>
        </w:tc>
        <w:tc>
          <w:tcPr>
            <w:tcW w:w="1451" w:type="dxa"/>
            <w:vAlign w:val="center"/>
          </w:tcPr>
          <w:p w14:paraId="1C6A13B8">
            <w:pPr>
              <w:snapToGrid w:val="0"/>
              <w:spacing w:line="400" w:lineRule="exact"/>
              <w:jc w:val="center"/>
              <w:rPr>
                <w:rFonts w:ascii="宋体" w:hAnsi="宋体"/>
                <w:kern w:val="0"/>
                <w:szCs w:val="21"/>
              </w:rPr>
            </w:pPr>
          </w:p>
          <w:p w14:paraId="31D25631">
            <w:pPr>
              <w:snapToGrid w:val="0"/>
              <w:spacing w:line="400" w:lineRule="exact"/>
              <w:jc w:val="center"/>
              <w:rPr>
                <w:rFonts w:ascii="宋体" w:hAnsi="宋体"/>
                <w:kern w:val="0"/>
                <w:szCs w:val="21"/>
              </w:rPr>
            </w:pPr>
          </w:p>
          <w:p w14:paraId="75300C69">
            <w:pPr>
              <w:snapToGrid w:val="0"/>
              <w:spacing w:line="400" w:lineRule="exact"/>
              <w:jc w:val="center"/>
              <w:rPr>
                <w:rFonts w:ascii="宋体" w:hAnsi="宋体"/>
                <w:kern w:val="0"/>
                <w:szCs w:val="21"/>
              </w:rPr>
            </w:pPr>
          </w:p>
          <w:p w14:paraId="1C691D58">
            <w:pPr>
              <w:snapToGrid w:val="0"/>
              <w:spacing w:line="400" w:lineRule="exact"/>
              <w:jc w:val="center"/>
              <w:rPr>
                <w:rFonts w:ascii="宋体" w:hAnsi="宋体"/>
                <w:kern w:val="0"/>
                <w:szCs w:val="21"/>
              </w:rPr>
            </w:pPr>
          </w:p>
          <w:p w14:paraId="7AB3F468">
            <w:pPr>
              <w:snapToGrid w:val="0"/>
              <w:spacing w:line="400" w:lineRule="exact"/>
              <w:jc w:val="center"/>
              <w:rPr>
                <w:rFonts w:ascii="宋体" w:hAnsi="宋体"/>
                <w:kern w:val="0"/>
                <w:szCs w:val="21"/>
              </w:rPr>
            </w:pPr>
          </w:p>
          <w:p w14:paraId="5AF6B8AD">
            <w:pPr>
              <w:snapToGrid w:val="0"/>
              <w:spacing w:line="400" w:lineRule="exact"/>
              <w:jc w:val="center"/>
              <w:rPr>
                <w:rFonts w:ascii="宋体" w:hAnsi="宋体"/>
                <w:kern w:val="0"/>
                <w:szCs w:val="21"/>
              </w:rPr>
            </w:pPr>
          </w:p>
          <w:p w14:paraId="75903863">
            <w:pPr>
              <w:snapToGrid w:val="0"/>
              <w:spacing w:line="400" w:lineRule="exact"/>
              <w:jc w:val="center"/>
              <w:rPr>
                <w:rFonts w:ascii="宋体" w:hAnsi="宋体"/>
                <w:kern w:val="0"/>
                <w:szCs w:val="21"/>
              </w:rPr>
            </w:pPr>
          </w:p>
          <w:p w14:paraId="67592BFB">
            <w:pPr>
              <w:snapToGrid w:val="0"/>
              <w:spacing w:line="400" w:lineRule="exact"/>
              <w:jc w:val="center"/>
              <w:rPr>
                <w:rFonts w:ascii="宋体" w:hAnsi="宋体"/>
                <w:kern w:val="0"/>
                <w:szCs w:val="21"/>
              </w:rPr>
            </w:pPr>
          </w:p>
          <w:p w14:paraId="513DDEE0">
            <w:pPr>
              <w:snapToGrid w:val="0"/>
              <w:spacing w:line="400" w:lineRule="exact"/>
              <w:jc w:val="center"/>
              <w:rPr>
                <w:rFonts w:ascii="宋体" w:hAnsi="宋体"/>
                <w:kern w:val="0"/>
                <w:szCs w:val="21"/>
              </w:rPr>
            </w:pPr>
          </w:p>
          <w:p w14:paraId="77F9D6D4">
            <w:pPr>
              <w:snapToGrid w:val="0"/>
              <w:spacing w:line="400" w:lineRule="exact"/>
              <w:jc w:val="center"/>
              <w:rPr>
                <w:rFonts w:ascii="宋体" w:hAnsi="宋体"/>
                <w:kern w:val="0"/>
                <w:szCs w:val="21"/>
              </w:rPr>
            </w:pPr>
          </w:p>
          <w:p w14:paraId="1C8741E9">
            <w:pPr>
              <w:snapToGrid w:val="0"/>
              <w:spacing w:line="400" w:lineRule="exact"/>
              <w:jc w:val="center"/>
              <w:rPr>
                <w:rFonts w:ascii="宋体" w:hAnsi="宋体"/>
                <w:kern w:val="0"/>
                <w:szCs w:val="21"/>
              </w:rPr>
            </w:pPr>
          </w:p>
          <w:p w14:paraId="793AE69F">
            <w:pPr>
              <w:snapToGrid w:val="0"/>
              <w:spacing w:line="400" w:lineRule="exact"/>
              <w:jc w:val="center"/>
              <w:rPr>
                <w:rFonts w:ascii="宋体" w:hAnsi="宋体"/>
                <w:kern w:val="0"/>
                <w:szCs w:val="21"/>
              </w:rPr>
            </w:pPr>
          </w:p>
          <w:p w14:paraId="12039308">
            <w:pPr>
              <w:snapToGrid w:val="0"/>
              <w:spacing w:line="400" w:lineRule="exact"/>
              <w:jc w:val="center"/>
              <w:rPr>
                <w:rFonts w:ascii="宋体" w:hAnsi="宋体"/>
                <w:kern w:val="0"/>
                <w:szCs w:val="21"/>
              </w:rPr>
            </w:pPr>
          </w:p>
          <w:p w14:paraId="40A174A3">
            <w:pPr>
              <w:snapToGrid w:val="0"/>
              <w:spacing w:line="400" w:lineRule="exact"/>
              <w:jc w:val="center"/>
              <w:rPr>
                <w:rFonts w:ascii="宋体" w:hAnsi="宋体"/>
                <w:kern w:val="0"/>
                <w:szCs w:val="21"/>
              </w:rPr>
            </w:pPr>
          </w:p>
          <w:p w14:paraId="463BAF0E">
            <w:pPr>
              <w:snapToGrid w:val="0"/>
              <w:spacing w:line="400" w:lineRule="exact"/>
              <w:jc w:val="center"/>
              <w:rPr>
                <w:rFonts w:ascii="宋体" w:hAnsi="宋体"/>
                <w:kern w:val="0"/>
                <w:szCs w:val="21"/>
              </w:rPr>
            </w:pPr>
          </w:p>
          <w:p w14:paraId="29861454">
            <w:pPr>
              <w:snapToGrid w:val="0"/>
              <w:spacing w:line="400" w:lineRule="exact"/>
              <w:jc w:val="center"/>
              <w:rPr>
                <w:rFonts w:ascii="宋体" w:hAnsi="宋体"/>
                <w:kern w:val="0"/>
                <w:szCs w:val="21"/>
              </w:rPr>
            </w:pPr>
          </w:p>
          <w:p w14:paraId="358CC52F">
            <w:pPr>
              <w:snapToGrid w:val="0"/>
              <w:spacing w:line="400" w:lineRule="exact"/>
              <w:jc w:val="center"/>
              <w:rPr>
                <w:rFonts w:ascii="宋体" w:hAnsi="宋体"/>
                <w:kern w:val="0"/>
                <w:szCs w:val="21"/>
              </w:rPr>
            </w:pPr>
          </w:p>
          <w:p w14:paraId="4058394D">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人资质条件、能力和信誉</w:t>
            </w:r>
          </w:p>
          <w:p w14:paraId="1366DD97">
            <w:pPr>
              <w:snapToGrid w:val="0"/>
              <w:spacing w:line="400" w:lineRule="exact"/>
              <w:jc w:val="center"/>
              <w:rPr>
                <w:rFonts w:ascii="宋体" w:hAnsi="宋体"/>
                <w:kern w:val="0"/>
                <w:szCs w:val="21"/>
              </w:rPr>
            </w:pPr>
          </w:p>
          <w:p w14:paraId="2C2F73D6">
            <w:pPr>
              <w:snapToGrid w:val="0"/>
              <w:spacing w:line="400" w:lineRule="exact"/>
              <w:jc w:val="center"/>
              <w:rPr>
                <w:rFonts w:ascii="宋体" w:hAnsi="宋体"/>
                <w:kern w:val="0"/>
                <w:szCs w:val="21"/>
              </w:rPr>
            </w:pPr>
          </w:p>
          <w:p w14:paraId="30305FA8">
            <w:pPr>
              <w:snapToGrid w:val="0"/>
              <w:spacing w:line="400" w:lineRule="exact"/>
              <w:jc w:val="center"/>
              <w:rPr>
                <w:rFonts w:ascii="宋体" w:hAnsi="宋体"/>
                <w:kern w:val="0"/>
                <w:szCs w:val="21"/>
              </w:rPr>
            </w:pPr>
          </w:p>
          <w:p w14:paraId="152F4350">
            <w:pPr>
              <w:snapToGrid w:val="0"/>
              <w:spacing w:line="400" w:lineRule="exact"/>
              <w:jc w:val="center"/>
              <w:rPr>
                <w:rFonts w:ascii="宋体" w:hAnsi="宋体"/>
                <w:kern w:val="0"/>
                <w:szCs w:val="21"/>
              </w:rPr>
            </w:pPr>
          </w:p>
          <w:p w14:paraId="4055F786">
            <w:pPr>
              <w:snapToGrid w:val="0"/>
              <w:spacing w:line="400" w:lineRule="exact"/>
              <w:jc w:val="center"/>
              <w:rPr>
                <w:rFonts w:ascii="宋体" w:hAnsi="宋体"/>
                <w:kern w:val="0"/>
                <w:szCs w:val="21"/>
              </w:rPr>
            </w:pPr>
          </w:p>
          <w:p w14:paraId="719221E6">
            <w:pPr>
              <w:snapToGrid w:val="0"/>
              <w:spacing w:line="400" w:lineRule="exact"/>
              <w:jc w:val="center"/>
              <w:rPr>
                <w:rFonts w:ascii="宋体" w:hAnsi="宋体"/>
                <w:kern w:val="0"/>
                <w:szCs w:val="21"/>
              </w:rPr>
            </w:pPr>
          </w:p>
          <w:p w14:paraId="762AE2D0">
            <w:pPr>
              <w:snapToGrid w:val="0"/>
              <w:spacing w:line="400" w:lineRule="exact"/>
              <w:jc w:val="center"/>
              <w:rPr>
                <w:rFonts w:ascii="宋体" w:hAnsi="宋体"/>
                <w:kern w:val="0"/>
                <w:szCs w:val="21"/>
              </w:rPr>
            </w:pPr>
          </w:p>
          <w:p w14:paraId="56B194E6">
            <w:pPr>
              <w:snapToGrid w:val="0"/>
              <w:spacing w:line="400" w:lineRule="exact"/>
              <w:jc w:val="center"/>
              <w:rPr>
                <w:rFonts w:ascii="宋体" w:hAnsi="宋体"/>
                <w:kern w:val="0"/>
                <w:szCs w:val="21"/>
              </w:rPr>
            </w:pPr>
          </w:p>
          <w:p w14:paraId="622577C4">
            <w:pPr>
              <w:snapToGrid w:val="0"/>
              <w:spacing w:line="400" w:lineRule="exact"/>
              <w:jc w:val="center"/>
              <w:rPr>
                <w:rFonts w:ascii="宋体" w:hAnsi="宋体"/>
                <w:kern w:val="0"/>
                <w:szCs w:val="21"/>
              </w:rPr>
            </w:pPr>
          </w:p>
          <w:p w14:paraId="08518BA0">
            <w:pPr>
              <w:snapToGrid w:val="0"/>
              <w:spacing w:line="400" w:lineRule="exact"/>
              <w:jc w:val="center"/>
              <w:rPr>
                <w:rFonts w:ascii="宋体" w:hAnsi="宋体"/>
                <w:kern w:val="0"/>
                <w:szCs w:val="21"/>
              </w:rPr>
            </w:pPr>
          </w:p>
          <w:p w14:paraId="664935AB">
            <w:pPr>
              <w:snapToGrid w:val="0"/>
              <w:spacing w:line="400" w:lineRule="exact"/>
              <w:jc w:val="center"/>
              <w:rPr>
                <w:rFonts w:ascii="宋体" w:hAnsi="宋体"/>
                <w:kern w:val="0"/>
                <w:szCs w:val="21"/>
              </w:rPr>
            </w:pPr>
          </w:p>
          <w:p w14:paraId="269ED8FD">
            <w:pPr>
              <w:snapToGrid w:val="0"/>
              <w:spacing w:line="400" w:lineRule="exact"/>
              <w:jc w:val="center"/>
              <w:rPr>
                <w:rFonts w:ascii="宋体" w:hAnsi="宋体"/>
                <w:kern w:val="0"/>
                <w:szCs w:val="21"/>
              </w:rPr>
            </w:pPr>
          </w:p>
          <w:p w14:paraId="08253C89">
            <w:pPr>
              <w:snapToGrid w:val="0"/>
              <w:spacing w:line="400" w:lineRule="exact"/>
              <w:jc w:val="center"/>
              <w:rPr>
                <w:rFonts w:ascii="宋体" w:hAnsi="宋体"/>
                <w:kern w:val="0"/>
                <w:szCs w:val="21"/>
              </w:rPr>
            </w:pPr>
          </w:p>
          <w:p w14:paraId="0244CFB4">
            <w:pPr>
              <w:snapToGrid w:val="0"/>
              <w:spacing w:line="400" w:lineRule="exact"/>
              <w:jc w:val="center"/>
              <w:rPr>
                <w:rFonts w:ascii="宋体" w:hAnsi="宋体"/>
                <w:kern w:val="0"/>
                <w:szCs w:val="21"/>
              </w:rPr>
            </w:pPr>
          </w:p>
          <w:p w14:paraId="5A4E229F">
            <w:pPr>
              <w:snapToGrid w:val="0"/>
              <w:spacing w:line="400" w:lineRule="exact"/>
              <w:jc w:val="center"/>
              <w:rPr>
                <w:rFonts w:ascii="宋体" w:hAnsi="宋体"/>
                <w:kern w:val="0"/>
                <w:szCs w:val="21"/>
              </w:rPr>
            </w:pPr>
          </w:p>
          <w:p w14:paraId="3D5B02BD">
            <w:pPr>
              <w:snapToGrid w:val="0"/>
              <w:spacing w:line="400" w:lineRule="exact"/>
              <w:jc w:val="center"/>
              <w:rPr>
                <w:rFonts w:ascii="宋体" w:hAnsi="宋体"/>
                <w:kern w:val="0"/>
                <w:szCs w:val="21"/>
              </w:rPr>
            </w:pPr>
          </w:p>
          <w:p w14:paraId="6723EAE1">
            <w:pPr>
              <w:snapToGrid w:val="0"/>
              <w:spacing w:line="400" w:lineRule="exact"/>
              <w:jc w:val="center"/>
              <w:rPr>
                <w:rFonts w:ascii="宋体" w:hAnsi="宋体"/>
                <w:kern w:val="0"/>
                <w:szCs w:val="21"/>
              </w:rPr>
            </w:pPr>
          </w:p>
          <w:p w14:paraId="31D06AC9">
            <w:pPr>
              <w:snapToGrid w:val="0"/>
              <w:spacing w:line="400" w:lineRule="exact"/>
              <w:jc w:val="center"/>
              <w:rPr>
                <w:rFonts w:ascii="宋体" w:hAnsi="宋体"/>
                <w:kern w:val="0"/>
                <w:szCs w:val="21"/>
              </w:rPr>
            </w:pPr>
          </w:p>
          <w:p w14:paraId="0DF1B835">
            <w:pPr>
              <w:snapToGrid w:val="0"/>
              <w:spacing w:line="400" w:lineRule="exact"/>
              <w:jc w:val="center"/>
              <w:rPr>
                <w:rFonts w:ascii="宋体" w:hAnsi="宋体"/>
                <w:kern w:val="0"/>
                <w:szCs w:val="21"/>
              </w:rPr>
            </w:pPr>
          </w:p>
          <w:p w14:paraId="1B041D88">
            <w:pPr>
              <w:snapToGrid w:val="0"/>
              <w:spacing w:line="400" w:lineRule="exact"/>
              <w:jc w:val="center"/>
              <w:rPr>
                <w:rFonts w:ascii="宋体" w:hAnsi="宋体"/>
                <w:kern w:val="0"/>
                <w:szCs w:val="21"/>
              </w:rPr>
            </w:pPr>
          </w:p>
          <w:p w14:paraId="5DFBC9E1">
            <w:pPr>
              <w:snapToGrid w:val="0"/>
              <w:spacing w:line="400" w:lineRule="exact"/>
              <w:jc w:val="center"/>
              <w:rPr>
                <w:rFonts w:ascii="宋体" w:hAnsi="宋体"/>
                <w:kern w:val="0"/>
                <w:szCs w:val="21"/>
              </w:rPr>
            </w:pPr>
          </w:p>
          <w:p w14:paraId="0514532A">
            <w:pPr>
              <w:snapToGrid w:val="0"/>
              <w:spacing w:line="400" w:lineRule="exact"/>
              <w:jc w:val="center"/>
              <w:rPr>
                <w:rFonts w:ascii="宋体" w:hAnsi="宋体"/>
                <w:kern w:val="0"/>
                <w:szCs w:val="21"/>
              </w:rPr>
            </w:pPr>
          </w:p>
          <w:p w14:paraId="00C45D45">
            <w:pPr>
              <w:snapToGrid w:val="0"/>
              <w:spacing w:line="400" w:lineRule="exact"/>
              <w:jc w:val="center"/>
              <w:rPr>
                <w:rFonts w:ascii="宋体" w:hAnsi="宋体"/>
                <w:kern w:val="0"/>
                <w:szCs w:val="21"/>
              </w:rPr>
            </w:pPr>
          </w:p>
          <w:p w14:paraId="144FC9CD">
            <w:pPr>
              <w:snapToGrid w:val="0"/>
              <w:spacing w:line="400" w:lineRule="exact"/>
              <w:jc w:val="center"/>
              <w:rPr>
                <w:rFonts w:ascii="宋体" w:hAnsi="宋体"/>
                <w:kern w:val="0"/>
                <w:szCs w:val="21"/>
              </w:rPr>
            </w:pPr>
          </w:p>
          <w:p w14:paraId="4979BBA2">
            <w:pPr>
              <w:snapToGrid w:val="0"/>
              <w:spacing w:line="400" w:lineRule="exact"/>
              <w:jc w:val="center"/>
              <w:rPr>
                <w:rFonts w:ascii="宋体" w:hAnsi="宋体"/>
                <w:kern w:val="0"/>
                <w:szCs w:val="21"/>
              </w:rPr>
            </w:pPr>
          </w:p>
          <w:p w14:paraId="1ACD43E1">
            <w:pPr>
              <w:snapToGrid w:val="0"/>
              <w:spacing w:line="400" w:lineRule="exact"/>
              <w:jc w:val="center"/>
              <w:rPr>
                <w:rFonts w:ascii="宋体" w:hAnsi="宋体"/>
                <w:kern w:val="0"/>
                <w:szCs w:val="21"/>
              </w:rPr>
            </w:pPr>
          </w:p>
          <w:p w14:paraId="16D09C9B">
            <w:pPr>
              <w:snapToGrid w:val="0"/>
              <w:spacing w:line="400" w:lineRule="exact"/>
              <w:jc w:val="center"/>
              <w:rPr>
                <w:rFonts w:ascii="宋体" w:hAnsi="宋体"/>
                <w:kern w:val="0"/>
                <w:szCs w:val="21"/>
              </w:rPr>
            </w:pPr>
          </w:p>
          <w:p w14:paraId="781D0BB7">
            <w:pPr>
              <w:snapToGrid w:val="0"/>
              <w:spacing w:line="400" w:lineRule="exact"/>
              <w:jc w:val="center"/>
              <w:rPr>
                <w:rFonts w:ascii="宋体" w:hAnsi="宋体"/>
                <w:kern w:val="0"/>
                <w:szCs w:val="21"/>
              </w:rPr>
            </w:pPr>
          </w:p>
          <w:p w14:paraId="488CC26E">
            <w:pPr>
              <w:snapToGrid w:val="0"/>
              <w:spacing w:line="400" w:lineRule="exact"/>
              <w:jc w:val="center"/>
              <w:rPr>
                <w:rFonts w:ascii="宋体" w:hAnsi="宋体"/>
                <w:kern w:val="0"/>
                <w:szCs w:val="21"/>
              </w:rPr>
            </w:pPr>
          </w:p>
          <w:p w14:paraId="7558513F">
            <w:pPr>
              <w:snapToGrid w:val="0"/>
              <w:spacing w:line="400" w:lineRule="exact"/>
              <w:jc w:val="center"/>
              <w:rPr>
                <w:rFonts w:ascii="宋体" w:hAnsi="宋体"/>
                <w:kern w:val="0"/>
                <w:szCs w:val="21"/>
              </w:rPr>
            </w:pPr>
          </w:p>
          <w:p w14:paraId="07C74F7B">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人资质条件、能力和信誉</w:t>
            </w:r>
          </w:p>
          <w:p w14:paraId="654981EE">
            <w:pPr>
              <w:snapToGrid w:val="0"/>
              <w:spacing w:line="400" w:lineRule="exact"/>
              <w:jc w:val="center"/>
              <w:rPr>
                <w:rFonts w:ascii="宋体" w:hAnsi="宋体"/>
                <w:kern w:val="0"/>
                <w:szCs w:val="21"/>
              </w:rPr>
            </w:pPr>
          </w:p>
          <w:p w14:paraId="2FF73538">
            <w:pPr>
              <w:snapToGrid w:val="0"/>
              <w:spacing w:line="400" w:lineRule="exact"/>
              <w:jc w:val="center"/>
              <w:rPr>
                <w:rFonts w:ascii="宋体" w:hAnsi="宋体"/>
                <w:kern w:val="0"/>
                <w:szCs w:val="21"/>
              </w:rPr>
            </w:pPr>
          </w:p>
          <w:p w14:paraId="0BA53AC5">
            <w:pPr>
              <w:snapToGrid w:val="0"/>
              <w:spacing w:line="400" w:lineRule="exact"/>
              <w:jc w:val="center"/>
              <w:rPr>
                <w:rFonts w:ascii="宋体" w:hAnsi="宋体"/>
                <w:kern w:val="0"/>
                <w:szCs w:val="21"/>
              </w:rPr>
            </w:pPr>
          </w:p>
          <w:p w14:paraId="340D4E8C">
            <w:pPr>
              <w:snapToGrid w:val="0"/>
              <w:spacing w:line="400" w:lineRule="exact"/>
              <w:jc w:val="center"/>
              <w:rPr>
                <w:rFonts w:ascii="宋体" w:hAnsi="宋体"/>
                <w:kern w:val="0"/>
                <w:szCs w:val="21"/>
              </w:rPr>
            </w:pPr>
          </w:p>
          <w:p w14:paraId="007534A8">
            <w:pPr>
              <w:snapToGrid w:val="0"/>
              <w:spacing w:line="400" w:lineRule="exact"/>
              <w:jc w:val="center"/>
              <w:rPr>
                <w:rFonts w:ascii="宋体" w:hAnsi="宋体"/>
                <w:kern w:val="0"/>
                <w:szCs w:val="21"/>
              </w:rPr>
            </w:pPr>
          </w:p>
          <w:p w14:paraId="7981842A">
            <w:pPr>
              <w:snapToGrid w:val="0"/>
              <w:spacing w:line="400" w:lineRule="exact"/>
              <w:jc w:val="center"/>
              <w:rPr>
                <w:rFonts w:ascii="宋体" w:hAnsi="宋体"/>
                <w:kern w:val="0"/>
                <w:szCs w:val="21"/>
              </w:rPr>
            </w:pPr>
          </w:p>
          <w:p w14:paraId="3E4BE927">
            <w:pPr>
              <w:snapToGrid w:val="0"/>
              <w:spacing w:line="400" w:lineRule="exact"/>
              <w:jc w:val="center"/>
              <w:rPr>
                <w:rFonts w:ascii="宋体" w:hAnsi="宋体"/>
                <w:kern w:val="0"/>
                <w:szCs w:val="21"/>
              </w:rPr>
            </w:pPr>
          </w:p>
          <w:p w14:paraId="3C9E2BC9">
            <w:pPr>
              <w:snapToGrid w:val="0"/>
              <w:spacing w:line="400" w:lineRule="exact"/>
              <w:jc w:val="center"/>
              <w:rPr>
                <w:rFonts w:ascii="宋体" w:hAnsi="宋体"/>
                <w:kern w:val="0"/>
                <w:szCs w:val="21"/>
              </w:rPr>
            </w:pPr>
          </w:p>
          <w:p w14:paraId="3FC86BFE">
            <w:pPr>
              <w:snapToGrid w:val="0"/>
              <w:spacing w:line="400" w:lineRule="exact"/>
              <w:jc w:val="center"/>
              <w:rPr>
                <w:rFonts w:ascii="宋体" w:hAnsi="宋体"/>
                <w:kern w:val="0"/>
                <w:szCs w:val="21"/>
              </w:rPr>
            </w:pPr>
          </w:p>
          <w:p w14:paraId="4914D641">
            <w:pPr>
              <w:snapToGrid w:val="0"/>
              <w:spacing w:line="400" w:lineRule="exact"/>
              <w:jc w:val="center"/>
              <w:rPr>
                <w:rFonts w:ascii="宋体" w:hAnsi="宋体"/>
                <w:kern w:val="0"/>
                <w:szCs w:val="21"/>
              </w:rPr>
            </w:pPr>
          </w:p>
          <w:p w14:paraId="449AB9D9">
            <w:pPr>
              <w:snapToGrid w:val="0"/>
              <w:spacing w:line="400" w:lineRule="exact"/>
              <w:jc w:val="center"/>
              <w:rPr>
                <w:rFonts w:ascii="宋体" w:hAnsi="宋体"/>
                <w:kern w:val="0"/>
                <w:szCs w:val="21"/>
              </w:rPr>
            </w:pPr>
          </w:p>
          <w:p w14:paraId="130AD826">
            <w:pPr>
              <w:snapToGrid w:val="0"/>
              <w:spacing w:line="400" w:lineRule="exact"/>
              <w:jc w:val="center"/>
              <w:rPr>
                <w:rFonts w:ascii="宋体" w:hAnsi="宋体"/>
                <w:kern w:val="0"/>
                <w:szCs w:val="21"/>
              </w:rPr>
            </w:pPr>
          </w:p>
          <w:p w14:paraId="1D06EDEA">
            <w:pPr>
              <w:snapToGrid w:val="0"/>
              <w:spacing w:line="400" w:lineRule="exact"/>
              <w:jc w:val="center"/>
              <w:rPr>
                <w:rFonts w:ascii="宋体" w:hAnsi="宋体"/>
                <w:kern w:val="0"/>
                <w:szCs w:val="21"/>
              </w:rPr>
            </w:pPr>
          </w:p>
          <w:p w14:paraId="68E40AC6">
            <w:pPr>
              <w:snapToGrid w:val="0"/>
              <w:spacing w:line="400" w:lineRule="exact"/>
              <w:jc w:val="center"/>
              <w:rPr>
                <w:rFonts w:ascii="宋体" w:hAnsi="宋体"/>
                <w:kern w:val="0"/>
                <w:szCs w:val="21"/>
              </w:rPr>
            </w:pPr>
          </w:p>
          <w:p w14:paraId="6B586ADD">
            <w:pPr>
              <w:snapToGrid w:val="0"/>
              <w:spacing w:line="400" w:lineRule="exact"/>
              <w:jc w:val="center"/>
              <w:rPr>
                <w:rFonts w:ascii="宋体" w:hAnsi="宋体"/>
                <w:kern w:val="0"/>
                <w:szCs w:val="21"/>
              </w:rPr>
            </w:pPr>
          </w:p>
          <w:p w14:paraId="3375D8B7">
            <w:pPr>
              <w:snapToGrid w:val="0"/>
              <w:spacing w:line="400" w:lineRule="exact"/>
              <w:jc w:val="center"/>
              <w:rPr>
                <w:rFonts w:ascii="宋体" w:hAnsi="宋体"/>
                <w:kern w:val="0"/>
                <w:szCs w:val="21"/>
              </w:rPr>
            </w:pPr>
          </w:p>
          <w:p w14:paraId="6E0289AB">
            <w:pPr>
              <w:snapToGrid w:val="0"/>
              <w:spacing w:line="400" w:lineRule="exact"/>
              <w:jc w:val="center"/>
              <w:rPr>
                <w:rFonts w:ascii="宋体" w:hAnsi="宋体"/>
                <w:kern w:val="0"/>
                <w:szCs w:val="21"/>
              </w:rPr>
            </w:pPr>
          </w:p>
          <w:p w14:paraId="3FD376A0">
            <w:pPr>
              <w:snapToGrid w:val="0"/>
              <w:spacing w:line="400" w:lineRule="exact"/>
              <w:jc w:val="center"/>
              <w:rPr>
                <w:rFonts w:ascii="宋体" w:hAnsi="宋体"/>
                <w:kern w:val="0"/>
                <w:szCs w:val="21"/>
              </w:rPr>
            </w:pPr>
          </w:p>
          <w:p w14:paraId="58D345B8">
            <w:pPr>
              <w:snapToGrid w:val="0"/>
              <w:spacing w:line="400" w:lineRule="exact"/>
              <w:jc w:val="center"/>
              <w:rPr>
                <w:rFonts w:ascii="宋体" w:hAnsi="宋体"/>
                <w:kern w:val="0"/>
                <w:szCs w:val="21"/>
              </w:rPr>
            </w:pPr>
          </w:p>
          <w:p w14:paraId="5133B496">
            <w:pPr>
              <w:snapToGrid w:val="0"/>
              <w:spacing w:line="400" w:lineRule="exact"/>
              <w:jc w:val="center"/>
              <w:rPr>
                <w:rFonts w:ascii="宋体" w:hAnsi="宋体"/>
                <w:kern w:val="0"/>
                <w:szCs w:val="21"/>
              </w:rPr>
            </w:pPr>
          </w:p>
          <w:p w14:paraId="55632DFE">
            <w:pPr>
              <w:snapToGrid w:val="0"/>
              <w:spacing w:line="400" w:lineRule="exact"/>
              <w:jc w:val="center"/>
              <w:rPr>
                <w:rFonts w:ascii="宋体" w:hAnsi="宋体"/>
                <w:kern w:val="0"/>
                <w:szCs w:val="21"/>
              </w:rPr>
            </w:pPr>
          </w:p>
          <w:p w14:paraId="06E1776E">
            <w:pPr>
              <w:snapToGrid w:val="0"/>
              <w:spacing w:line="400" w:lineRule="exact"/>
              <w:jc w:val="center"/>
              <w:rPr>
                <w:rFonts w:ascii="宋体" w:hAnsi="宋体"/>
                <w:kern w:val="0"/>
                <w:szCs w:val="21"/>
              </w:rPr>
            </w:pPr>
          </w:p>
          <w:p w14:paraId="1A33D2A7">
            <w:pPr>
              <w:snapToGrid w:val="0"/>
              <w:spacing w:line="400" w:lineRule="exact"/>
              <w:jc w:val="center"/>
              <w:rPr>
                <w:rFonts w:ascii="宋体" w:hAnsi="宋体"/>
                <w:kern w:val="0"/>
                <w:szCs w:val="21"/>
              </w:rPr>
            </w:pPr>
          </w:p>
          <w:p w14:paraId="0911264D">
            <w:pPr>
              <w:snapToGrid w:val="0"/>
              <w:spacing w:line="400" w:lineRule="exact"/>
              <w:jc w:val="center"/>
              <w:rPr>
                <w:rFonts w:ascii="宋体" w:hAnsi="宋体"/>
                <w:kern w:val="0"/>
                <w:szCs w:val="21"/>
              </w:rPr>
            </w:pPr>
          </w:p>
          <w:p w14:paraId="044B95E8">
            <w:pPr>
              <w:snapToGrid w:val="0"/>
              <w:spacing w:line="400" w:lineRule="exact"/>
              <w:jc w:val="center"/>
              <w:rPr>
                <w:rFonts w:ascii="宋体" w:hAnsi="宋体"/>
                <w:kern w:val="0"/>
                <w:szCs w:val="21"/>
              </w:rPr>
            </w:pPr>
          </w:p>
          <w:p w14:paraId="4340CE82">
            <w:pPr>
              <w:snapToGrid w:val="0"/>
              <w:spacing w:line="400" w:lineRule="exact"/>
              <w:jc w:val="center"/>
              <w:rPr>
                <w:rFonts w:ascii="宋体" w:hAnsi="宋体"/>
                <w:kern w:val="0"/>
                <w:szCs w:val="21"/>
              </w:rPr>
            </w:pPr>
          </w:p>
          <w:p w14:paraId="362FE939">
            <w:pPr>
              <w:snapToGrid w:val="0"/>
              <w:spacing w:line="400" w:lineRule="exact"/>
              <w:jc w:val="center"/>
              <w:rPr>
                <w:rFonts w:ascii="宋体" w:hAnsi="宋体"/>
                <w:kern w:val="0"/>
                <w:szCs w:val="21"/>
              </w:rPr>
            </w:pPr>
          </w:p>
          <w:p w14:paraId="779DE7EF">
            <w:pPr>
              <w:snapToGrid w:val="0"/>
              <w:spacing w:line="400" w:lineRule="exact"/>
              <w:jc w:val="center"/>
              <w:rPr>
                <w:rFonts w:ascii="宋体" w:hAnsi="宋体"/>
                <w:kern w:val="0"/>
                <w:szCs w:val="21"/>
              </w:rPr>
            </w:pPr>
          </w:p>
          <w:p w14:paraId="153316E2">
            <w:pPr>
              <w:snapToGrid w:val="0"/>
              <w:spacing w:line="400" w:lineRule="exact"/>
              <w:jc w:val="center"/>
              <w:rPr>
                <w:rFonts w:ascii="宋体" w:hAnsi="宋体"/>
                <w:kern w:val="0"/>
                <w:szCs w:val="21"/>
              </w:rPr>
            </w:pPr>
          </w:p>
          <w:p w14:paraId="2B494362">
            <w:pPr>
              <w:snapToGrid w:val="0"/>
              <w:spacing w:line="400" w:lineRule="exact"/>
              <w:jc w:val="center"/>
              <w:rPr>
                <w:rFonts w:ascii="宋体" w:hAnsi="宋体"/>
                <w:kern w:val="0"/>
                <w:szCs w:val="21"/>
              </w:rPr>
            </w:pPr>
          </w:p>
          <w:p w14:paraId="7CCC78C0">
            <w:pPr>
              <w:snapToGrid w:val="0"/>
              <w:spacing w:line="400" w:lineRule="exact"/>
              <w:jc w:val="center"/>
              <w:rPr>
                <w:rFonts w:ascii="宋体" w:hAnsi="宋体"/>
                <w:kern w:val="0"/>
                <w:szCs w:val="21"/>
              </w:rPr>
            </w:pPr>
          </w:p>
          <w:p w14:paraId="3E20D9A0">
            <w:pPr>
              <w:snapToGrid w:val="0"/>
              <w:spacing w:line="400" w:lineRule="exact"/>
              <w:jc w:val="center"/>
              <w:rPr>
                <w:rFonts w:ascii="宋体" w:hAnsi="宋体"/>
                <w:kern w:val="0"/>
                <w:szCs w:val="21"/>
              </w:rPr>
            </w:pPr>
          </w:p>
          <w:p w14:paraId="5DCBEC26">
            <w:pPr>
              <w:snapToGrid w:val="0"/>
              <w:spacing w:line="400" w:lineRule="exact"/>
              <w:jc w:val="center"/>
              <w:rPr>
                <w:rFonts w:ascii="宋体" w:hAnsi="宋体"/>
                <w:kern w:val="0"/>
                <w:szCs w:val="21"/>
              </w:rPr>
            </w:pPr>
          </w:p>
          <w:p w14:paraId="3AADA488">
            <w:pPr>
              <w:snapToGrid w:val="0"/>
              <w:spacing w:line="400" w:lineRule="exact"/>
              <w:jc w:val="center"/>
              <w:rPr>
                <w:rFonts w:ascii="宋体" w:hAnsi="宋体"/>
                <w:kern w:val="0"/>
                <w:szCs w:val="21"/>
              </w:rPr>
            </w:pPr>
          </w:p>
          <w:p w14:paraId="0A3806E8">
            <w:pPr>
              <w:snapToGrid w:val="0"/>
              <w:spacing w:line="400" w:lineRule="exact"/>
              <w:jc w:val="both"/>
              <w:rPr>
                <w:rFonts w:ascii="宋体" w:hAnsi="宋体"/>
                <w:kern w:val="0"/>
                <w:szCs w:val="21"/>
              </w:rPr>
            </w:pPr>
            <w:r>
              <w:rPr>
                <w:rFonts w:hint="eastAsia" w:ascii="宋体" w:hAnsi="宋体"/>
                <w:kern w:val="0"/>
                <w:szCs w:val="21"/>
                <w:lang w:eastAsia="zh-CN"/>
              </w:rPr>
              <w:t>竞选</w:t>
            </w:r>
            <w:r>
              <w:rPr>
                <w:rFonts w:ascii="宋体" w:hAnsi="宋体"/>
                <w:kern w:val="0"/>
                <w:szCs w:val="21"/>
              </w:rPr>
              <w:t>人资质条件、能力和信誉</w:t>
            </w:r>
          </w:p>
          <w:p w14:paraId="2E11F037">
            <w:pPr>
              <w:snapToGrid w:val="0"/>
              <w:spacing w:line="400" w:lineRule="exact"/>
              <w:jc w:val="center"/>
              <w:rPr>
                <w:rFonts w:ascii="宋体" w:hAnsi="宋体"/>
                <w:kern w:val="0"/>
                <w:szCs w:val="21"/>
              </w:rPr>
            </w:pPr>
          </w:p>
          <w:p w14:paraId="0CAC3DFE">
            <w:pPr>
              <w:snapToGrid w:val="0"/>
              <w:spacing w:line="400" w:lineRule="exact"/>
              <w:rPr>
                <w:rFonts w:ascii="宋体" w:hAnsi="宋体"/>
                <w:kern w:val="0"/>
                <w:szCs w:val="21"/>
              </w:rPr>
            </w:pPr>
          </w:p>
        </w:tc>
        <w:tc>
          <w:tcPr>
            <w:tcW w:w="6683" w:type="dxa"/>
            <w:vAlign w:val="center"/>
          </w:tcPr>
          <w:p w14:paraId="1A225E03">
            <w:pPr>
              <w:autoSpaceDE w:val="0"/>
              <w:autoSpaceDN w:val="0"/>
              <w:adjustRightInd w:val="0"/>
              <w:snapToGrid w:val="0"/>
              <w:spacing w:line="400" w:lineRule="exact"/>
              <w:rPr>
                <w:b/>
                <w:bCs/>
              </w:rPr>
            </w:pPr>
            <w:bookmarkStart w:id="71" w:name="一是"/>
            <w:bookmarkEnd w:id="71"/>
            <w:r>
              <w:rPr>
                <w:rFonts w:hint="eastAsia"/>
                <w:b/>
                <w:bCs/>
              </w:rPr>
              <w:t>1、资格条件</w:t>
            </w:r>
            <w:r>
              <w:rPr>
                <w:b/>
                <w:bCs/>
              </w:rPr>
              <w:t>、营业执照及安全生产条件</w:t>
            </w:r>
          </w:p>
          <w:p w14:paraId="3EFC363E">
            <w:pPr>
              <w:autoSpaceDE w:val="0"/>
              <w:autoSpaceDN w:val="0"/>
              <w:adjustRightInd w:val="0"/>
              <w:snapToGrid w:val="0"/>
              <w:spacing w:line="400" w:lineRule="exact"/>
              <w:ind w:firstLine="420" w:firstLineChars="200"/>
              <w:rPr>
                <w:highlight w:val="none"/>
              </w:rPr>
            </w:pPr>
            <w:r>
              <w:t>（1）具备建设行政主管部门颁发的有效的</w:t>
            </w:r>
            <w:r>
              <w:rPr>
                <w:rFonts w:hint="eastAsia"/>
                <w:highlight w:val="none"/>
                <w:u w:val="single"/>
              </w:rPr>
              <w:t>市政公用工程施工总承包三级</w:t>
            </w:r>
            <w:r>
              <w:rPr>
                <w:highlight w:val="none"/>
                <w:u w:val="single"/>
              </w:rPr>
              <w:t>及以上</w:t>
            </w:r>
            <w:r>
              <w:rPr>
                <w:rFonts w:hint="eastAsia"/>
                <w:highlight w:val="none"/>
                <w:u w:val="single"/>
              </w:rPr>
              <w:t>资质</w:t>
            </w:r>
            <w:r>
              <w:rPr>
                <w:highlight w:val="none"/>
              </w:rPr>
              <w:t>。</w:t>
            </w:r>
          </w:p>
          <w:p w14:paraId="6C68A637">
            <w:pPr>
              <w:autoSpaceDE w:val="0"/>
              <w:autoSpaceDN w:val="0"/>
              <w:adjustRightInd w:val="0"/>
              <w:snapToGrid w:val="0"/>
              <w:spacing w:line="400" w:lineRule="exact"/>
              <w:ind w:firstLine="420" w:firstLineChars="200"/>
            </w:pPr>
            <w:r>
              <w:rPr>
                <w:rFonts w:hint="eastAsia"/>
                <w:lang w:eastAsia="zh-CN"/>
              </w:rPr>
              <w:t>竞选</w:t>
            </w:r>
            <w:r>
              <w:rPr>
                <w:rFonts w:hint="eastAsia"/>
              </w:rPr>
              <w:t>人</w:t>
            </w:r>
            <w:r>
              <w:t>须</w:t>
            </w:r>
            <w:r>
              <w:rPr>
                <w:rFonts w:hint="eastAsia"/>
              </w:rPr>
              <w:t>在</w:t>
            </w:r>
            <w:r>
              <w:rPr>
                <w:rFonts w:hint="eastAsia"/>
                <w:lang w:eastAsia="zh-CN"/>
              </w:rPr>
              <w:t>竞选</w:t>
            </w:r>
            <w:r>
              <w:rPr>
                <w:rFonts w:hint="eastAsia"/>
              </w:rPr>
              <w:t>文件资格审查部分</w:t>
            </w:r>
            <w:r>
              <w:t>提供</w:t>
            </w:r>
            <w:r>
              <w:rPr>
                <w:rFonts w:hint="eastAsia"/>
              </w:rPr>
              <w:t>有效的带二维码标识的资质证书</w:t>
            </w:r>
            <w:r>
              <w:t>。</w:t>
            </w:r>
          </w:p>
          <w:p w14:paraId="2903F39A">
            <w:pPr>
              <w:autoSpaceDE w:val="0"/>
              <w:autoSpaceDN w:val="0"/>
              <w:adjustRightInd w:val="0"/>
              <w:snapToGrid w:val="0"/>
              <w:spacing w:line="400" w:lineRule="exact"/>
              <w:ind w:firstLine="420" w:firstLineChars="200"/>
            </w:pPr>
            <w:r>
              <w:t>（2）具备有效的营业执照。</w:t>
            </w:r>
          </w:p>
          <w:p w14:paraId="2D6A9ED2">
            <w:pPr>
              <w:autoSpaceDE w:val="0"/>
              <w:autoSpaceDN w:val="0"/>
              <w:adjustRightInd w:val="0"/>
              <w:snapToGrid w:val="0"/>
              <w:spacing w:line="400" w:lineRule="exact"/>
              <w:ind w:firstLine="420" w:firstLineChars="200"/>
            </w:pPr>
            <w:r>
              <w:rPr>
                <w:rFonts w:hint="eastAsia"/>
                <w:lang w:eastAsia="zh-CN"/>
              </w:rPr>
              <w:t>竞选</w:t>
            </w:r>
            <w:r>
              <w:rPr>
                <w:rFonts w:hint="eastAsia"/>
              </w:rPr>
              <w:t>人</w:t>
            </w:r>
            <w:r>
              <w:t>须</w:t>
            </w:r>
            <w:r>
              <w:rPr>
                <w:rFonts w:hint="eastAsia"/>
              </w:rPr>
              <w:t>在</w:t>
            </w:r>
            <w:r>
              <w:rPr>
                <w:rFonts w:hint="eastAsia"/>
                <w:lang w:eastAsia="zh-CN"/>
              </w:rPr>
              <w:t>竞选</w:t>
            </w:r>
            <w:r>
              <w:rPr>
                <w:rFonts w:hint="eastAsia"/>
              </w:rPr>
              <w:t>文件资格审查部分</w:t>
            </w:r>
            <w:r>
              <w:t>提供有效的带二维码</w:t>
            </w:r>
            <w:r>
              <w:rPr>
                <w:rFonts w:hint="eastAsia"/>
              </w:rPr>
              <w:t>标识</w:t>
            </w:r>
            <w:r>
              <w:t>的营业执照。</w:t>
            </w:r>
            <w:r>
              <w:rPr>
                <w:rFonts w:hint="eastAsia"/>
              </w:rPr>
              <w:t>注：不得将</w:t>
            </w:r>
            <w:r>
              <w:rPr>
                <w:rFonts w:hint="eastAsia"/>
                <w:lang w:eastAsia="zh-CN"/>
              </w:rPr>
              <w:t>竞选</w:t>
            </w:r>
            <w:r>
              <w:rPr>
                <w:rFonts w:hint="eastAsia"/>
              </w:rPr>
              <w:t>人营业执照记载的经营范围作为评审因素。</w:t>
            </w:r>
          </w:p>
          <w:p w14:paraId="698D87CD">
            <w:pPr>
              <w:autoSpaceDE w:val="0"/>
              <w:autoSpaceDN w:val="0"/>
              <w:adjustRightInd w:val="0"/>
              <w:snapToGrid w:val="0"/>
              <w:spacing w:line="400" w:lineRule="exact"/>
              <w:ind w:firstLine="420" w:firstLineChars="200"/>
            </w:pPr>
            <w:r>
              <w:t>（3）具备建设行政主管部门颁发的有效的安全生产许可证，企业</w:t>
            </w:r>
            <w:r>
              <w:rPr>
                <w:rFonts w:hint="eastAsia"/>
              </w:rPr>
              <w:t>主要</w:t>
            </w:r>
            <w:r>
              <w:t>负责人、拟担任该项目项目经理具备相应的由建设行政主管部门颁发的有效的安全生产考核合格证书</w:t>
            </w:r>
            <w:r>
              <w:rPr>
                <w:rFonts w:hint="eastAsia"/>
              </w:rPr>
              <w:t>。</w:t>
            </w:r>
          </w:p>
          <w:p w14:paraId="3E3AFC0B">
            <w:pPr>
              <w:autoSpaceDE w:val="0"/>
              <w:autoSpaceDN w:val="0"/>
              <w:adjustRightInd w:val="0"/>
              <w:snapToGrid w:val="0"/>
              <w:spacing w:line="400" w:lineRule="exact"/>
              <w:ind w:firstLine="420" w:firstLineChars="200"/>
            </w:pPr>
            <w:r>
              <w:rPr>
                <w:rFonts w:hint="eastAsia"/>
                <w:lang w:eastAsia="zh-CN"/>
              </w:rPr>
              <w:t>竞选</w:t>
            </w:r>
            <w:r>
              <w:rPr>
                <w:rFonts w:hint="eastAsia"/>
              </w:rPr>
              <w:t>人须在</w:t>
            </w:r>
            <w:r>
              <w:rPr>
                <w:rFonts w:hint="eastAsia"/>
                <w:lang w:eastAsia="zh-CN"/>
              </w:rPr>
              <w:t>竞选</w:t>
            </w:r>
            <w:r>
              <w:rPr>
                <w:rFonts w:hint="eastAsia"/>
              </w:rPr>
              <w:t>文件资格审查部分提供有效的安全生产许可证</w:t>
            </w:r>
            <w:r>
              <w:t>及安全生产考核合格证书。</w:t>
            </w:r>
          </w:p>
          <w:p w14:paraId="74C56B1C">
            <w:pPr>
              <w:autoSpaceDE w:val="0"/>
              <w:autoSpaceDN w:val="0"/>
              <w:adjustRightInd w:val="0"/>
              <w:snapToGrid w:val="0"/>
              <w:spacing w:line="400" w:lineRule="exact"/>
              <w:ind w:firstLine="422" w:firstLineChars="200"/>
              <w:rPr>
                <w:b/>
                <w:bCs/>
                <w:highlight w:val="none"/>
              </w:rPr>
            </w:pPr>
            <w:r>
              <w:rPr>
                <w:b/>
                <w:bCs/>
                <w:highlight w:val="none"/>
              </w:rPr>
              <w:t>2.财务要求</w:t>
            </w:r>
          </w:p>
          <w:p w14:paraId="6029F7FE">
            <w:pPr>
              <w:autoSpaceDE w:val="0"/>
              <w:autoSpaceDN w:val="0"/>
              <w:adjustRightInd w:val="0"/>
              <w:snapToGrid w:val="0"/>
              <w:spacing w:line="400" w:lineRule="exact"/>
              <w:ind w:firstLine="420" w:firstLineChars="200"/>
            </w:pPr>
            <w:r>
              <w:rPr>
                <w:u w:val="single"/>
              </w:rPr>
              <w:t>20</w:t>
            </w:r>
            <w:r>
              <w:rPr>
                <w:rFonts w:hint="eastAsia"/>
                <w:u w:val="single"/>
                <w:lang w:val="en-US" w:eastAsia="zh-CN"/>
              </w:rPr>
              <w:t>23</w:t>
            </w:r>
            <w:r>
              <w:rPr>
                <w:rFonts w:hint="eastAsia"/>
                <w:u w:val="single"/>
              </w:rPr>
              <w:t>年、</w:t>
            </w:r>
            <w:r>
              <w:rPr>
                <w:u w:val="single"/>
              </w:rPr>
              <w:t>20</w:t>
            </w:r>
            <w:r>
              <w:rPr>
                <w:rFonts w:hint="eastAsia"/>
                <w:u w:val="single"/>
                <w:lang w:val="en-US" w:eastAsia="zh-CN"/>
              </w:rPr>
              <w:t>24</w:t>
            </w:r>
            <w:r>
              <w:rPr>
                <w:rFonts w:hint="eastAsia"/>
                <w:u w:val="single"/>
              </w:rPr>
              <w:t>年、</w:t>
            </w:r>
            <w:r>
              <w:rPr>
                <w:u w:val="single"/>
              </w:rPr>
              <w:t>20</w:t>
            </w:r>
            <w:r>
              <w:rPr>
                <w:rFonts w:hint="eastAsia"/>
                <w:u w:val="single"/>
                <w:lang w:val="en-US" w:eastAsia="zh-CN"/>
              </w:rPr>
              <w:t>25</w:t>
            </w:r>
            <w:r>
              <w:rPr>
                <w:rFonts w:hint="eastAsia"/>
              </w:rPr>
              <w:t>年的年度财务状况不亏损。</w:t>
            </w:r>
          </w:p>
          <w:p w14:paraId="2613F0CD">
            <w:pPr>
              <w:snapToGrid w:val="0"/>
              <w:spacing w:line="400" w:lineRule="exact"/>
              <w:ind w:firstLine="420" w:firstLineChars="200"/>
            </w:pPr>
            <w:r>
              <w:rPr>
                <w:rFonts w:hint="eastAsia"/>
                <w:lang w:eastAsia="zh-CN"/>
              </w:rPr>
              <w:t>竞选</w:t>
            </w:r>
            <w:r>
              <w:rPr>
                <w:rFonts w:hint="eastAsia"/>
              </w:rPr>
              <w:t>人须在</w:t>
            </w:r>
            <w:r>
              <w:rPr>
                <w:rFonts w:hint="eastAsia"/>
                <w:lang w:eastAsia="zh-CN"/>
              </w:rPr>
              <w:t>竞选</w:t>
            </w:r>
            <w:r>
              <w:rPr>
                <w:rFonts w:hint="eastAsia"/>
              </w:rPr>
              <w:t>文件资格审查部分提供经会计师事务所或审计机构出具的合法有效的财务审计报告及财务报表，财务报表须至少包括现金流量表、资产负债表、利润表。</w:t>
            </w:r>
          </w:p>
          <w:p w14:paraId="450E7D0D">
            <w:pPr>
              <w:autoSpaceDE w:val="0"/>
              <w:autoSpaceDN w:val="0"/>
              <w:adjustRightInd w:val="0"/>
              <w:snapToGrid w:val="0"/>
              <w:spacing w:line="400" w:lineRule="exact"/>
              <w:ind w:firstLine="422" w:firstLineChars="200"/>
              <w:rPr>
                <w:b/>
                <w:bCs/>
              </w:rPr>
            </w:pPr>
            <w:r>
              <w:rPr>
                <w:rFonts w:hint="eastAsia"/>
                <w:b/>
                <w:bCs/>
              </w:rPr>
              <w:t>3.业绩要求</w:t>
            </w:r>
          </w:p>
          <w:p w14:paraId="6D0F6DD0">
            <w:pPr>
              <w:autoSpaceDE w:val="0"/>
              <w:autoSpaceDN w:val="0"/>
              <w:adjustRightInd w:val="0"/>
              <w:snapToGrid w:val="0"/>
              <w:spacing w:line="400" w:lineRule="exact"/>
              <w:ind w:firstLine="420" w:firstLineChars="200"/>
              <w:rPr>
                <w:rFonts w:ascii="宋体" w:hAnsi="宋体"/>
                <w:szCs w:val="21"/>
                <w:u w:val="single"/>
              </w:rPr>
            </w:pPr>
            <w:r>
              <w:rPr>
                <w:rFonts w:hint="eastAsia"/>
                <w:lang w:eastAsia="zh-CN"/>
              </w:rPr>
              <w:t>竞选</w:t>
            </w:r>
            <w:r>
              <w:rPr>
                <w:rFonts w:hint="eastAsia"/>
              </w:rPr>
              <w:t>人</w:t>
            </w:r>
            <w:r>
              <w:rPr>
                <w:rFonts w:hint="eastAsia"/>
                <w:lang w:eastAsia="zh-CN"/>
              </w:rPr>
              <w:t>自</w:t>
            </w:r>
            <w:r>
              <w:rPr>
                <w:rFonts w:hint="eastAsia"/>
                <w:lang w:val="en-US" w:eastAsia="zh-CN"/>
              </w:rPr>
              <w:t>2023</w:t>
            </w:r>
            <w:r>
              <w:rPr>
                <w:rFonts w:hint="eastAsia"/>
              </w:rPr>
              <w:t>年1月1日起至</w:t>
            </w:r>
            <w:r>
              <w:rPr>
                <w:rFonts w:hint="eastAsia"/>
                <w:lang w:eastAsia="zh-CN"/>
              </w:rPr>
              <w:t>竞选</w:t>
            </w:r>
            <w:r>
              <w:rPr>
                <w:rFonts w:hint="eastAsia"/>
              </w:rPr>
              <w:t>截止日止（以竣工时间为准）完成的1个</w:t>
            </w:r>
            <w:r>
              <w:rPr>
                <w:rFonts w:hint="eastAsia"/>
                <w:lang w:eastAsia="zh-CN"/>
              </w:rPr>
              <w:t>合同金额</w:t>
            </w:r>
            <w:r>
              <w:rPr>
                <w:rFonts w:hint="eastAsia"/>
                <w:lang w:val="en-US" w:eastAsia="zh-CN"/>
              </w:rPr>
              <w:t>65万元及以上市政公用工程施工类似</w:t>
            </w:r>
            <w:r>
              <w:rPr>
                <w:rFonts w:hint="eastAsia" w:ascii="宋体" w:hAnsi="宋体"/>
                <w:szCs w:val="21"/>
              </w:rPr>
              <w:t>业绩。</w:t>
            </w:r>
          </w:p>
          <w:p w14:paraId="59EBDDA4">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lang w:eastAsia="zh-CN"/>
              </w:rPr>
              <w:t>提供：竞选</w:t>
            </w:r>
            <w:r>
              <w:rPr>
                <w:rFonts w:hint="eastAsia" w:ascii="宋体" w:hAnsi="宋体"/>
                <w:szCs w:val="21"/>
              </w:rPr>
              <w:t>人须在</w:t>
            </w:r>
            <w:r>
              <w:rPr>
                <w:rFonts w:hint="eastAsia" w:ascii="宋体" w:hAnsi="宋体"/>
                <w:szCs w:val="21"/>
                <w:lang w:eastAsia="zh-CN"/>
              </w:rPr>
              <w:t>竞选</w:t>
            </w:r>
            <w:r>
              <w:rPr>
                <w:rFonts w:hint="eastAsia" w:ascii="宋体" w:hAnsi="宋体"/>
                <w:szCs w:val="21"/>
              </w:rPr>
              <w:t>文件资格审查部分提供该业绩的中标通知书（直接发包的项目可提供项目发包人出具的项目直接发包情况说明或证明文书代替）、合同协议书和工程竣工验收合格的证明材料。</w:t>
            </w:r>
            <w:r>
              <w:rPr>
                <w:rFonts w:hint="eastAsia" w:ascii="宋体" w:hAnsi="宋体"/>
                <w:color w:val="000000" w:themeColor="text1"/>
                <w:szCs w:val="21"/>
                <w:highlight w:val="none"/>
                <w14:textFill>
                  <w14:solidFill>
                    <w14:schemeClr w14:val="tx1"/>
                  </w14:solidFill>
                </w14:textFill>
              </w:rPr>
              <w:t>若</w:t>
            </w:r>
            <w:r>
              <w:rPr>
                <w:rFonts w:hint="eastAsia" w:ascii="宋体" w:hAnsi="宋体"/>
                <w:color w:val="000000" w:themeColor="text1"/>
                <w:szCs w:val="21"/>
                <w:highlight w:val="none"/>
                <w:lang w:val="en-US" w:eastAsia="zh-CN"/>
                <w14:textFill>
                  <w14:solidFill>
                    <w14:schemeClr w14:val="tx1"/>
                  </w14:solidFill>
                </w14:textFill>
              </w:rPr>
              <w:t>提供的业绩证明材料不能</w:t>
            </w:r>
            <w:r>
              <w:rPr>
                <w:rFonts w:hint="eastAsia" w:ascii="宋体" w:hAnsi="宋体"/>
                <w:color w:val="000000" w:themeColor="text1"/>
                <w:szCs w:val="21"/>
                <w:highlight w:val="none"/>
                <w14:textFill>
                  <w14:solidFill>
                    <w14:schemeClr w14:val="tx1"/>
                  </w14:solidFill>
                </w14:textFill>
              </w:rPr>
              <w:t>体现</w:t>
            </w:r>
            <w:r>
              <w:rPr>
                <w:rFonts w:hint="eastAsia" w:ascii="宋体" w:hAnsi="宋体"/>
                <w:color w:val="000000" w:themeColor="text1"/>
                <w:szCs w:val="21"/>
                <w:highlight w:val="none"/>
                <w:lang w:val="en-US" w:eastAsia="zh-CN"/>
                <w14:textFill>
                  <w14:solidFill>
                    <w14:schemeClr w14:val="tx1"/>
                  </w14:solidFill>
                </w14:textFill>
              </w:rPr>
              <w:t>上述业绩指标</w:t>
            </w:r>
            <w:r>
              <w:rPr>
                <w:rFonts w:hint="eastAsia" w:ascii="宋体" w:hAnsi="宋体"/>
                <w:color w:val="000000" w:themeColor="text1"/>
                <w:szCs w:val="21"/>
                <w:highlight w:val="none"/>
                <w14:textFill>
                  <w14:solidFill>
                    <w14:schemeClr w14:val="tx1"/>
                  </w14:solidFill>
                </w14:textFill>
              </w:rPr>
              <w:t>的，</w:t>
            </w:r>
            <w:r>
              <w:rPr>
                <w:rFonts w:hint="eastAsia" w:ascii="宋体" w:hAnsi="宋体"/>
                <w:szCs w:val="21"/>
                <w:lang w:eastAsia="zh-CN"/>
              </w:rPr>
              <w:t>应补充提供</w:t>
            </w:r>
            <w:r>
              <w:rPr>
                <w:rFonts w:hint="eastAsia" w:ascii="宋体" w:hAnsi="宋体"/>
                <w:szCs w:val="21"/>
              </w:rPr>
              <w:t>业主证明。</w:t>
            </w:r>
          </w:p>
          <w:p w14:paraId="53B4920C">
            <w:pPr>
              <w:autoSpaceDE w:val="0"/>
              <w:autoSpaceDN w:val="0"/>
              <w:adjustRightInd w:val="0"/>
              <w:snapToGrid w:val="0"/>
              <w:spacing w:line="400" w:lineRule="exact"/>
              <w:ind w:firstLine="415" w:firstLineChars="198"/>
            </w:pPr>
            <w:r>
              <w:rPr>
                <w:rFonts w:hint="eastAsia" w:ascii="宋体" w:hAnsi="宋体"/>
                <w:szCs w:val="21"/>
              </w:rPr>
              <w:t>注：</w:t>
            </w:r>
            <w:r>
              <w:rPr>
                <w:rFonts w:hint="eastAsia" w:ascii="宋体" w:hAnsi="宋体"/>
                <w:szCs w:val="21"/>
                <w:lang w:eastAsia="zh-CN"/>
              </w:rPr>
              <w:t>竞选</w:t>
            </w:r>
            <w:r>
              <w:rPr>
                <w:rFonts w:hint="eastAsia" w:ascii="宋体" w:hAnsi="宋体"/>
                <w:szCs w:val="21"/>
              </w:rPr>
              <w:t>人应对其提供的业绩证明材料的真实性负责。当上述资料中针对同一指标存在不一致时，以工程竣工验收合格的证明材料为准。</w:t>
            </w:r>
          </w:p>
          <w:p w14:paraId="178F123C">
            <w:pPr>
              <w:ind w:firstLine="435"/>
              <w:rPr>
                <w:rFonts w:hint="eastAsia"/>
              </w:rPr>
            </w:pPr>
            <w:r>
              <w:rPr>
                <w:rFonts w:hint="eastAsia" w:ascii="宋体" w:hAnsi="宋体"/>
                <w:szCs w:val="21"/>
              </w:rPr>
              <w:t>不满足上述业绩要求的业绩无效。</w:t>
            </w:r>
          </w:p>
          <w:p w14:paraId="70230165">
            <w:pPr>
              <w:adjustRightInd w:val="0"/>
              <w:snapToGrid w:val="0"/>
              <w:spacing w:line="400" w:lineRule="exact"/>
              <w:ind w:firstLine="422" w:firstLineChars="200"/>
              <w:rPr>
                <w:b/>
                <w:bCs/>
              </w:rPr>
            </w:pPr>
            <w:r>
              <w:rPr>
                <w:rFonts w:hint="eastAsia"/>
                <w:b/>
                <w:bCs/>
              </w:rPr>
              <w:t>4.</w:t>
            </w:r>
            <w:r>
              <w:rPr>
                <w:rFonts w:hint="eastAsia"/>
                <w:b/>
                <w:bCs/>
                <w:lang w:eastAsia="zh-CN"/>
              </w:rPr>
              <w:t>竞选</w:t>
            </w:r>
            <w:r>
              <w:rPr>
                <w:b/>
                <w:bCs/>
              </w:rPr>
              <w:t>截止日</w:t>
            </w:r>
            <w:r>
              <w:rPr>
                <w:rFonts w:hint="eastAsia"/>
                <w:b/>
                <w:bCs/>
                <w:lang w:eastAsia="zh-CN"/>
              </w:rPr>
              <w:t>竞选</w:t>
            </w:r>
            <w:r>
              <w:rPr>
                <w:b/>
                <w:bCs/>
              </w:rPr>
              <w:t>资格情况</w:t>
            </w:r>
          </w:p>
          <w:p w14:paraId="33594EBA">
            <w:pPr>
              <w:snapToGrid w:val="0"/>
              <w:spacing w:line="400" w:lineRule="exact"/>
              <w:ind w:firstLine="420" w:firstLineChars="200"/>
            </w:pPr>
            <w:r>
              <w:rPr>
                <w:rFonts w:hint="eastAsia"/>
                <w:lang w:eastAsia="zh-CN"/>
              </w:rPr>
              <w:t>竞选</w:t>
            </w:r>
            <w:r>
              <w:rPr>
                <w:rFonts w:hint="eastAsia"/>
              </w:rPr>
              <w:t>人不得存在下列情形之一：</w:t>
            </w:r>
          </w:p>
          <w:p w14:paraId="22C28A55">
            <w:pPr>
              <w:snapToGrid w:val="0"/>
              <w:spacing w:line="400" w:lineRule="exact"/>
              <w:ind w:firstLine="420" w:firstLineChars="200"/>
              <w:jc w:val="left"/>
            </w:pPr>
            <w:r>
              <w:rPr>
                <w:rFonts w:hint="eastAsia"/>
              </w:rPr>
              <w:t>（1）被人民法院列入失信被执行人名单且在被执行期内；</w:t>
            </w:r>
          </w:p>
          <w:p w14:paraId="4BD7E55A">
            <w:pPr>
              <w:snapToGrid w:val="0"/>
              <w:spacing w:line="400" w:lineRule="exact"/>
              <w:ind w:firstLine="420" w:firstLineChars="200"/>
            </w:pPr>
            <w:r>
              <w:rPr>
                <w:rFonts w:hint="eastAsia"/>
              </w:rPr>
              <w:t>（2）被列入《重庆市工程建设领域</w:t>
            </w:r>
            <w:r>
              <w:rPr>
                <w:rFonts w:hint="eastAsia"/>
                <w:lang w:eastAsia="zh-CN"/>
              </w:rPr>
              <w:t>比选竞选</w:t>
            </w:r>
            <w:r>
              <w:rPr>
                <w:rFonts w:hint="eastAsia"/>
              </w:rPr>
              <w:t>信用管理暂行办法》规定的重点关注名单且记分达到12分且在记分有效期内；</w:t>
            </w:r>
          </w:p>
          <w:p w14:paraId="20504FDF">
            <w:pPr>
              <w:snapToGrid w:val="0"/>
              <w:spacing w:line="400" w:lineRule="exact"/>
              <w:ind w:firstLine="420" w:firstLineChars="200"/>
            </w:pPr>
            <w:r>
              <w:rPr>
                <w:rFonts w:hint="eastAsia"/>
              </w:rPr>
              <w:t>（3）被列入《重庆市工程建设领域</w:t>
            </w:r>
            <w:r>
              <w:rPr>
                <w:rFonts w:hint="eastAsia"/>
                <w:lang w:eastAsia="zh-CN"/>
              </w:rPr>
              <w:t>比选竞选</w:t>
            </w:r>
            <w:r>
              <w:rPr>
                <w:rFonts w:hint="eastAsia"/>
              </w:rPr>
              <w:t>信用管理暂行办法》规定的重庆市工程建设领域</w:t>
            </w:r>
            <w:r>
              <w:rPr>
                <w:rFonts w:hint="eastAsia"/>
                <w:lang w:eastAsia="zh-CN"/>
              </w:rPr>
              <w:t>比选竞选</w:t>
            </w:r>
            <w:r>
              <w:rPr>
                <w:rFonts w:hint="eastAsia"/>
              </w:rPr>
              <w:t>失信惩戒对象名单（以下称黑名单）且在记分有效期内；</w:t>
            </w:r>
          </w:p>
          <w:p w14:paraId="650BED2F">
            <w:pPr>
              <w:snapToGrid w:val="0"/>
              <w:spacing w:line="400" w:lineRule="exact"/>
              <w:ind w:firstLine="420" w:firstLineChars="200"/>
            </w:pPr>
            <w:r>
              <w:rPr>
                <w:rFonts w:hint="eastAsia"/>
              </w:rPr>
              <w:t>（4）被国家、重庆市（含市或任意区县）有关行政部门处以暂停</w:t>
            </w:r>
            <w:r>
              <w:rPr>
                <w:rFonts w:hint="eastAsia"/>
                <w:lang w:eastAsia="zh-CN"/>
              </w:rPr>
              <w:t>竞选</w:t>
            </w:r>
            <w:r>
              <w:rPr>
                <w:rFonts w:hint="eastAsia"/>
              </w:rPr>
              <w:t>资格行政处罚，且在处罚期限内；</w:t>
            </w:r>
          </w:p>
          <w:p w14:paraId="4819B967">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提供</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承诺</w:t>
            </w:r>
            <w:r>
              <w:rPr>
                <w:rFonts w:hint="eastAsia"/>
                <w:color w:val="000000" w:themeColor="text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格式见第六章竞选文件格式</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w:t>
            </w:r>
          </w:p>
          <w:p w14:paraId="030EA3CB">
            <w:pPr>
              <w:spacing w:line="400" w:lineRule="exact"/>
              <w:ind w:firstLine="420" w:firstLineChars="200"/>
            </w:pPr>
            <w:r>
              <w:rPr>
                <w:rFonts w:hint="eastAsia"/>
                <w:lang w:eastAsia="zh-CN"/>
              </w:rPr>
              <w:t>注：</w:t>
            </w:r>
            <w:r>
              <w:rPr>
                <w:rFonts w:hint="eastAsia" w:ascii="宋体" w:hAnsi="宋体" w:eastAsia="宋体" w:cs="宋体"/>
                <w:color w:val="000000" w:themeColor="text1"/>
                <w:highlight w:val="none"/>
                <w14:textFill>
                  <w14:solidFill>
                    <w14:schemeClr w14:val="tx1"/>
                  </w14:solidFill>
                </w14:textFill>
              </w:rPr>
              <w:t>述第（2）、（3）款信用状况在开标环节进行查询，以开标环节信用状况查询结果为准。若</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ascii="宋体" w:hAnsi="宋体" w:eastAsia="宋体" w:cs="宋体"/>
                <w:color w:val="000000" w:themeColor="text1"/>
                <w:highlight w:val="none"/>
                <w14:textFill>
                  <w14:solidFill>
                    <w14:schemeClr w14:val="tx1"/>
                  </w14:solidFill>
                </w14:textFill>
              </w:rPr>
              <w:t>人针对上述第（2）、（3）款的承诺内容与查询结果不符，由评标委员会作否决</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ascii="宋体" w:hAnsi="宋体" w:eastAsia="宋体" w:cs="宋体"/>
                <w:color w:val="000000" w:themeColor="text1"/>
                <w:highlight w:val="none"/>
                <w14:textFill>
                  <w14:solidFill>
                    <w14:schemeClr w14:val="tx1"/>
                  </w14:solidFill>
                </w14:textFill>
              </w:rPr>
              <w:t>处理。联合体</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ascii="宋体" w:hAnsi="宋体" w:eastAsia="宋体" w:cs="宋体"/>
                <w:color w:val="000000" w:themeColor="text1"/>
                <w:highlight w:val="none"/>
                <w14:textFill>
                  <w14:solidFill>
                    <w14:schemeClr w14:val="tx1"/>
                  </w14:solidFill>
                </w14:textFill>
              </w:rPr>
              <w:t>的，任一成员单位出现被限制</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ascii="宋体" w:hAnsi="宋体" w:eastAsia="宋体" w:cs="宋体"/>
                <w:color w:val="000000" w:themeColor="text1"/>
                <w:highlight w:val="none"/>
                <w14:textFill>
                  <w14:solidFill>
                    <w14:schemeClr w14:val="tx1"/>
                  </w14:solidFill>
                </w14:textFill>
              </w:rPr>
              <w:t>的情形，该联合体将被否决</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color w:val="000000" w:themeColor="text1"/>
                <w:highlight w:val="none"/>
                <w14:textFill>
                  <w14:solidFill>
                    <w14:schemeClr w14:val="tx1"/>
                  </w14:solidFill>
                </w14:textFill>
              </w:rPr>
              <w:t>。</w:t>
            </w:r>
          </w:p>
          <w:p w14:paraId="200169A4">
            <w:pPr>
              <w:snapToGrid w:val="0"/>
              <w:spacing w:line="400" w:lineRule="exact"/>
              <w:ind w:firstLine="422" w:firstLineChars="200"/>
              <w:rPr>
                <w:b/>
                <w:bCs/>
              </w:rPr>
            </w:pPr>
            <w:r>
              <w:rPr>
                <w:rFonts w:hint="eastAsia"/>
                <w:b/>
                <w:bCs/>
              </w:rPr>
              <w:t>5.</w:t>
            </w:r>
            <w:r>
              <w:rPr>
                <w:b/>
                <w:bCs/>
              </w:rPr>
              <w:t>项目经理资格要求</w:t>
            </w:r>
          </w:p>
          <w:p w14:paraId="33EB486E">
            <w:pPr>
              <w:snapToGrid w:val="0"/>
              <w:spacing w:line="400" w:lineRule="exact"/>
              <w:ind w:firstLine="420" w:firstLineChars="200"/>
            </w:pPr>
            <w:r>
              <w:rPr>
                <w:rFonts w:hint="eastAsia"/>
              </w:rPr>
              <w:t>5.1</w:t>
            </w:r>
            <w:r>
              <w:rPr>
                <w:rFonts w:hint="eastAsia"/>
                <w:color w:val="000000" w:themeColor="text1"/>
                <w:szCs w:val="21"/>
                <w:highlight w:val="none"/>
                <w:lang w:eastAsia="zh-CN"/>
                <w14:textFill>
                  <w14:solidFill>
                    <w14:schemeClr w14:val="tx1"/>
                  </w14:solidFill>
                </w14:textFill>
              </w:rPr>
              <w:t>竞选</w:t>
            </w:r>
            <w:r>
              <w:rPr>
                <w:rFonts w:hint="eastAsia"/>
                <w:color w:val="000000" w:themeColor="text1"/>
                <w:szCs w:val="21"/>
                <w:highlight w:val="none"/>
                <w14:textFill>
                  <w14:solidFill>
                    <w14:schemeClr w14:val="tx1"/>
                  </w14:solidFill>
                </w14:textFill>
              </w:rPr>
              <w:t>人拟派的</w:t>
            </w:r>
            <w:r>
              <w:rPr>
                <w:color w:val="000000" w:themeColor="text1"/>
                <w:szCs w:val="21"/>
                <w:highlight w:val="none"/>
                <w14:textFill>
                  <w14:solidFill>
                    <w14:schemeClr w14:val="tx1"/>
                  </w14:solidFill>
                </w14:textFill>
              </w:rPr>
              <w:t>项目经理须</w:t>
            </w:r>
            <w:r>
              <w:rPr>
                <w:rFonts w:hint="eastAsia"/>
                <w:color w:val="000000" w:themeColor="text1"/>
                <w:szCs w:val="21"/>
                <w:highlight w:val="none"/>
                <w:lang w:val="en-US" w:eastAsia="zh-CN"/>
                <w14:textFill>
                  <w14:solidFill>
                    <w14:schemeClr w14:val="tx1"/>
                  </w14:solidFill>
                </w14:textFill>
              </w:rPr>
              <w:t>是竞选单位人员，</w:t>
            </w:r>
            <w:r>
              <w:rPr>
                <w:color w:val="000000" w:themeColor="text1"/>
                <w:szCs w:val="21"/>
                <w:highlight w:val="none"/>
                <w14:textFill>
                  <w14:solidFill>
                    <w14:schemeClr w14:val="tx1"/>
                  </w14:solidFill>
                </w14:textFill>
              </w:rPr>
              <w:t>应</w:t>
            </w:r>
            <w:r>
              <w:rPr>
                <w:rFonts w:hint="eastAsia"/>
                <w:color w:val="000000" w:themeColor="text1"/>
                <w:szCs w:val="21"/>
                <w:highlight w:val="none"/>
                <w:lang w:val="en-US" w:eastAsia="zh-CN"/>
                <w14:textFill>
                  <w14:solidFill>
                    <w14:schemeClr w14:val="tx1"/>
                  </w14:solidFill>
                </w14:textFill>
              </w:rPr>
              <w:t>具备</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市政公用工程</w:t>
            </w:r>
            <w:r>
              <w:rPr>
                <w:rFonts w:hint="eastAsia"/>
                <w:i/>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专业</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二</w:t>
            </w:r>
            <w:r>
              <w:rPr>
                <w:color w:val="000000" w:themeColor="text1"/>
                <w:szCs w:val="21"/>
                <w:highlight w:val="none"/>
                <w:u w:val="single"/>
                <w14:textFill>
                  <w14:solidFill>
                    <w14:schemeClr w14:val="tx1"/>
                  </w14:solidFill>
                </w14:textFill>
              </w:rPr>
              <w:t>级</w:t>
            </w:r>
            <w:r>
              <w:rPr>
                <w:rFonts w:hint="eastAsia"/>
                <w:color w:val="000000" w:themeColor="text1"/>
                <w:szCs w:val="21"/>
                <w:highlight w:val="none"/>
                <w:u w:val="singl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注册建造师执业</w:t>
            </w:r>
            <w:r>
              <w:rPr>
                <w:rFonts w:ascii="宋体" w:hAnsi="宋体"/>
                <w:color w:val="000000" w:themeColor="text1"/>
                <w:szCs w:val="21"/>
                <w:highlight w:val="none"/>
                <w14:textFill>
                  <w14:solidFill>
                    <w14:schemeClr w14:val="tx1"/>
                  </w14:solidFill>
                </w14:textFill>
              </w:rPr>
              <w:t>资格</w:t>
            </w:r>
            <w:r>
              <w:rPr>
                <w:rFonts w:hint="eastAsia" w:ascii="宋体" w:hAnsi="宋体"/>
                <w:color w:val="000000" w:themeColor="text1"/>
                <w:szCs w:val="21"/>
                <w:highlight w:val="none"/>
                <w:lang w:val="en-US" w:eastAsia="zh-CN"/>
                <w14:textFill>
                  <w14:solidFill>
                    <w14:schemeClr w14:val="tx1"/>
                  </w14:solidFill>
                </w14:textFill>
              </w:rPr>
              <w:t>并在竞选单位注册</w:t>
            </w:r>
            <w:r>
              <w:rPr>
                <w:rFonts w:hint="eastAsia" w:ascii="宋体" w:hAnsi="宋体"/>
                <w:color w:val="000000" w:themeColor="text1"/>
                <w:szCs w:val="21"/>
                <w:highlight w:val="none"/>
                <w14:textFill>
                  <w14:solidFill>
                    <w14:schemeClr w14:val="tx1"/>
                  </w14:solidFill>
                </w14:textFill>
              </w:rPr>
              <w:t>。</w:t>
            </w:r>
          </w:p>
          <w:p w14:paraId="696B261F">
            <w:pPr>
              <w:snapToGrid w:val="0"/>
              <w:spacing w:line="400" w:lineRule="exact"/>
              <w:ind w:firstLine="420" w:firstLineChars="200"/>
              <w:jc w:val="left"/>
            </w:pPr>
            <w:r>
              <w:rPr>
                <w:rFonts w:hint="eastAsia"/>
              </w:rPr>
              <w:t>5.2项目经理承诺要求：</w:t>
            </w:r>
            <w:r>
              <w:rPr>
                <w:rFonts w:hint="eastAsia"/>
                <w:lang w:eastAsia="zh-CN"/>
              </w:rPr>
              <w:t>竞选</w:t>
            </w:r>
            <w:r>
              <w:rPr>
                <w:rFonts w:hint="eastAsia"/>
              </w:rPr>
              <w:t>人须承诺拟派项目经理按注册建造师的相关规定到岗履职和未被禁止参与</w:t>
            </w:r>
            <w:r>
              <w:rPr>
                <w:rFonts w:hint="eastAsia"/>
                <w:lang w:eastAsia="zh-CN"/>
              </w:rPr>
              <w:t>竞选</w:t>
            </w:r>
            <w:r>
              <w:rPr>
                <w:rFonts w:hint="eastAsia"/>
              </w:rPr>
              <w:t>。</w:t>
            </w:r>
          </w:p>
          <w:p w14:paraId="3C34EA0C">
            <w:pPr>
              <w:snapToGrid w:val="0"/>
              <w:spacing w:line="400" w:lineRule="exact"/>
              <w:ind w:firstLine="420" w:firstLineChars="200"/>
            </w:pPr>
            <w:r>
              <w:rPr>
                <w:rFonts w:hint="eastAsia"/>
              </w:rPr>
              <w:t>5</w:t>
            </w:r>
            <w:r>
              <w:t>.2.1到岗履职承诺要求：承诺拟派项目经理中标后在本项目任职，签订合同时拟派的项目经理必须与</w:t>
            </w:r>
            <w:r>
              <w:rPr>
                <w:rFonts w:hint="eastAsia"/>
                <w:lang w:eastAsia="zh-CN"/>
              </w:rPr>
              <w:t>竞选</w:t>
            </w:r>
            <w:r>
              <w:t>文件中的项目经理一致，并满足办理施工许可手续的相关要求。不能按承诺到岗履约的，按合同相关条款处罚并上报行政主管部门，给</w:t>
            </w:r>
            <w:r>
              <w:rPr>
                <w:rFonts w:hint="eastAsia"/>
                <w:lang w:eastAsia="zh-CN"/>
              </w:rPr>
              <w:t>比选</w:t>
            </w:r>
            <w:r>
              <w:t>人造成损失的，</w:t>
            </w:r>
            <w:r>
              <w:rPr>
                <w:rFonts w:hint="eastAsia"/>
                <w:lang w:eastAsia="zh-CN"/>
              </w:rPr>
              <w:t>竞选</w:t>
            </w:r>
            <w:r>
              <w:t>人依法承担违约赔偿责任。拟派项目经理中标后不得随意更换。</w:t>
            </w:r>
          </w:p>
          <w:p w14:paraId="58C40D06">
            <w:pPr>
              <w:snapToGrid w:val="0"/>
              <w:spacing w:line="400" w:lineRule="exact"/>
              <w:ind w:firstLine="420" w:firstLineChars="200"/>
            </w:pPr>
            <w:r>
              <w:rPr>
                <w:rFonts w:hint="eastAsia"/>
              </w:rPr>
              <w:t>5</w:t>
            </w:r>
            <w:r>
              <w:t>.2.2未被禁止参与</w:t>
            </w:r>
            <w:r>
              <w:rPr>
                <w:rFonts w:hint="eastAsia"/>
                <w:lang w:eastAsia="zh-CN"/>
              </w:rPr>
              <w:t>竞选</w:t>
            </w:r>
            <w:r>
              <w:t>承诺要求：承诺拟派项目经理未被重庆市住房和城乡建设主管部门暂停在渝承揽新业务。若被暂停在渝承揽新业务但仍参加</w:t>
            </w:r>
            <w:r>
              <w:rPr>
                <w:rFonts w:hint="eastAsia"/>
                <w:lang w:eastAsia="zh-CN"/>
              </w:rPr>
              <w:t>竞选</w:t>
            </w:r>
            <w:r>
              <w:t>，将被否决</w:t>
            </w:r>
            <w:r>
              <w:rPr>
                <w:rFonts w:hint="eastAsia"/>
                <w:lang w:eastAsia="zh-CN"/>
              </w:rPr>
              <w:t>竞选</w:t>
            </w:r>
            <w:r>
              <w:t>；已取得中标候选人资格或中标资格的，</w:t>
            </w:r>
            <w:r>
              <w:rPr>
                <w:rFonts w:hint="eastAsia"/>
                <w:lang w:eastAsia="zh-CN"/>
              </w:rPr>
              <w:t>比选</w:t>
            </w:r>
            <w:r>
              <w:t>人有权取消其中标候选人资格或中标资格；给</w:t>
            </w:r>
            <w:r>
              <w:rPr>
                <w:rFonts w:hint="eastAsia"/>
                <w:lang w:eastAsia="zh-CN"/>
              </w:rPr>
              <w:t>比选</w:t>
            </w:r>
            <w:r>
              <w:t>人造成损失的，</w:t>
            </w:r>
            <w:r>
              <w:rPr>
                <w:rFonts w:hint="eastAsia"/>
                <w:lang w:eastAsia="zh-CN"/>
              </w:rPr>
              <w:t>竞选</w:t>
            </w:r>
            <w:r>
              <w:t>人依法承担违约赔偿责任。</w:t>
            </w:r>
          </w:p>
          <w:p w14:paraId="2DED9B74">
            <w:pPr>
              <w:snapToGrid w:val="0"/>
              <w:spacing w:line="400" w:lineRule="exact"/>
              <w:ind w:firstLine="420" w:firstLineChars="200"/>
            </w:pPr>
            <w:r>
              <w:rPr>
                <w:rFonts w:hint="eastAsia"/>
              </w:rPr>
              <w:t>5</w:t>
            </w:r>
            <w:r>
              <w:t>.2.3项目经理的其它承诺要求：为保证中标人拟派的项目经理到本项目到岗履职，中标人还需承诺：</w:t>
            </w:r>
          </w:p>
          <w:p w14:paraId="5E29AF1A">
            <w:pPr>
              <w:snapToGrid w:val="0"/>
              <w:spacing w:line="400" w:lineRule="exact"/>
              <w:ind w:firstLine="420" w:firstLineChars="200"/>
            </w:pPr>
            <w:r>
              <w:t>若中标人拟派本项目的项目经理有在其他项目任职的情形的（或有在其他项目中标或拟中标的情形的），应在收到中标通知书后 14 日（7～30日）内，办理完成放弃在其他项目任职的手续（或办理完成放弃在其他项目中标</w:t>
            </w:r>
            <w:r>
              <w:rPr>
                <w:rFonts w:hint="eastAsia"/>
              </w:rPr>
              <w:t>或拟中标</w:t>
            </w:r>
            <w:r>
              <w:t>的手续），</w:t>
            </w:r>
            <w:r>
              <w:rPr>
                <w:rFonts w:hint="eastAsia"/>
                <w:lang w:eastAsia="zh-CN"/>
              </w:rPr>
              <w:t>比选</w:t>
            </w:r>
            <w:r>
              <w:t>人在合同签订前有权对中标人拟派项目经理在其他项目的任职情形（或在其他项目的中标或拟中标情形）进行核查，若与</w:t>
            </w:r>
            <w:r>
              <w:rPr>
                <w:rFonts w:hint="eastAsia"/>
              </w:rPr>
              <w:t>中标人</w:t>
            </w:r>
            <w:r>
              <w:t>承诺内容不符或中标人未在上述时间内按照</w:t>
            </w:r>
            <w:r>
              <w:rPr>
                <w:rFonts w:hint="eastAsia"/>
                <w:lang w:eastAsia="zh-CN"/>
              </w:rPr>
              <w:t>比选</w:t>
            </w:r>
            <w:r>
              <w:t>文件规定递交放弃在其他项目任职、中标或拟中标的相关资料，视为中标人放弃中标资格。在合同签订时，中标人需确保拟派项目经理符合《建筑施工企业项目经理资质管理办法》规定的项目经理任职条件，否则视为中标人放弃中标资格。</w:t>
            </w:r>
          </w:p>
          <w:p w14:paraId="08218B8F">
            <w:pPr>
              <w:snapToGrid w:val="0"/>
              <w:spacing w:line="400" w:lineRule="exact"/>
              <w:ind w:firstLine="420" w:firstLineChars="200"/>
            </w:pPr>
            <w:r>
              <w:t>放弃在其他项目任职的需提供</w:t>
            </w:r>
            <w:r>
              <w:rPr>
                <w:rFonts w:hint="eastAsia"/>
              </w:rPr>
              <w:t>：</w:t>
            </w:r>
            <w:r>
              <w:t>①</w:t>
            </w:r>
            <w:r>
              <w:rPr>
                <w:rFonts w:hint="eastAsia"/>
              </w:rPr>
              <w:t>经</w:t>
            </w:r>
            <w:r>
              <w:t>业主或建设单位同意任职变更的文件；②负责项目监管的行业行政主管部门出具同意任职变更的证明材料。</w:t>
            </w:r>
          </w:p>
          <w:p w14:paraId="7A90C18E">
            <w:pPr>
              <w:snapToGrid w:val="0"/>
              <w:spacing w:line="400" w:lineRule="exact"/>
              <w:ind w:firstLine="420" w:firstLineChars="200"/>
            </w:pPr>
            <w:r>
              <w:t>放弃在其他项目中标或拟中标的需提供</w:t>
            </w:r>
            <w:r>
              <w:rPr>
                <w:rFonts w:hint="eastAsia"/>
              </w:rPr>
              <w:t>：</w:t>
            </w:r>
            <w:r>
              <w:t>①经中标或拟中标的其他项目建设单位同意的放弃中标函</w:t>
            </w:r>
            <w:r>
              <w:rPr>
                <w:rFonts w:hint="eastAsia"/>
              </w:rPr>
              <w:t>。</w:t>
            </w:r>
          </w:p>
          <w:p w14:paraId="6D347D5E">
            <w:pPr>
              <w:snapToGrid w:val="0"/>
              <w:spacing w:line="400" w:lineRule="exact"/>
              <w:ind w:firstLine="420" w:firstLineChars="200"/>
            </w:pPr>
            <w:r>
              <w:rPr>
                <w:rFonts w:hint="eastAsia"/>
              </w:rPr>
              <w:t>5.2.4未提供上述承诺或承诺内容不符合要求的，由评标委员会作否决</w:t>
            </w:r>
            <w:r>
              <w:rPr>
                <w:rFonts w:hint="eastAsia"/>
                <w:lang w:eastAsia="zh-CN"/>
              </w:rPr>
              <w:t>竞选</w:t>
            </w:r>
            <w:r>
              <w:rPr>
                <w:rFonts w:hint="eastAsia"/>
              </w:rPr>
              <w:t>处理。</w:t>
            </w:r>
          </w:p>
          <w:p w14:paraId="163C6F2A">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提供</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拟派项目经理</w:t>
            </w:r>
            <w:r>
              <w:rPr>
                <w:rFonts w:hint="eastAsia" w:ascii="宋体" w:hAnsi="宋体"/>
                <w:color w:val="000000" w:themeColor="text1"/>
                <w:kern w:val="0"/>
                <w:szCs w:val="21"/>
                <w:highlight w:val="none"/>
                <w:lang w:val="en-US" w:eastAsia="zh-CN"/>
                <w14:textFill>
                  <w14:solidFill>
                    <w14:schemeClr w14:val="tx1"/>
                  </w14:solidFill>
                </w14:textFill>
              </w:rPr>
              <w:t>有效的</w:t>
            </w:r>
            <w:r>
              <w:rPr>
                <w:rFonts w:hint="eastAsia" w:ascii="宋体" w:hAnsi="宋体"/>
                <w:color w:val="000000" w:themeColor="text1"/>
                <w:kern w:val="0"/>
                <w:szCs w:val="21"/>
                <w:highlight w:val="none"/>
                <w14:textFill>
                  <w14:solidFill>
                    <w14:schemeClr w14:val="tx1"/>
                  </w14:solidFill>
                </w14:textFill>
              </w:rPr>
              <w:t>身份证、建造师注册证、</w:t>
            </w:r>
            <w:r>
              <w:rPr>
                <w:rFonts w:hint="eastAsia" w:ascii="宋体" w:hAnsi="宋体"/>
                <w:color w:val="000000" w:themeColor="text1"/>
                <w:kern w:val="0"/>
                <w:szCs w:val="21"/>
                <w:highlight w:val="none"/>
                <w:lang w:eastAsia="zh-CN"/>
                <w14:textFill>
                  <w14:solidFill>
                    <w14:schemeClr w14:val="tx1"/>
                  </w14:solidFill>
                </w14:textFill>
              </w:rPr>
              <w:t>竞选</w:t>
            </w:r>
            <w:r>
              <w:rPr>
                <w:rFonts w:hint="eastAsia" w:ascii="宋体" w:hAnsi="宋体"/>
                <w:color w:val="000000" w:themeColor="text1"/>
                <w:kern w:val="0"/>
                <w:szCs w:val="21"/>
                <w:highlight w:val="none"/>
                <w14:textFill>
                  <w14:solidFill>
                    <w14:schemeClr w14:val="tx1"/>
                  </w14:solidFill>
                </w14:textFill>
              </w:rPr>
              <w:t>人为其缴纳的养老保险证明材料</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承诺（格式见</w:t>
            </w:r>
            <w:r>
              <w:rPr>
                <w:rFonts w:hint="eastAsia" w:ascii="宋体" w:hAnsi="宋体"/>
                <w:color w:val="000000" w:themeColor="text1"/>
                <w:kern w:val="0"/>
                <w:szCs w:val="21"/>
                <w:highlight w:val="none"/>
                <w:lang w:eastAsia="zh-CN"/>
                <w14:textFill>
                  <w14:solidFill>
                    <w14:schemeClr w14:val="tx1"/>
                  </w14:solidFill>
                </w14:textFill>
              </w:rPr>
              <w:t>第六章竞选</w:t>
            </w:r>
            <w:r>
              <w:rPr>
                <w:rFonts w:hint="eastAsia" w:ascii="宋体" w:hAnsi="宋体"/>
                <w:color w:val="000000" w:themeColor="text1"/>
                <w:kern w:val="0"/>
                <w:szCs w:val="21"/>
                <w:highlight w:val="none"/>
                <w14:textFill>
                  <w14:solidFill>
                    <w14:schemeClr w14:val="tx1"/>
                  </w14:solidFill>
                </w14:textFill>
              </w:rPr>
              <w:t>文件格式）。</w:t>
            </w:r>
          </w:p>
          <w:p w14:paraId="41D06D46">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注：</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1</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提供拟派的项目经理为一级建造师或重庆市二级建造师注册人员的，必须提供建造师电子注册证书，且该建造师电子注册证书须由建造师本人在个人签名处手写本人签名。</w:t>
            </w:r>
          </w:p>
          <w:p w14:paraId="39964645">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2</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重庆市以外的省级住房城乡建设主管部门对二级建造师电子注册证书使用有明确规定的，从其规定。未规定使用电子注册证书的，可提供纸质证书扫描件。</w:t>
            </w:r>
          </w:p>
          <w:p w14:paraId="2A9515DB">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3</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建造师电子注册证书本人手写签名与签名图像笔迹是否一致不作为否决</w:t>
            </w:r>
            <w:r>
              <w:rPr>
                <w:rFonts w:hint="eastAsia" w:ascii="宋体" w:hAnsi="宋体"/>
                <w:color w:val="000000" w:themeColor="text1"/>
                <w:kern w:val="0"/>
                <w:szCs w:val="21"/>
                <w:highlight w:val="none"/>
                <w:lang w:eastAsia="zh-CN"/>
                <w14:textFill>
                  <w14:solidFill>
                    <w14:schemeClr w14:val="tx1"/>
                  </w14:solidFill>
                </w14:textFill>
              </w:rPr>
              <w:t>竞选</w:t>
            </w:r>
            <w:r>
              <w:rPr>
                <w:rFonts w:hint="eastAsia" w:ascii="宋体" w:hAnsi="宋体"/>
                <w:color w:val="000000" w:themeColor="text1"/>
                <w:kern w:val="0"/>
                <w:szCs w:val="21"/>
                <w:highlight w:val="none"/>
                <w14:textFill>
                  <w14:solidFill>
                    <w14:schemeClr w14:val="tx1"/>
                  </w14:solidFill>
                </w14:textFill>
              </w:rPr>
              <w:t>的情形。</w:t>
            </w:r>
          </w:p>
          <w:p w14:paraId="3651AEB9">
            <w:pPr>
              <w:snapToGrid w:val="0"/>
              <w:spacing w:line="400" w:lineRule="exact"/>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rPr>
              <w:t>5</w:t>
            </w:r>
            <w:r>
              <w:rPr>
                <w:rFonts w:hint="eastAsia" w:ascii="Times New Roman" w:hAnsi="Times New Roman" w:eastAsia="宋体" w:cs="Times New Roman"/>
                <w:lang w:eastAsia="zh-CN"/>
              </w:rPr>
              <w:t>.3项目经理业绩</w:t>
            </w:r>
          </w:p>
          <w:p w14:paraId="56FA5CCE">
            <w:pPr>
              <w:snapToGrid w:val="0"/>
              <w:spacing w:line="400" w:lineRule="exact"/>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竞选人</w:t>
            </w:r>
            <w:r>
              <w:rPr>
                <w:rFonts w:hint="eastAsia" w:ascii="Times New Roman" w:hAnsi="Times New Roman" w:eastAsia="宋体" w:cs="Times New Roman"/>
                <w:lang w:val="en-US" w:eastAsia="zh-CN"/>
              </w:rPr>
              <w:t>拟派的项目经理自</w:t>
            </w:r>
            <w:r>
              <w:rPr>
                <w:rFonts w:hint="eastAsia" w:ascii="Times New Roman" w:hAnsi="Times New Roman" w:eastAsia="宋体" w:cs="Times New Roman"/>
                <w:u w:val="single"/>
                <w:lang w:eastAsia="zh-CN"/>
              </w:rPr>
              <w:t xml:space="preserve"> </w:t>
            </w:r>
            <w:r>
              <w:rPr>
                <w:rFonts w:hint="eastAsia" w:ascii="Times New Roman" w:hAnsi="Times New Roman" w:eastAsia="宋体" w:cs="Times New Roman"/>
                <w:u w:val="single"/>
                <w:lang w:val="en-US" w:eastAsia="zh-CN"/>
              </w:rPr>
              <w:t>202</w:t>
            </w:r>
            <w:r>
              <w:rPr>
                <w:rFonts w:hint="eastAsia" w:cs="Times New Roman"/>
                <w:u w:val="single"/>
                <w:lang w:val="en-US" w:eastAsia="zh-CN"/>
              </w:rPr>
              <w:t>3</w:t>
            </w:r>
            <w:r>
              <w:rPr>
                <w:rFonts w:hint="eastAsia" w:ascii="Times New Roman" w:hAnsi="Times New Roman" w:eastAsia="宋体" w:cs="Times New Roman"/>
                <w:u w:val="single"/>
                <w:lang w:eastAsia="zh-CN"/>
              </w:rPr>
              <w:t xml:space="preserve"> </w:t>
            </w:r>
            <w:r>
              <w:rPr>
                <w:rFonts w:hint="eastAsia" w:ascii="Times New Roman" w:hAnsi="Times New Roman" w:eastAsia="宋体" w:cs="Times New Roman"/>
                <w:lang w:eastAsia="zh-CN"/>
              </w:rPr>
              <w:t>年1月1日起至竞选截止日止（以竣工时间为准），</w:t>
            </w:r>
            <w:r>
              <w:rPr>
                <w:rFonts w:hint="eastAsia" w:ascii="Times New Roman" w:hAnsi="Times New Roman" w:eastAsia="宋体" w:cs="Times New Roman"/>
                <w:lang w:val="en-US" w:eastAsia="zh-CN"/>
              </w:rPr>
              <w:t>完成过</w:t>
            </w:r>
            <w:r>
              <w:rPr>
                <w:rFonts w:hint="eastAsia" w:ascii="Times New Roman" w:hAnsi="Times New Roman" w:eastAsia="宋体" w:cs="Times New Roman"/>
                <w:lang w:eastAsia="zh-CN"/>
              </w:rPr>
              <w:t>1个</w:t>
            </w:r>
            <w:r>
              <w:rPr>
                <w:rFonts w:hint="eastAsia" w:ascii="Times New Roman" w:hAnsi="Times New Roman" w:eastAsia="宋体" w:cs="Times New Roman"/>
                <w:u w:val="single"/>
                <w:lang w:val="en-US" w:eastAsia="zh-CN"/>
              </w:rPr>
              <w:t>合同</w:t>
            </w:r>
            <w:r>
              <w:rPr>
                <w:rFonts w:hint="eastAsia" w:ascii="Times New Roman" w:hAnsi="Times New Roman" w:eastAsia="宋体" w:cs="Times New Roman"/>
                <w:u w:val="single"/>
                <w:lang w:eastAsia="zh-CN"/>
              </w:rPr>
              <w:t>金额</w:t>
            </w:r>
            <w:r>
              <w:rPr>
                <w:rFonts w:hint="eastAsia" w:cs="Times New Roman"/>
                <w:u w:val="single"/>
                <w:lang w:val="en-US" w:eastAsia="zh-CN"/>
              </w:rPr>
              <w:t>65</w:t>
            </w:r>
            <w:r>
              <w:rPr>
                <w:rFonts w:hint="eastAsia" w:ascii="Times New Roman" w:hAnsi="Times New Roman" w:eastAsia="宋体" w:cs="Times New Roman"/>
                <w:u w:val="single"/>
                <w:lang w:eastAsia="zh-CN"/>
              </w:rPr>
              <w:t>万元及以上市政公用工程</w:t>
            </w:r>
            <w:r>
              <w:rPr>
                <w:rFonts w:hint="eastAsia" w:ascii="Times New Roman" w:hAnsi="Times New Roman" w:eastAsia="宋体" w:cs="Times New Roman"/>
                <w:lang w:val="en-US" w:eastAsia="zh-CN"/>
              </w:rPr>
              <w:t>施工</w:t>
            </w:r>
            <w:r>
              <w:rPr>
                <w:rFonts w:hint="eastAsia" w:cs="Times New Roman"/>
                <w:lang w:val="en-US" w:eastAsia="zh-CN"/>
              </w:rPr>
              <w:t>类似</w:t>
            </w:r>
            <w:r>
              <w:rPr>
                <w:rFonts w:hint="eastAsia" w:ascii="Times New Roman" w:hAnsi="Times New Roman" w:eastAsia="宋体" w:cs="Times New Roman"/>
                <w:lang w:eastAsia="zh-CN"/>
              </w:rPr>
              <w:t>业绩，</w:t>
            </w:r>
            <w:r>
              <w:rPr>
                <w:rFonts w:hint="eastAsia" w:ascii="Times New Roman" w:hAnsi="Times New Roman" w:eastAsia="宋体" w:cs="Times New Roman"/>
                <w:lang w:val="en-US" w:eastAsia="zh-CN"/>
              </w:rPr>
              <w:t>并在该业绩中担任</w:t>
            </w:r>
            <w:r>
              <w:rPr>
                <w:rFonts w:hint="eastAsia" w:ascii="Times New Roman" w:hAnsi="Times New Roman" w:eastAsia="宋体" w:cs="Times New Roman"/>
                <w:u w:val="single"/>
                <w:lang w:val="en-US" w:eastAsia="zh-CN"/>
              </w:rPr>
              <w:t>项目经理</w:t>
            </w:r>
            <w:r>
              <w:rPr>
                <w:rFonts w:hint="eastAsia" w:ascii="Times New Roman" w:hAnsi="Times New Roman" w:eastAsia="宋体" w:cs="Times New Roman"/>
                <w:lang w:eastAsia="zh-CN"/>
              </w:rPr>
              <w:t>。</w:t>
            </w:r>
          </w:p>
          <w:p w14:paraId="04C6FA8D">
            <w:pPr>
              <w:snapToGrid w:val="0"/>
              <w:spacing w:line="400" w:lineRule="exact"/>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提供：该业绩的合同协议书和工程竣工验收合格的证明材料。若</w:t>
            </w:r>
            <w:r>
              <w:rPr>
                <w:rFonts w:hint="eastAsia" w:ascii="Times New Roman" w:hAnsi="Times New Roman" w:eastAsia="宋体" w:cs="Times New Roman"/>
                <w:lang w:val="en-US" w:eastAsia="zh-CN"/>
              </w:rPr>
              <w:t>提供的业绩证明材料不能</w:t>
            </w:r>
            <w:r>
              <w:rPr>
                <w:rFonts w:hint="eastAsia" w:ascii="Times New Roman" w:hAnsi="Times New Roman" w:eastAsia="宋体" w:cs="Times New Roman"/>
                <w:lang w:eastAsia="zh-CN"/>
              </w:rPr>
              <w:t>体现</w:t>
            </w:r>
            <w:r>
              <w:rPr>
                <w:rFonts w:hint="eastAsia" w:ascii="Times New Roman" w:hAnsi="Times New Roman" w:eastAsia="宋体" w:cs="Times New Roman"/>
                <w:lang w:val="en-US" w:eastAsia="zh-CN"/>
              </w:rPr>
              <w:t>上述业绩指标</w:t>
            </w:r>
            <w:r>
              <w:rPr>
                <w:rFonts w:hint="eastAsia" w:ascii="Times New Roman" w:hAnsi="Times New Roman" w:eastAsia="宋体" w:cs="Times New Roman"/>
                <w:lang w:eastAsia="zh-CN"/>
              </w:rPr>
              <w:t>的，应补充提供业主证明。</w:t>
            </w:r>
          </w:p>
          <w:p w14:paraId="51350DD6">
            <w:pPr>
              <w:snapToGrid w:val="0"/>
              <w:spacing w:line="400" w:lineRule="exact"/>
              <w:ind w:firstLine="420" w:firstLineChars="200"/>
              <w:rPr>
                <w:rFonts w:hint="eastAsia" w:ascii="宋体" w:hAnsi="宋体" w:eastAsia="宋体" w:cs="Times New Roman"/>
                <w:color w:val="000000" w:themeColor="text1"/>
                <w:kern w:val="0"/>
                <w:szCs w:val="21"/>
                <w:highlight w:val="none"/>
                <w:lang w:eastAsia="zh-CN"/>
                <w14:textFill>
                  <w14:solidFill>
                    <w14:schemeClr w14:val="tx1"/>
                  </w14:solidFill>
                </w14:textFill>
              </w:rPr>
            </w:pPr>
            <w:r>
              <w:rPr>
                <w:rFonts w:hint="eastAsia" w:ascii="Times New Roman" w:hAnsi="Times New Roman" w:eastAsia="宋体" w:cs="Times New Roman"/>
                <w:lang w:eastAsia="zh-CN"/>
              </w:rPr>
              <w:t>注：当上述</w:t>
            </w:r>
            <w:r>
              <w:rPr>
                <w:rFonts w:hint="eastAsia" w:ascii="Times New Roman" w:hAnsi="Times New Roman" w:eastAsia="宋体" w:cs="Times New Roman"/>
                <w:lang w:val="en-US" w:eastAsia="zh-CN"/>
              </w:rPr>
              <w:t>业绩证明材料</w:t>
            </w:r>
            <w:r>
              <w:rPr>
                <w:rFonts w:hint="eastAsia" w:ascii="Times New Roman" w:hAnsi="Times New Roman" w:eastAsia="宋体" w:cs="Times New Roman"/>
                <w:lang w:eastAsia="zh-CN"/>
              </w:rPr>
              <w:t>中针对同一指</w:t>
            </w:r>
            <w:r>
              <w:rPr>
                <w:rFonts w:hint="eastAsia" w:ascii="宋体" w:hAnsi="宋体" w:eastAsia="宋体" w:cs="Times New Roman"/>
                <w:color w:val="000000" w:themeColor="text1"/>
                <w:kern w:val="0"/>
                <w:szCs w:val="21"/>
                <w:highlight w:val="none"/>
                <w:lang w:eastAsia="zh-CN"/>
                <w14:textFill>
                  <w14:solidFill>
                    <w14:schemeClr w14:val="tx1"/>
                  </w14:solidFill>
                </w14:textFill>
              </w:rPr>
              <w:t>标存在不一致时，以工程竣工验收合格的证明材料为准。</w:t>
            </w:r>
          </w:p>
          <w:p w14:paraId="6B26C29F">
            <w:pPr>
              <w:snapToGrid w:val="0"/>
              <w:spacing w:line="400" w:lineRule="exact"/>
              <w:ind w:firstLine="422" w:firstLineChars="200"/>
              <w:rPr>
                <w:rFonts w:hint="eastAsia" w:ascii="宋体" w:hAnsi="宋体" w:eastAsia="宋体" w:cs="Times New Roman"/>
                <w:b/>
                <w:bCs/>
                <w:color w:val="000000" w:themeColor="text1"/>
                <w:kern w:val="0"/>
                <w:szCs w:val="21"/>
                <w:highlight w:val="none"/>
                <w:lang w:eastAsia="zh-CN"/>
                <w14:textFill>
                  <w14:solidFill>
                    <w14:schemeClr w14:val="tx1"/>
                  </w14:solidFill>
                </w14:textFill>
              </w:rPr>
            </w:pPr>
            <w:r>
              <w:rPr>
                <w:rFonts w:hint="eastAsia" w:ascii="宋体" w:hAnsi="宋体" w:eastAsia="宋体" w:cs="Times New Roman"/>
                <w:b/>
                <w:bCs/>
                <w:color w:val="000000" w:themeColor="text1"/>
                <w:kern w:val="0"/>
                <w:szCs w:val="21"/>
                <w:highlight w:val="none"/>
                <w:lang w:eastAsia="zh-CN"/>
                <w14:textFill>
                  <w14:solidFill>
                    <w14:schemeClr w14:val="tx1"/>
                  </w14:solidFill>
                </w14:textFill>
              </w:rPr>
              <w:t>6.其他要求</w:t>
            </w:r>
          </w:p>
          <w:p w14:paraId="494EEFD7">
            <w:pPr>
              <w:snapToGrid w:val="0"/>
              <w:spacing w:line="400" w:lineRule="exact"/>
              <w:ind w:firstLine="420" w:firstLineChars="200"/>
              <w:rPr>
                <w:highlight w:val="none"/>
              </w:rPr>
            </w:pPr>
            <w:r>
              <w:rPr>
                <w:highlight w:val="none"/>
              </w:rPr>
              <w:t>（1）项目技术负责人：</w:t>
            </w:r>
          </w:p>
          <w:p w14:paraId="68506D5A">
            <w:pPr>
              <w:snapToGrid w:val="0"/>
              <w:spacing w:line="400" w:lineRule="exact"/>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竞选人拟派的技术负责人须是竞选单位人员，具备</w:t>
            </w:r>
            <w:r>
              <w:rPr>
                <w:rFonts w:hint="eastAsia" w:ascii="宋体" w:hAnsi="宋体"/>
                <w:color w:val="000000" w:themeColor="text1"/>
                <w:szCs w:val="21"/>
                <w:highlight w:val="none"/>
                <w:u w:val="single"/>
                <w14:textFill>
                  <w14:solidFill>
                    <w14:schemeClr w14:val="tx1"/>
                  </w14:solidFill>
                </w14:textFill>
              </w:rPr>
              <w:t>工程类</w:t>
            </w:r>
            <w:r>
              <w:rPr>
                <w:rFonts w:hint="eastAsia" w:ascii="宋体" w:hAnsi="宋体"/>
                <w:color w:val="000000" w:themeColor="text1"/>
                <w:szCs w:val="21"/>
                <w:highlight w:val="none"/>
                <w:u w:val="single"/>
                <w:lang w:val="en-US" w:eastAsia="zh-CN"/>
                <w14:textFill>
                  <w14:solidFill>
                    <w14:schemeClr w14:val="tx1"/>
                  </w14:solidFill>
                </w14:textFill>
              </w:rPr>
              <w:t>中</w:t>
            </w:r>
            <w:r>
              <w:rPr>
                <w:rFonts w:ascii="宋体" w:hAnsi="宋体"/>
                <w:color w:val="000000" w:themeColor="text1"/>
                <w:szCs w:val="21"/>
                <w:highlight w:val="none"/>
                <w:u w:val="single"/>
                <w14:textFill>
                  <w14:solidFill>
                    <w14:schemeClr w14:val="tx1"/>
                  </w14:solidFill>
                </w14:textFill>
              </w:rPr>
              <w:t>级及以上</w:t>
            </w:r>
            <w:r>
              <w:rPr>
                <w:rFonts w:ascii="宋体" w:hAnsi="宋体"/>
                <w:color w:val="000000" w:themeColor="text1"/>
                <w:szCs w:val="21"/>
                <w:highlight w:val="none"/>
                <w14:textFill>
                  <w14:solidFill>
                    <w14:schemeClr w14:val="tx1"/>
                  </w14:solidFill>
                </w14:textFill>
              </w:rPr>
              <w:t>职称</w:t>
            </w:r>
            <w:r>
              <w:rPr>
                <w:rFonts w:hint="eastAsia" w:ascii="宋体" w:hAnsi="宋体"/>
                <w:color w:val="000000" w:themeColor="text1"/>
                <w:szCs w:val="21"/>
                <w:highlight w:val="none"/>
                <w:lang w:eastAsia="zh-CN"/>
                <w14:textFill>
                  <w14:solidFill>
                    <w14:schemeClr w14:val="tx1"/>
                  </w14:solidFill>
                </w14:textFill>
              </w:rPr>
              <w:t>。</w:t>
            </w:r>
          </w:p>
          <w:p w14:paraId="6A5B283D">
            <w:pPr>
              <w:autoSpaceDE w:val="0"/>
              <w:autoSpaceDN w:val="0"/>
              <w:adjustRightInd w:val="0"/>
              <w:snapToGrid w:val="0"/>
              <w:spacing w:line="400" w:lineRule="exact"/>
              <w:ind w:firstLine="420" w:firstLineChars="200"/>
            </w:pPr>
            <w:r>
              <w:rPr>
                <w:rFonts w:hint="eastAsia"/>
                <w:lang w:eastAsia="zh-CN"/>
              </w:rPr>
              <w:t>提供：</w:t>
            </w:r>
            <w:r>
              <w:rPr>
                <w:rFonts w:hint="eastAsia" w:ascii="宋体" w:hAnsi="宋体"/>
                <w:color w:val="000000" w:themeColor="text1"/>
                <w:kern w:val="0"/>
                <w:szCs w:val="21"/>
                <w:highlight w:val="none"/>
                <w14:textFill>
                  <w14:solidFill>
                    <w14:schemeClr w14:val="tx1"/>
                  </w14:solidFill>
                </w14:textFill>
              </w:rPr>
              <w:t>拟派技术负责人</w:t>
            </w:r>
            <w:r>
              <w:rPr>
                <w:rFonts w:hint="eastAsia" w:ascii="宋体" w:hAnsi="宋体"/>
                <w:color w:val="000000" w:themeColor="text1"/>
                <w:kern w:val="0"/>
                <w:szCs w:val="21"/>
                <w:highlight w:val="none"/>
                <w:lang w:val="en-US" w:eastAsia="zh-CN"/>
                <w14:textFill>
                  <w14:solidFill>
                    <w14:schemeClr w14:val="tx1"/>
                  </w14:solidFill>
                </w14:textFill>
              </w:rPr>
              <w:t>有效的</w:t>
            </w:r>
            <w:r>
              <w:rPr>
                <w:rFonts w:hint="eastAsia" w:ascii="宋体" w:hAnsi="宋体"/>
                <w:color w:val="000000" w:themeColor="text1"/>
                <w:kern w:val="0"/>
                <w:szCs w:val="21"/>
                <w:highlight w:val="none"/>
                <w14:textFill>
                  <w14:solidFill>
                    <w14:schemeClr w14:val="tx1"/>
                  </w14:solidFill>
                </w14:textFill>
              </w:rPr>
              <w:t>身份证、职称证及</w:t>
            </w:r>
            <w:r>
              <w:rPr>
                <w:rFonts w:hint="eastAsia" w:ascii="宋体" w:hAnsi="宋体"/>
                <w:color w:val="000000" w:themeColor="text1"/>
                <w:kern w:val="0"/>
                <w:szCs w:val="21"/>
                <w:highlight w:val="none"/>
                <w:lang w:eastAsia="zh-CN"/>
                <w14:textFill>
                  <w14:solidFill>
                    <w14:schemeClr w14:val="tx1"/>
                  </w14:solidFill>
                </w14:textFill>
              </w:rPr>
              <w:t>竞选</w:t>
            </w:r>
            <w:r>
              <w:rPr>
                <w:rFonts w:hint="eastAsia" w:ascii="宋体" w:hAnsi="宋体"/>
                <w:color w:val="000000" w:themeColor="text1"/>
                <w:kern w:val="0"/>
                <w:szCs w:val="21"/>
                <w:highlight w:val="none"/>
                <w14:textFill>
                  <w14:solidFill>
                    <w14:schemeClr w14:val="tx1"/>
                  </w14:solidFill>
                </w14:textFill>
              </w:rPr>
              <w:t>人本单位为其缴纳的养老保险证明材料。</w:t>
            </w:r>
          </w:p>
          <w:p w14:paraId="180106D9">
            <w:pPr>
              <w:autoSpaceDE w:val="0"/>
              <w:autoSpaceDN w:val="0"/>
              <w:adjustRightInd w:val="0"/>
              <w:snapToGrid w:val="0"/>
              <w:spacing w:line="400" w:lineRule="exact"/>
              <w:ind w:firstLine="420" w:firstLineChars="200"/>
            </w:pPr>
            <w:r>
              <w:t>（2）主要管理人员：</w:t>
            </w:r>
          </w:p>
          <w:p w14:paraId="332427A8">
            <w:pPr>
              <w:autoSpaceDE w:val="0"/>
              <w:autoSpaceDN w:val="0"/>
              <w:adjustRightInd w:val="0"/>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color w:val="000000" w:themeColor="text1"/>
                <w:szCs w:val="21"/>
                <w:highlight w:val="none"/>
                <w14:textFill>
                  <w14:solidFill>
                    <w14:schemeClr w14:val="tx1"/>
                  </w14:solidFill>
                </w14:textFill>
              </w:rPr>
              <w:t>中标后签订合同之前，须按照建设行政主管部门的要求组建施工项目部，配置项目管理班子，出具任命文件。任命文件应当明确施工项目部的职责、岗位设置、人员配备，并书面通知</w:t>
            </w:r>
            <w:r>
              <w:rPr>
                <w:rFonts w:hint="eastAsia" w:ascii="宋体" w:hAnsi="宋体"/>
                <w:color w:val="000000" w:themeColor="text1"/>
                <w:szCs w:val="21"/>
                <w:highlight w:val="none"/>
                <w:lang w:val="en-US" w:eastAsia="zh-CN"/>
                <w14:textFill>
                  <w14:solidFill>
                    <w14:schemeClr w14:val="tx1"/>
                  </w14:solidFill>
                </w14:textFill>
              </w:rPr>
              <w:t>比选人</w:t>
            </w:r>
            <w:r>
              <w:rPr>
                <w:rFonts w:hint="eastAsia" w:ascii="宋体" w:hAnsi="宋体"/>
                <w:color w:val="000000" w:themeColor="text1"/>
                <w:szCs w:val="21"/>
                <w:highlight w:val="none"/>
                <w14:textFill>
                  <w14:solidFill>
                    <w14:schemeClr w14:val="tx1"/>
                  </w14:solidFill>
                </w14:textFill>
              </w:rPr>
              <w:t>。相关岗位管理人员应持有建设行政主管部门要求的岗位证书，并提供</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人为其缴纳的养老保险证明材料。中标后不能满足该要求的，</w:t>
            </w:r>
            <w:r>
              <w:rPr>
                <w:rFonts w:hint="eastAsia" w:ascii="宋体" w:hAnsi="宋体"/>
                <w:color w:val="000000" w:themeColor="text1"/>
                <w:szCs w:val="21"/>
                <w:highlight w:val="none"/>
                <w:lang w:eastAsia="zh-CN"/>
                <w14:textFill>
                  <w14:solidFill>
                    <w14:schemeClr w14:val="tx1"/>
                  </w14:solidFill>
                </w14:textFill>
              </w:rPr>
              <w:t>比选</w:t>
            </w:r>
            <w:r>
              <w:rPr>
                <w:rFonts w:hint="eastAsia" w:ascii="宋体" w:hAnsi="宋体"/>
                <w:color w:val="000000" w:themeColor="text1"/>
                <w:szCs w:val="21"/>
                <w:highlight w:val="none"/>
                <w14:textFill>
                  <w14:solidFill>
                    <w14:schemeClr w14:val="tx1"/>
                  </w14:solidFill>
                </w14:textFill>
              </w:rPr>
              <w:t>人可取消</w:t>
            </w:r>
            <w:r>
              <w:rPr>
                <w:rFonts w:hint="eastAsia" w:ascii="宋体" w:hAnsi="宋体"/>
                <w:color w:val="000000" w:themeColor="text1"/>
                <w:szCs w:val="21"/>
                <w:highlight w:val="none"/>
                <w:lang w:val="en-US" w:eastAsia="zh-CN"/>
                <w14:textFill>
                  <w14:solidFill>
                    <w14:schemeClr w14:val="tx1"/>
                  </w14:solidFill>
                </w14:textFill>
              </w:rPr>
              <w:t>竞选人</w:t>
            </w:r>
            <w:r>
              <w:rPr>
                <w:rFonts w:hint="eastAsia" w:ascii="宋体" w:hAnsi="宋体"/>
                <w:color w:val="000000" w:themeColor="text1"/>
                <w:szCs w:val="21"/>
                <w:highlight w:val="none"/>
                <w14:textFill>
                  <w14:solidFill>
                    <w14:schemeClr w14:val="tx1"/>
                  </w14:solidFill>
                </w14:textFill>
              </w:rPr>
              <w:t>中标资格</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；签订合同后不满足该要求的，</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比选人</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按合同相关条款</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要求竞选人承担责任</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并上报行政主管部门；</w:t>
            </w:r>
            <w:r>
              <w:rPr>
                <w:rFonts w:hint="eastAsia" w:ascii="宋体" w:hAnsi="宋体"/>
                <w:color w:val="000000" w:themeColor="text1"/>
                <w:szCs w:val="21"/>
                <w:highlight w:val="none"/>
                <w14:textFill>
                  <w14:solidFill>
                    <w14:schemeClr w14:val="tx1"/>
                  </w14:solidFill>
                </w14:textFill>
              </w:rPr>
              <w:t>给</w:t>
            </w:r>
            <w:r>
              <w:rPr>
                <w:rFonts w:hint="eastAsia" w:ascii="宋体" w:hAnsi="宋体"/>
                <w:color w:val="000000" w:themeColor="text1"/>
                <w:szCs w:val="21"/>
                <w:highlight w:val="none"/>
                <w:lang w:eastAsia="zh-CN"/>
                <w14:textFill>
                  <w14:solidFill>
                    <w14:schemeClr w14:val="tx1"/>
                  </w14:solidFill>
                </w14:textFill>
              </w:rPr>
              <w:t>比选</w:t>
            </w:r>
            <w:r>
              <w:rPr>
                <w:rFonts w:hint="eastAsia" w:ascii="宋体" w:hAnsi="宋体"/>
                <w:color w:val="000000" w:themeColor="text1"/>
                <w:szCs w:val="21"/>
                <w:highlight w:val="none"/>
                <w14:textFill>
                  <w14:solidFill>
                    <w14:schemeClr w14:val="tx1"/>
                  </w14:solidFill>
                </w14:textFill>
              </w:rPr>
              <w:t>人造成损失的，</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人依法承担赔偿责任</w:t>
            </w:r>
            <w:r>
              <w:rPr>
                <w:rFonts w:hint="eastAsia" w:ascii="宋体" w:hAnsi="宋体"/>
                <w:color w:val="000000" w:themeColor="text1"/>
                <w:szCs w:val="21"/>
                <w:highlight w:val="none"/>
                <w:lang w:val="en-US" w:eastAsia="zh-CN"/>
                <w14:textFill>
                  <w14:solidFill>
                    <w14:schemeClr w14:val="tx1"/>
                  </w14:solidFill>
                </w14:textFill>
              </w:rPr>
              <w:t>或违约责任</w:t>
            </w:r>
            <w:r>
              <w:rPr>
                <w:rFonts w:hint="eastAsia" w:ascii="宋体" w:hAnsi="宋体"/>
                <w:color w:val="000000" w:themeColor="text1"/>
                <w:szCs w:val="21"/>
                <w:highlight w:val="none"/>
                <w14:textFill>
                  <w14:solidFill>
                    <w14:schemeClr w14:val="tx1"/>
                  </w14:solidFill>
                </w14:textFill>
              </w:rPr>
              <w:t>。</w:t>
            </w:r>
          </w:p>
          <w:p w14:paraId="092286A0">
            <w:pPr>
              <w:autoSpaceDE w:val="0"/>
              <w:autoSpaceDN w:val="0"/>
              <w:adjustRightIn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提供</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承诺（格式见第</w:t>
            </w:r>
            <w:r>
              <w:rPr>
                <w:rFonts w:hint="eastAsia" w:ascii="宋体" w:hAnsi="宋体"/>
                <w:color w:val="000000" w:themeColor="text1"/>
                <w:szCs w:val="21"/>
                <w:highlight w:val="none"/>
                <w:lang w:eastAsia="zh-CN"/>
                <w14:textFill>
                  <w14:solidFill>
                    <w14:schemeClr w14:val="tx1"/>
                  </w14:solidFill>
                </w14:textFill>
              </w:rPr>
              <w:t>六</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文件格式）。</w:t>
            </w:r>
          </w:p>
          <w:p w14:paraId="1A717C08">
            <w:pPr>
              <w:autoSpaceDE w:val="0"/>
              <w:autoSpaceDN w:val="0"/>
              <w:adjustRightInd w:val="0"/>
              <w:snapToGrid w:val="0"/>
              <w:spacing w:line="400" w:lineRule="exact"/>
              <w:ind w:firstLine="420" w:firstLineChars="200"/>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3</w:t>
            </w:r>
            <w:r>
              <w:rPr>
                <w:rFonts w:ascii="宋体" w:hAnsi="宋体"/>
                <w:color w:val="000000" w:themeColor="text1"/>
                <w:kern w:val="0"/>
                <w:szCs w:val="21"/>
                <w:highlight w:val="none"/>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法定代表人或</w:t>
            </w:r>
            <w:r>
              <w:rPr>
                <w:rFonts w:ascii="宋体" w:hAnsi="宋体"/>
                <w:color w:val="000000" w:themeColor="text1"/>
                <w:kern w:val="0"/>
                <w:szCs w:val="21"/>
                <w:highlight w:val="none"/>
                <w14:textFill>
                  <w14:solidFill>
                    <w14:schemeClr w14:val="tx1"/>
                  </w14:solidFill>
                </w14:textFill>
              </w:rPr>
              <w:t>委托代理人</w:t>
            </w:r>
            <w:r>
              <w:rPr>
                <w:rFonts w:hint="eastAsia" w:ascii="宋体" w:hAnsi="宋体"/>
                <w:color w:val="000000" w:themeColor="text1"/>
                <w:kern w:val="0"/>
                <w:szCs w:val="21"/>
                <w:highlight w:val="none"/>
                <w14:textFill>
                  <w14:solidFill>
                    <w14:schemeClr w14:val="tx1"/>
                  </w14:solidFill>
                </w14:textFill>
              </w:rPr>
              <w:t>：</w:t>
            </w:r>
          </w:p>
          <w:p w14:paraId="79BE132D">
            <w:pPr>
              <w:autoSpaceDE w:val="0"/>
              <w:autoSpaceDN w:val="0"/>
              <w:adjustRightInd w:val="0"/>
              <w:snapToGrid w:val="0"/>
              <w:spacing w:line="400" w:lineRule="exact"/>
              <w:ind w:firstLine="420" w:firstLineChars="200"/>
              <w:rPr>
                <w:rFonts w:hint="eastAsia" w:ascii="宋体" w:hAnsi="宋体" w:eastAsia="宋体"/>
                <w:color w:val="000000" w:themeColor="text1"/>
                <w:kern w:val="0"/>
                <w:szCs w:val="21"/>
                <w:highlight w:val="none"/>
                <w:lang w:val="en-US" w:eastAsia="zh-CN"/>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法定代表人或</w:t>
            </w:r>
            <w:r>
              <w:rPr>
                <w:rFonts w:hint="eastAsia" w:ascii="宋体" w:hAnsi="宋体"/>
                <w:i w:val="0"/>
                <w:iCs/>
                <w:color w:val="000000" w:themeColor="text1"/>
                <w:kern w:val="0"/>
                <w:szCs w:val="21"/>
                <w:highlight w:val="none"/>
                <w14:textFill>
                  <w14:solidFill>
                    <w14:schemeClr w14:val="tx1"/>
                  </w14:solidFill>
                </w14:textFill>
              </w:rPr>
              <w:t>委托代理人</w:t>
            </w:r>
            <w:r>
              <w:rPr>
                <w:rFonts w:hint="eastAsia" w:ascii="宋体" w:hAnsi="宋体"/>
                <w:i w:val="0"/>
                <w:iCs/>
                <w:color w:val="000000" w:themeColor="text1"/>
                <w:kern w:val="0"/>
                <w:szCs w:val="21"/>
                <w:highlight w:val="none"/>
                <w:lang w:val="en-US" w:eastAsia="zh-CN"/>
                <w14:textFill>
                  <w14:solidFill>
                    <w14:schemeClr w14:val="tx1"/>
                  </w14:solidFill>
                </w14:textFill>
              </w:rPr>
              <w:t>代表</w:t>
            </w:r>
            <w:r>
              <w:rPr>
                <w:rFonts w:hint="eastAsia" w:ascii="宋体" w:hAnsi="宋体"/>
                <w:i w:val="0"/>
                <w:iCs/>
                <w:color w:val="000000" w:themeColor="text1"/>
                <w:kern w:val="0"/>
                <w:szCs w:val="21"/>
                <w:highlight w:val="none"/>
                <w:lang w:eastAsia="zh-CN"/>
                <w14:textFill>
                  <w14:solidFill>
                    <w14:schemeClr w14:val="tx1"/>
                  </w14:solidFill>
                </w14:textFill>
              </w:rPr>
              <w:t>竞选</w:t>
            </w:r>
            <w:r>
              <w:rPr>
                <w:rFonts w:hint="eastAsia" w:ascii="宋体" w:hAnsi="宋体"/>
                <w:i w:val="0"/>
                <w:iCs/>
                <w:color w:val="000000" w:themeColor="text1"/>
                <w:kern w:val="0"/>
                <w:szCs w:val="21"/>
                <w:highlight w:val="none"/>
                <w14:textFill>
                  <w14:solidFill>
                    <w14:schemeClr w14:val="tx1"/>
                  </w14:solidFill>
                </w14:textFill>
              </w:rPr>
              <w:t>人签署、澄清、说明、补正、递交、撤回、修改本项目</w:t>
            </w:r>
            <w:r>
              <w:rPr>
                <w:rFonts w:hint="eastAsia" w:ascii="宋体" w:hAnsi="宋体"/>
                <w:i w:val="0"/>
                <w:iCs/>
                <w:color w:val="000000" w:themeColor="text1"/>
                <w:kern w:val="0"/>
                <w:szCs w:val="21"/>
                <w:highlight w:val="none"/>
                <w:lang w:eastAsia="zh-CN"/>
                <w14:textFill>
                  <w14:solidFill>
                    <w14:schemeClr w14:val="tx1"/>
                  </w14:solidFill>
                </w14:textFill>
              </w:rPr>
              <w:t>竞选</w:t>
            </w:r>
            <w:r>
              <w:rPr>
                <w:rFonts w:hint="eastAsia" w:ascii="宋体" w:hAnsi="宋体"/>
                <w:i w:val="0"/>
                <w:iCs/>
                <w:color w:val="000000" w:themeColor="text1"/>
                <w:kern w:val="0"/>
                <w:szCs w:val="21"/>
                <w:highlight w:val="none"/>
                <w14:textFill>
                  <w14:solidFill>
                    <w14:schemeClr w14:val="tx1"/>
                  </w14:solidFill>
                </w14:textFill>
              </w:rPr>
              <w:t>文件、签订合同和处理有关事宜，其法律后果由</w:t>
            </w:r>
            <w:r>
              <w:rPr>
                <w:rFonts w:hint="eastAsia" w:ascii="宋体" w:hAnsi="宋体"/>
                <w:i w:val="0"/>
                <w:iCs/>
                <w:color w:val="000000" w:themeColor="text1"/>
                <w:kern w:val="0"/>
                <w:szCs w:val="21"/>
                <w:highlight w:val="none"/>
                <w:lang w:eastAsia="zh-CN"/>
                <w14:textFill>
                  <w14:solidFill>
                    <w14:schemeClr w14:val="tx1"/>
                  </w14:solidFill>
                </w14:textFill>
              </w:rPr>
              <w:t>竞选</w:t>
            </w:r>
            <w:r>
              <w:rPr>
                <w:rFonts w:hint="eastAsia" w:ascii="宋体" w:hAnsi="宋体"/>
                <w:i w:val="0"/>
                <w:iCs/>
                <w:color w:val="000000" w:themeColor="text1"/>
                <w:kern w:val="0"/>
                <w:szCs w:val="21"/>
                <w:highlight w:val="none"/>
                <w14:textFill>
                  <w14:solidFill>
                    <w14:schemeClr w14:val="tx1"/>
                  </w14:solidFill>
                </w14:textFill>
              </w:rPr>
              <w:t>人承担。</w:t>
            </w:r>
            <w:r>
              <w:rPr>
                <w:rFonts w:ascii="宋体" w:hAnsi="宋体"/>
                <w:color w:val="000000" w:themeColor="text1"/>
                <w:kern w:val="0"/>
                <w:szCs w:val="21"/>
                <w:highlight w:val="none"/>
                <w14:textFill>
                  <w14:solidFill>
                    <w14:schemeClr w14:val="tx1"/>
                  </w14:solidFill>
                </w14:textFill>
              </w:rPr>
              <w:t>委托代理人</w:t>
            </w:r>
            <w:r>
              <w:rPr>
                <w:rFonts w:hint="eastAsia" w:ascii="宋体" w:hAnsi="宋体"/>
                <w:color w:val="000000" w:themeColor="text1"/>
                <w:kern w:val="0"/>
                <w:szCs w:val="21"/>
                <w:highlight w:val="none"/>
                <w:lang w:val="en-US" w:eastAsia="zh-CN"/>
                <w14:textFill>
                  <w14:solidFill>
                    <w14:schemeClr w14:val="tx1"/>
                  </w14:solidFill>
                </w14:textFill>
              </w:rPr>
              <w:t>须是</w:t>
            </w:r>
            <w:r>
              <w:rPr>
                <w:rFonts w:hint="eastAsia" w:ascii="宋体" w:hAnsi="宋体"/>
                <w:color w:val="000000" w:themeColor="text1"/>
                <w:kern w:val="0"/>
                <w:szCs w:val="21"/>
                <w:highlight w:val="none"/>
                <w:lang w:eastAsia="zh-CN"/>
                <w14:textFill>
                  <w14:solidFill>
                    <w14:schemeClr w14:val="tx1"/>
                  </w14:solidFill>
                </w14:textFill>
              </w:rPr>
              <w:t>竞选</w:t>
            </w:r>
            <w:r>
              <w:rPr>
                <w:rFonts w:ascii="宋体" w:hAnsi="宋体"/>
                <w:color w:val="000000" w:themeColor="text1"/>
                <w:kern w:val="0"/>
                <w:szCs w:val="21"/>
                <w:highlight w:val="none"/>
                <w14:textFill>
                  <w14:solidFill>
                    <w14:schemeClr w14:val="tx1"/>
                  </w14:solidFill>
                </w14:textFill>
              </w:rPr>
              <w:t>单位</w:t>
            </w:r>
            <w:r>
              <w:rPr>
                <w:rFonts w:hint="eastAsia" w:ascii="宋体" w:hAnsi="宋体"/>
                <w:color w:val="000000" w:themeColor="text1"/>
                <w:kern w:val="0"/>
                <w:szCs w:val="21"/>
                <w:highlight w:val="none"/>
                <w14:textFill>
                  <w14:solidFill>
                    <w14:schemeClr w14:val="tx1"/>
                  </w14:solidFill>
                </w14:textFill>
              </w:rPr>
              <w:t>人员</w:t>
            </w:r>
            <w:r>
              <w:rPr>
                <w:rFonts w:hint="eastAsia" w:ascii="宋体" w:hAnsi="宋体"/>
                <w:color w:val="000000" w:themeColor="text1"/>
                <w:kern w:val="0"/>
                <w:szCs w:val="21"/>
                <w:highlight w:val="none"/>
                <w:lang w:eastAsia="zh-CN"/>
                <w14:textFill>
                  <w14:solidFill>
                    <w14:schemeClr w14:val="tx1"/>
                  </w14:solidFill>
                </w14:textFill>
              </w:rPr>
              <w:t>。</w:t>
            </w:r>
          </w:p>
          <w:p w14:paraId="1FB864B7">
            <w:pPr>
              <w:autoSpaceDE w:val="0"/>
              <w:autoSpaceDN w:val="0"/>
              <w:adjustRightInd w:val="0"/>
              <w:snapToGrid w:val="0"/>
              <w:spacing w:line="400" w:lineRule="exact"/>
              <w:ind w:firstLine="420" w:firstLineChars="200"/>
              <w:rPr>
                <w:rFonts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提供：</w:t>
            </w:r>
            <w:r>
              <w:rPr>
                <w:rFonts w:hint="eastAsia" w:ascii="宋体" w:hAnsi="宋体"/>
                <w:color w:val="000000" w:themeColor="text1"/>
                <w:kern w:val="0"/>
                <w:szCs w:val="21"/>
                <w:highlight w:val="none"/>
                <w14:textFill>
                  <w14:solidFill>
                    <w14:schemeClr w14:val="tx1"/>
                  </w14:solidFill>
                </w14:textFill>
              </w:rPr>
              <w:t>法定代表人身份证明</w:t>
            </w:r>
            <w:r>
              <w:rPr>
                <w:rFonts w:hint="eastAsia" w:ascii="宋体" w:hAnsi="宋体"/>
                <w:color w:val="000000" w:themeColor="text1"/>
                <w:szCs w:val="21"/>
                <w:highlight w:val="none"/>
                <w14:textFill>
                  <w14:solidFill>
                    <w14:schemeClr w14:val="tx1"/>
                  </w14:solidFill>
                </w14:textFill>
              </w:rPr>
              <w:t>（格式见第</w:t>
            </w:r>
            <w:r>
              <w:rPr>
                <w:rFonts w:hint="eastAsia" w:ascii="宋体" w:hAnsi="宋体"/>
                <w:color w:val="000000" w:themeColor="text1"/>
                <w:szCs w:val="21"/>
                <w:highlight w:val="none"/>
                <w:lang w:eastAsia="zh-CN"/>
                <w14:textFill>
                  <w14:solidFill>
                    <w14:schemeClr w14:val="tx1"/>
                  </w14:solidFill>
                </w14:textFill>
              </w:rPr>
              <w:t>六</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文件格式）</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法定代表人委托代理人竞选的，还须提供</w:t>
            </w:r>
            <w:r>
              <w:rPr>
                <w:rFonts w:hint="eastAsia" w:ascii="宋体" w:hAnsi="宋体"/>
                <w:color w:val="000000" w:themeColor="text1"/>
                <w:kern w:val="0"/>
                <w:szCs w:val="21"/>
                <w:highlight w:val="none"/>
                <w14:textFill>
                  <w14:solidFill>
                    <w14:schemeClr w14:val="tx1"/>
                  </w14:solidFill>
                </w14:textFill>
              </w:rPr>
              <w:t>授权委托书</w:t>
            </w:r>
            <w:r>
              <w:rPr>
                <w:rFonts w:hint="eastAsia" w:ascii="宋体" w:hAnsi="宋体"/>
                <w:color w:val="000000" w:themeColor="text1"/>
                <w:szCs w:val="21"/>
                <w:highlight w:val="none"/>
                <w14:textFill>
                  <w14:solidFill>
                    <w14:schemeClr w14:val="tx1"/>
                  </w14:solidFill>
                </w14:textFill>
              </w:rPr>
              <w:t>（格式见第</w:t>
            </w:r>
            <w:r>
              <w:rPr>
                <w:rFonts w:hint="eastAsia" w:ascii="宋体" w:hAnsi="宋体"/>
                <w:color w:val="000000" w:themeColor="text1"/>
                <w:szCs w:val="21"/>
                <w:highlight w:val="none"/>
                <w:lang w:eastAsia="zh-CN"/>
                <w14:textFill>
                  <w14:solidFill>
                    <w14:schemeClr w14:val="tx1"/>
                  </w14:solidFill>
                </w14:textFill>
              </w:rPr>
              <w:t>六</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文件格式）</w:t>
            </w:r>
            <w:r>
              <w:rPr>
                <w:rFonts w:hint="eastAsia" w:ascii="宋体" w:hAnsi="宋体"/>
                <w:color w:val="000000" w:themeColor="text1"/>
                <w:kern w:val="0"/>
                <w:szCs w:val="21"/>
                <w:highlight w:val="none"/>
                <w:lang w:eastAsia="zh-CN"/>
                <w14:textFill>
                  <w14:solidFill>
                    <w14:schemeClr w14:val="tx1"/>
                  </w14:solidFill>
                </w14:textFill>
              </w:rPr>
              <w:t>、竞选</w:t>
            </w:r>
            <w:r>
              <w:rPr>
                <w:rFonts w:hint="eastAsia" w:ascii="宋体" w:hAnsi="宋体"/>
                <w:color w:val="000000" w:themeColor="text1"/>
                <w:kern w:val="0"/>
                <w:szCs w:val="21"/>
                <w:highlight w:val="none"/>
                <w14:textFill>
                  <w14:solidFill>
                    <w14:schemeClr w14:val="tx1"/>
                  </w14:solidFill>
                </w14:textFill>
              </w:rPr>
              <w:t>人为该</w:t>
            </w:r>
            <w:r>
              <w:rPr>
                <w:rFonts w:ascii="宋体" w:hAnsi="宋体"/>
                <w:color w:val="000000" w:themeColor="text1"/>
                <w:kern w:val="0"/>
                <w:szCs w:val="21"/>
                <w:highlight w:val="none"/>
                <w14:textFill>
                  <w14:solidFill>
                    <w14:schemeClr w14:val="tx1"/>
                  </w14:solidFill>
                </w14:textFill>
              </w:rPr>
              <w:t>委托代理人</w:t>
            </w:r>
            <w:r>
              <w:rPr>
                <w:rFonts w:hint="eastAsia" w:ascii="宋体" w:hAnsi="宋体"/>
                <w:color w:val="000000" w:themeColor="text1"/>
                <w:kern w:val="0"/>
                <w:szCs w:val="21"/>
                <w:highlight w:val="none"/>
                <w14:textFill>
                  <w14:solidFill>
                    <w14:schemeClr w14:val="tx1"/>
                  </w14:solidFill>
                </w14:textFill>
              </w:rPr>
              <w:t>缴纳的养老保险证明。</w:t>
            </w:r>
          </w:p>
          <w:p w14:paraId="4940DBBC">
            <w:pPr>
              <w:autoSpaceDE w:val="0"/>
              <w:autoSpaceDN w:val="0"/>
              <w:adjustRightInd w:val="0"/>
              <w:snapToGrid w:val="0"/>
              <w:spacing w:line="400" w:lineRule="exact"/>
              <w:ind w:firstLine="420" w:firstLineChars="200"/>
              <w:rPr>
                <w:rFonts w:hint="eastAsia" w:ascii="宋体" w:hAnsi="宋体"/>
                <w:color w:val="000000" w:themeColor="text1"/>
                <w:kern w:val="0"/>
                <w:szCs w:val="21"/>
                <w:highlight w:val="none"/>
                <w:lang w:val="en-US" w:eastAsia="zh-CN"/>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4</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竞选文件真实性：</w:t>
            </w:r>
          </w:p>
          <w:p w14:paraId="0725BB13">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lang w:eastAsia="zh-CN"/>
                <w14:textFill>
                  <w14:solidFill>
                    <w14:schemeClr w14:val="tx1"/>
                  </w14:solidFill>
                </w14:textFill>
              </w:rPr>
              <w:t>竞选</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文件中的所有内容</w:t>
            </w:r>
            <w:r>
              <w:rPr>
                <w:rFonts w:hint="eastAsia" w:asciiTheme="minorEastAsia" w:hAnsiTheme="minorEastAsia" w:eastAsiaTheme="minorEastAsia" w:cstheme="minorEastAsia"/>
                <w:color w:val="000000" w:themeColor="text1"/>
                <w:kern w:val="0"/>
                <w:szCs w:val="21"/>
                <w:highlight w:val="none"/>
                <w:lang w:val="en-US" w:eastAsia="zh-CN"/>
                <w14:textFill>
                  <w14:solidFill>
                    <w14:schemeClr w14:val="tx1"/>
                  </w14:solidFill>
                </w14:textFill>
              </w:rPr>
              <w:t>须</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真实有效，不存在弄虚作假情形。</w:t>
            </w:r>
          </w:p>
          <w:p w14:paraId="5534BB1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提供</w:t>
            </w:r>
            <w:r>
              <w:rPr>
                <w:rFonts w:hint="eastAsia" w:asciiTheme="minorEastAsia" w:hAnsiTheme="minorEastAsia" w:eastAsiaTheme="minorEastAsia" w:cstheme="minorEastAsia"/>
                <w:color w:val="000000" w:themeColor="text1"/>
                <w:kern w:val="0"/>
                <w:szCs w:val="2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承诺（</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格式见第</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六</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章</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竞选</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文件格式</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w:t>
            </w:r>
          </w:p>
          <w:p w14:paraId="6034C46B">
            <w:pPr>
              <w:autoSpaceDE w:val="0"/>
              <w:autoSpaceDN w:val="0"/>
              <w:adjustRightInd w:val="0"/>
              <w:snapToGrid w:val="0"/>
              <w:spacing w:line="400" w:lineRule="exact"/>
              <w:ind w:firstLine="417" w:firstLineChars="198"/>
            </w:pPr>
            <w:r>
              <w:rPr>
                <w:rFonts w:hint="eastAsia"/>
                <w:b/>
                <w:bCs/>
              </w:rPr>
              <w:t>特别说明：</w:t>
            </w:r>
          </w:p>
          <w:p w14:paraId="41164021">
            <w:pPr>
              <w:autoSpaceDE w:val="0"/>
              <w:autoSpaceDN w:val="0"/>
              <w:adjustRightInd w:val="0"/>
              <w:snapToGrid w:val="0"/>
              <w:spacing w:line="400" w:lineRule="exact"/>
              <w:ind w:firstLine="415" w:firstLineChars="198"/>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上述要求须</w:t>
            </w:r>
            <w:r>
              <w:rPr>
                <w:rFonts w:hint="eastAsia" w:ascii="宋体" w:hAnsi="宋体" w:cs="宋体"/>
                <w:color w:val="000000" w:themeColor="text1"/>
                <w:szCs w:val="21"/>
                <w:highlight w:val="none"/>
                <w:lang w:val="en-US" w:eastAsia="zh-CN"/>
                <w14:textFill>
                  <w14:solidFill>
                    <w14:schemeClr w14:val="tx1"/>
                  </w14:solidFill>
                </w14:textFill>
              </w:rPr>
              <w:t>提供</w:t>
            </w:r>
            <w:r>
              <w:rPr>
                <w:rFonts w:hint="eastAsia" w:ascii="宋体" w:hAnsi="宋体" w:cs="宋体"/>
                <w:color w:val="000000" w:themeColor="text1"/>
                <w:szCs w:val="21"/>
                <w:highlight w:val="none"/>
                <w14:textFill>
                  <w14:solidFill>
                    <w14:schemeClr w14:val="tx1"/>
                  </w14:solidFill>
                </w14:textFill>
              </w:rPr>
              <w:t>的相关证明材料均为扫描件（原件或复印件的扫描件均可），扫描件须清晰可辨，</w:t>
            </w:r>
            <w:r>
              <w:rPr>
                <w:rFonts w:hint="eastAsia" w:ascii="宋体" w:hAnsi="宋体" w:cs="宋体"/>
                <w:color w:val="000000" w:themeColor="text1"/>
                <w:kern w:val="0"/>
                <w:szCs w:val="21"/>
                <w:highlight w:val="none"/>
                <w14:textFill>
                  <w14:solidFill>
                    <w14:schemeClr w14:val="tx1"/>
                  </w14:solidFill>
                </w14:textFill>
              </w:rPr>
              <w:t>有一条不满足，则</w:t>
            </w:r>
            <w:r>
              <w:rPr>
                <w:rFonts w:hint="eastAsia" w:ascii="宋体" w:hAnsi="宋体" w:cs="宋体"/>
                <w:color w:val="000000" w:themeColor="text1"/>
                <w:kern w:val="0"/>
                <w:szCs w:val="21"/>
                <w:highlight w:val="none"/>
                <w:lang w:eastAsia="zh-CN"/>
                <w14:textFill>
                  <w14:solidFill>
                    <w14:schemeClr w14:val="tx1"/>
                  </w14:solidFill>
                </w14:textFill>
              </w:rPr>
              <w:t>竞选</w:t>
            </w:r>
            <w:r>
              <w:rPr>
                <w:rFonts w:hint="eastAsia" w:ascii="宋体" w:hAnsi="宋体" w:cs="宋体"/>
                <w:color w:val="000000" w:themeColor="text1"/>
                <w:kern w:val="0"/>
                <w:szCs w:val="21"/>
                <w:highlight w:val="none"/>
                <w14:textFill>
                  <w14:solidFill>
                    <w14:schemeClr w14:val="tx1"/>
                  </w14:solidFill>
                </w14:textFill>
              </w:rPr>
              <w:t>文件由评标委员会</w:t>
            </w:r>
            <w:r>
              <w:rPr>
                <w:rFonts w:hint="eastAsia" w:ascii="宋体" w:hAnsi="宋体" w:cs="宋体"/>
                <w:color w:val="000000" w:themeColor="text1"/>
                <w:szCs w:val="21"/>
                <w:highlight w:val="none"/>
                <w14:textFill>
                  <w14:solidFill>
                    <w14:schemeClr w14:val="tx1"/>
                  </w14:solidFill>
                </w14:textFill>
              </w:rPr>
              <w:t>作否决</w:t>
            </w:r>
            <w:r>
              <w:rPr>
                <w:rFonts w:hint="eastAsia" w:ascii="宋体" w:hAnsi="宋体" w:cs="宋体"/>
                <w:color w:val="000000" w:themeColor="text1"/>
                <w:szCs w:val="21"/>
                <w:highlight w:val="none"/>
                <w:lang w:eastAsia="zh-CN"/>
                <w14:textFill>
                  <w14:solidFill>
                    <w14:schemeClr w14:val="tx1"/>
                  </w14:solidFill>
                </w14:textFill>
              </w:rPr>
              <w:t>竞选</w:t>
            </w:r>
            <w:r>
              <w:rPr>
                <w:rFonts w:hint="eastAsia" w:ascii="宋体" w:hAnsi="宋体" w:cs="宋体"/>
                <w:color w:val="000000" w:themeColor="text1"/>
                <w:szCs w:val="21"/>
                <w:highlight w:val="none"/>
                <w14:textFill>
                  <w14:solidFill>
                    <w14:schemeClr w14:val="tx1"/>
                  </w14:solidFill>
                </w14:textFill>
              </w:rPr>
              <w:t>处理</w:t>
            </w:r>
            <w:r>
              <w:rPr>
                <w:rFonts w:hint="eastAsia" w:ascii="宋体" w:hAnsi="宋体" w:cs="宋体"/>
                <w:color w:val="000000" w:themeColor="text1"/>
                <w:kern w:val="0"/>
                <w:szCs w:val="21"/>
                <w:highlight w:val="none"/>
                <w14:textFill>
                  <w14:solidFill>
                    <w14:schemeClr w14:val="tx1"/>
                  </w14:solidFill>
                </w14:textFill>
              </w:rPr>
              <w:t>。</w:t>
            </w:r>
          </w:p>
          <w:p w14:paraId="16CEACC7">
            <w:pPr>
              <w:autoSpaceDE w:val="0"/>
              <w:autoSpaceDN w:val="0"/>
              <w:adjustRightInd w:val="0"/>
              <w:snapToGrid w:val="0"/>
              <w:spacing w:line="400" w:lineRule="exact"/>
              <w:ind w:firstLine="415" w:firstLineChars="198"/>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r>
              <w:rPr>
                <w:rFonts w:hint="eastAsia" w:ascii="宋体" w:hAnsi="宋体" w:cs="宋体"/>
                <w:color w:val="000000" w:themeColor="text1"/>
                <w:szCs w:val="21"/>
                <w:highlight w:val="none"/>
                <w:u w:val="none"/>
                <w:lang w:eastAsia="zh-CN"/>
                <w14:textFill>
                  <w14:solidFill>
                    <w14:schemeClr w14:val="tx1"/>
                  </w14:solidFill>
                </w14:textFill>
              </w:rPr>
              <w:t>比选</w:t>
            </w:r>
            <w:r>
              <w:rPr>
                <w:rFonts w:hint="eastAsia" w:ascii="宋体" w:hAnsi="宋体" w:cs="宋体"/>
                <w:color w:val="000000" w:themeColor="text1"/>
                <w:szCs w:val="21"/>
                <w:highlight w:val="none"/>
                <w:u w:val="none"/>
                <w14:textFill>
                  <w14:solidFill>
                    <w14:schemeClr w14:val="tx1"/>
                  </w14:solidFill>
                </w14:textFill>
              </w:rPr>
              <w:t>人有权对</w:t>
            </w:r>
            <w:r>
              <w:rPr>
                <w:rFonts w:hint="eastAsia" w:ascii="宋体" w:hAnsi="宋体" w:cs="宋体"/>
                <w:color w:val="000000" w:themeColor="text1"/>
                <w:szCs w:val="21"/>
                <w:highlight w:val="none"/>
                <w:u w:val="none"/>
                <w:lang w:eastAsia="zh-CN"/>
                <w14:textFill>
                  <w14:solidFill>
                    <w14:schemeClr w14:val="tx1"/>
                  </w14:solidFill>
                </w14:textFill>
              </w:rPr>
              <w:t>竞选</w:t>
            </w:r>
            <w:r>
              <w:rPr>
                <w:rFonts w:hint="eastAsia" w:ascii="宋体" w:hAnsi="宋体" w:cs="宋体"/>
                <w:color w:val="000000" w:themeColor="text1"/>
                <w:szCs w:val="21"/>
                <w:highlight w:val="none"/>
                <w:u w:val="none"/>
                <w14:textFill>
                  <w14:solidFill>
                    <w14:schemeClr w14:val="tx1"/>
                  </w14:solidFill>
                </w14:textFill>
              </w:rPr>
              <w:t>人提供的资料进行核实，若发现弄虚作假，</w:t>
            </w:r>
            <w:r>
              <w:rPr>
                <w:rFonts w:hint="eastAsia" w:asciiTheme="minorEastAsia" w:hAnsiTheme="minorEastAsia" w:eastAsiaTheme="minorEastAsia" w:cstheme="minorEastAsia"/>
                <w:color w:val="000000" w:themeColor="text1"/>
                <w:szCs w:val="21"/>
                <w:highlight w:val="none"/>
                <w:u w:val="none"/>
                <w:lang w:val="en-US" w:eastAsia="zh-CN"/>
                <w14:textFill>
                  <w14:solidFill>
                    <w14:schemeClr w14:val="tx1"/>
                  </w14:solidFill>
                </w14:textFill>
              </w:rPr>
              <w:t>按相关规定</w:t>
            </w:r>
            <w:r>
              <w:rPr>
                <w:rFonts w:hint="eastAsia" w:ascii="宋体" w:hAnsi="宋体" w:cs="宋体"/>
                <w:color w:val="000000" w:themeColor="text1"/>
                <w:szCs w:val="21"/>
                <w:highlight w:val="none"/>
                <w:u w:val="none"/>
                <w14:textFill>
                  <w14:solidFill>
                    <w14:schemeClr w14:val="tx1"/>
                  </w14:solidFill>
                </w14:textFill>
              </w:rPr>
              <w:t>取消其中标资格，并按相关法律法规报</w:t>
            </w:r>
            <w:r>
              <w:rPr>
                <w:rFonts w:hint="eastAsia" w:ascii="宋体" w:hAnsi="宋体" w:cs="宋体"/>
                <w:color w:val="000000" w:themeColor="text1"/>
                <w:szCs w:val="21"/>
                <w:highlight w:val="none"/>
                <w:u w:val="none"/>
                <w:lang w:eastAsia="zh-CN"/>
                <w14:textFill>
                  <w14:solidFill>
                    <w14:schemeClr w14:val="tx1"/>
                  </w14:solidFill>
                </w14:textFill>
              </w:rPr>
              <w:t>比选竞选</w:t>
            </w:r>
            <w:r>
              <w:rPr>
                <w:rFonts w:hint="eastAsia" w:ascii="宋体" w:hAnsi="宋体" w:cs="宋体"/>
                <w:color w:val="000000" w:themeColor="text1"/>
                <w:szCs w:val="21"/>
                <w:highlight w:val="none"/>
                <w:u w:val="none"/>
                <w14:textFill>
                  <w14:solidFill>
                    <w14:schemeClr w14:val="tx1"/>
                  </w14:solidFill>
                </w14:textFill>
              </w:rPr>
              <w:t>监督部门，其</w:t>
            </w:r>
            <w:r>
              <w:rPr>
                <w:rFonts w:hint="eastAsia" w:ascii="宋体" w:hAnsi="宋体" w:cs="宋体"/>
                <w:color w:val="000000" w:themeColor="text1"/>
                <w:szCs w:val="21"/>
                <w:highlight w:val="none"/>
                <w:u w:val="none"/>
                <w:lang w:eastAsia="zh-CN"/>
                <w14:textFill>
                  <w14:solidFill>
                    <w14:schemeClr w14:val="tx1"/>
                  </w14:solidFill>
                </w14:textFill>
              </w:rPr>
              <w:t>竞选</w:t>
            </w:r>
            <w:r>
              <w:rPr>
                <w:rFonts w:hint="eastAsia" w:ascii="宋体" w:hAnsi="宋体" w:cs="宋体"/>
                <w:color w:val="000000" w:themeColor="text1"/>
                <w:szCs w:val="21"/>
                <w:highlight w:val="none"/>
                <w:u w:val="none"/>
                <w14:textFill>
                  <w14:solidFill>
                    <w14:schemeClr w14:val="tx1"/>
                  </w14:solidFill>
                </w14:textFill>
              </w:rPr>
              <w:t>保证金</w:t>
            </w:r>
            <w:r>
              <w:rPr>
                <w:rFonts w:hint="eastAsia" w:asciiTheme="minorEastAsia" w:hAnsiTheme="minorEastAsia" w:eastAsiaTheme="minorEastAsia" w:cstheme="minorEastAsia"/>
                <w:color w:val="000000" w:themeColor="text1"/>
                <w:szCs w:val="21"/>
                <w:highlight w:val="none"/>
                <w:u w:val="none"/>
                <w:lang w:val="en-US" w:eastAsia="zh-CN"/>
                <w14:textFill>
                  <w14:solidFill>
                    <w14:schemeClr w14:val="tx1"/>
                  </w14:solidFill>
                </w14:textFill>
              </w:rPr>
              <w:t>以现金形式交纳的</w:t>
            </w:r>
            <w:r>
              <w:rPr>
                <w:rFonts w:hint="eastAsia" w:ascii="宋体" w:hAnsi="宋体" w:cs="宋体"/>
                <w:color w:val="000000" w:themeColor="text1"/>
                <w:szCs w:val="21"/>
                <w:highlight w:val="none"/>
                <w:u w:val="none"/>
                <w14:textFill>
                  <w14:solidFill>
                    <w14:schemeClr w14:val="tx1"/>
                  </w14:solidFill>
                </w14:textFill>
              </w:rPr>
              <w:t>不予退还</w:t>
            </w:r>
            <w:r>
              <w:rPr>
                <w:rFonts w:hint="eastAsia" w:asciiTheme="minorEastAsia" w:hAnsiTheme="minorEastAsia" w:eastAsiaTheme="minorEastAsia" w:cstheme="minorEastAsia"/>
                <w:color w:val="000000" w:themeColor="text1"/>
                <w:szCs w:val="21"/>
                <w:highlight w:val="none"/>
                <w:u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1"/>
                <w:highlight w:val="none"/>
                <w:u w:val="none"/>
                <w14:textFill>
                  <w14:solidFill>
                    <w14:schemeClr w14:val="tx1"/>
                  </w14:solidFill>
                </w14:textFill>
              </w:rPr>
              <w:t>以保函形式交纳的由保函开立人支付保函担保的与</w:t>
            </w:r>
            <w:r>
              <w:rPr>
                <w:rFonts w:hint="eastAsia" w:asciiTheme="minorEastAsia" w:hAnsiTheme="minorEastAsia" w:eastAsiaTheme="minorEastAsia" w:cstheme="minorEastAsia"/>
                <w:color w:val="000000" w:themeColor="text1"/>
                <w:szCs w:val="21"/>
                <w:highlight w:val="none"/>
                <w:u w:val="none"/>
                <w:lang w:eastAsia="zh-CN"/>
                <w14:textFill>
                  <w14:solidFill>
                    <w14:schemeClr w14:val="tx1"/>
                  </w14:solidFill>
                </w14:textFill>
              </w:rPr>
              <w:t>竞选</w:t>
            </w:r>
            <w:r>
              <w:rPr>
                <w:rFonts w:hint="eastAsia" w:asciiTheme="minorEastAsia" w:hAnsiTheme="minorEastAsia" w:eastAsiaTheme="minorEastAsia" w:cstheme="minorEastAsia"/>
                <w:color w:val="000000" w:themeColor="text1"/>
                <w:szCs w:val="21"/>
                <w:highlight w:val="none"/>
                <w:u w:val="none"/>
                <w14:textFill>
                  <w14:solidFill>
                    <w14:schemeClr w14:val="tx1"/>
                  </w14:solidFill>
                </w14:textFill>
              </w:rPr>
              <w:t>保证金等额的款项</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u w:val="none"/>
                <w:lang w:eastAsia="zh-CN"/>
                <w14:textFill>
                  <w14:solidFill>
                    <w14:schemeClr w14:val="tx1"/>
                  </w14:solidFill>
                </w14:textFill>
              </w:rPr>
              <w:t>竞选</w:t>
            </w:r>
            <w:r>
              <w:rPr>
                <w:rFonts w:hint="eastAsia" w:ascii="宋体" w:hAnsi="宋体" w:cs="宋体"/>
                <w:color w:val="000000" w:themeColor="text1"/>
                <w:szCs w:val="21"/>
                <w:highlight w:val="none"/>
                <w:u w:val="none"/>
                <w14:textFill>
                  <w14:solidFill>
                    <w14:schemeClr w14:val="tx1"/>
                  </w14:solidFill>
                </w14:textFill>
              </w:rPr>
              <w:t>人承担因此造成的相关责任并赔偿相应损失</w:t>
            </w:r>
            <w:r>
              <w:rPr>
                <w:rFonts w:hint="eastAsia" w:ascii="宋体" w:hAnsi="宋体" w:cs="宋体"/>
                <w:color w:val="000000" w:themeColor="text1"/>
                <w:szCs w:val="21"/>
                <w:highlight w:val="none"/>
                <w14:textFill>
                  <w14:solidFill>
                    <w14:schemeClr w14:val="tx1"/>
                  </w14:solidFill>
                </w14:textFill>
              </w:rPr>
              <w:t>。</w:t>
            </w:r>
          </w:p>
          <w:p w14:paraId="32C218C2">
            <w:pPr>
              <w:spacing w:line="400" w:lineRule="exact"/>
              <w:ind w:firstLine="420" w:firstLineChars="200"/>
              <w:rPr>
                <w:rFonts w:ascii="宋体" w:hAnsi="宋体"/>
                <w:bCs/>
                <w:color w:val="000000" w:themeColor="text1"/>
                <w:kern w:val="0"/>
                <w:szCs w:val="21"/>
                <w:highlight w:val="none"/>
                <w14:textFill>
                  <w14:solidFill>
                    <w14:schemeClr w14:val="tx1"/>
                  </w14:solidFill>
                </w14:textFill>
              </w:rPr>
            </w:pPr>
            <w:r>
              <w:rPr>
                <w:rFonts w:hint="eastAsia" w:ascii="宋体" w:hAnsi="宋体"/>
                <w:bCs/>
                <w:color w:val="000000" w:themeColor="text1"/>
                <w:kern w:val="0"/>
                <w:szCs w:val="21"/>
                <w:highlight w:val="none"/>
                <w14:textFill>
                  <w14:solidFill>
                    <w14:schemeClr w14:val="tx1"/>
                  </w14:solidFill>
                </w14:textFill>
              </w:rPr>
              <w:t>（3）</w:t>
            </w:r>
            <w:r>
              <w:rPr>
                <w:rFonts w:ascii="宋体" w:hAnsi="宋体"/>
                <w:bCs/>
                <w:color w:val="000000" w:themeColor="text1"/>
                <w:kern w:val="0"/>
                <w:szCs w:val="21"/>
                <w:highlight w:val="none"/>
                <w14:textFill>
                  <w14:solidFill>
                    <w14:schemeClr w14:val="tx1"/>
                  </w14:solidFill>
                </w14:textFill>
              </w:rPr>
              <w:t>本</w:t>
            </w:r>
            <w:r>
              <w:rPr>
                <w:rFonts w:hint="eastAsia" w:ascii="宋体" w:hAnsi="宋体"/>
                <w:bCs/>
                <w:color w:val="000000" w:themeColor="text1"/>
                <w:kern w:val="0"/>
                <w:szCs w:val="21"/>
                <w:highlight w:val="none"/>
                <w:lang w:eastAsia="zh-CN"/>
                <w14:textFill>
                  <w14:solidFill>
                    <w14:schemeClr w14:val="tx1"/>
                  </w14:solidFill>
                </w14:textFill>
              </w:rPr>
              <w:t>比选</w:t>
            </w:r>
            <w:r>
              <w:rPr>
                <w:rFonts w:ascii="宋体" w:hAnsi="宋体"/>
                <w:bCs/>
                <w:color w:val="000000" w:themeColor="text1"/>
                <w:kern w:val="0"/>
                <w:szCs w:val="21"/>
                <w:highlight w:val="none"/>
                <w14:textFill>
                  <w14:solidFill>
                    <w14:schemeClr w14:val="tx1"/>
                  </w14:solidFill>
                </w14:textFill>
              </w:rPr>
              <w:t>文件中所要求的人员</w:t>
            </w:r>
            <w:r>
              <w:rPr>
                <w:rFonts w:hint="eastAsia" w:ascii="宋体" w:hAnsi="宋体"/>
                <w:bCs/>
                <w:color w:val="000000" w:themeColor="text1"/>
                <w:kern w:val="0"/>
                <w:szCs w:val="21"/>
                <w:highlight w:val="none"/>
                <w14:textFill>
                  <w14:solidFill>
                    <w14:schemeClr w14:val="tx1"/>
                  </w14:solidFill>
                </w14:textFill>
              </w:rPr>
              <w:t>养老保险</w:t>
            </w:r>
            <w:r>
              <w:rPr>
                <w:rFonts w:ascii="宋体" w:hAnsi="宋体"/>
                <w:bCs/>
                <w:color w:val="000000" w:themeColor="text1"/>
                <w:kern w:val="0"/>
                <w:szCs w:val="21"/>
                <w:highlight w:val="none"/>
                <w14:textFill>
                  <w14:solidFill>
                    <w14:schemeClr w14:val="tx1"/>
                  </w14:solidFill>
                </w14:textFill>
              </w:rPr>
              <w:t>证明要求如下：</w:t>
            </w:r>
          </w:p>
          <w:p w14:paraId="4A7D0709">
            <w:pPr>
              <w:spacing w:line="400" w:lineRule="exact"/>
              <w:ind w:firstLine="420" w:firstLineChars="200"/>
              <w:rPr>
                <w:rFonts w:ascii="宋体" w:hAnsi="宋体"/>
                <w:bCs/>
                <w:color w:val="000000" w:themeColor="text1"/>
                <w:kern w:val="0"/>
                <w:szCs w:val="21"/>
                <w:highlight w:val="none"/>
                <w14:textFill>
                  <w14:solidFill>
                    <w14:schemeClr w14:val="tx1"/>
                  </w14:solidFill>
                </w14:textFill>
              </w:rPr>
            </w:pPr>
            <w:r>
              <w:rPr>
                <w:rFonts w:ascii="宋体" w:hAnsi="宋体"/>
                <w:bCs/>
                <w:color w:val="000000" w:themeColor="text1"/>
                <w:kern w:val="0"/>
                <w:szCs w:val="21"/>
                <w:highlight w:val="none"/>
                <w14:textFill>
                  <w14:solidFill>
                    <w14:schemeClr w14:val="tx1"/>
                  </w14:solidFill>
                </w14:textFill>
              </w:rPr>
              <w:t>①</w:t>
            </w:r>
            <w:r>
              <w:rPr>
                <w:rFonts w:hint="eastAsia" w:ascii="宋体" w:hAnsi="宋体"/>
                <w:bCs/>
                <w:color w:val="000000" w:themeColor="text1"/>
                <w:kern w:val="0"/>
                <w:szCs w:val="21"/>
                <w:highlight w:val="none"/>
                <w:lang w:val="en-US" w:eastAsia="zh-CN"/>
                <w14:textFill>
                  <w14:solidFill>
                    <w14:schemeClr w14:val="tx1"/>
                  </w14:solidFill>
                </w14:textFill>
              </w:rPr>
              <w:t>企业</w:t>
            </w:r>
            <w:r>
              <w:rPr>
                <w:rFonts w:ascii="宋体" w:hAnsi="宋体"/>
                <w:bCs/>
                <w:color w:val="000000" w:themeColor="text1"/>
                <w:kern w:val="0"/>
                <w:szCs w:val="21"/>
                <w:highlight w:val="none"/>
                <w14:textFill>
                  <w14:solidFill>
                    <w14:schemeClr w14:val="tx1"/>
                  </w14:solidFill>
                </w14:textFill>
              </w:rPr>
              <w:t>提供</w:t>
            </w:r>
            <w:r>
              <w:rPr>
                <w:rFonts w:hint="eastAsia" w:ascii="宋体" w:hAnsi="宋体"/>
                <w:bCs/>
                <w:color w:val="000000" w:themeColor="text1"/>
                <w:kern w:val="0"/>
                <w:szCs w:val="21"/>
                <w:highlight w:val="none"/>
                <w14:textFill>
                  <w14:solidFill>
                    <w14:schemeClr w14:val="tx1"/>
                  </w14:solidFill>
                </w14:textFill>
              </w:rPr>
              <w:t>养老保险</w:t>
            </w:r>
            <w:r>
              <w:rPr>
                <w:rFonts w:ascii="宋体" w:hAnsi="宋体"/>
                <w:bCs/>
                <w:color w:val="000000" w:themeColor="text1"/>
                <w:kern w:val="0"/>
                <w:szCs w:val="21"/>
                <w:highlight w:val="none"/>
                <w14:textFill>
                  <w14:solidFill>
                    <w14:schemeClr w14:val="tx1"/>
                  </w14:solidFill>
                </w14:textFill>
              </w:rPr>
              <w:t>证明，事业单位提供</w:t>
            </w:r>
            <w:r>
              <w:rPr>
                <w:rFonts w:hint="eastAsia" w:ascii="宋体" w:hAnsi="宋体"/>
                <w:bCs/>
                <w:color w:val="000000" w:themeColor="text1"/>
                <w:kern w:val="0"/>
                <w:szCs w:val="21"/>
                <w:highlight w:val="none"/>
                <w14:textFill>
                  <w14:solidFill>
                    <w14:schemeClr w14:val="tx1"/>
                  </w14:solidFill>
                </w14:textFill>
              </w:rPr>
              <w:t>养老保险</w:t>
            </w:r>
            <w:r>
              <w:rPr>
                <w:rFonts w:ascii="宋体" w:hAnsi="宋体"/>
                <w:bCs/>
                <w:color w:val="000000" w:themeColor="text1"/>
                <w:kern w:val="0"/>
                <w:szCs w:val="21"/>
                <w:highlight w:val="none"/>
                <w14:textFill>
                  <w14:solidFill>
                    <w14:schemeClr w14:val="tx1"/>
                  </w14:solidFill>
                </w14:textFill>
              </w:rPr>
              <w:t>证明或行政主管部门在编证明。</w:t>
            </w:r>
          </w:p>
          <w:p w14:paraId="58A64405">
            <w:pPr>
              <w:spacing w:line="400" w:lineRule="exact"/>
              <w:ind w:firstLine="420" w:firstLineChars="200"/>
            </w:pPr>
            <w:r>
              <w:rPr>
                <w:rFonts w:ascii="宋体" w:hAnsi="宋体"/>
                <w:bCs/>
                <w:color w:val="000000" w:themeColor="text1"/>
                <w:kern w:val="0"/>
                <w:szCs w:val="21"/>
                <w:highlight w:val="none"/>
                <w14:textFill>
                  <w14:solidFill>
                    <w14:schemeClr w14:val="tx1"/>
                  </w14:solidFill>
                </w14:textFill>
              </w:rPr>
              <w:t>②</w:t>
            </w:r>
            <w:r>
              <w:rPr>
                <w:rFonts w:hint="eastAsia" w:ascii="宋体" w:hAnsi="宋体"/>
                <w:bCs/>
                <w:snapToGrid w:val="0"/>
                <w:color w:val="000000" w:themeColor="text1"/>
                <w:kern w:val="0"/>
                <w:szCs w:val="21"/>
                <w:highlight w:val="none"/>
                <w:lang w:val="en-US" w:eastAsia="zh-CN"/>
                <w14:textFill>
                  <w14:solidFill>
                    <w14:schemeClr w14:val="tx1"/>
                  </w14:solidFill>
                </w14:textFill>
              </w:rPr>
              <w:t>拟派人员</w:t>
            </w:r>
            <w:r>
              <w:rPr>
                <w:rFonts w:ascii="宋体" w:hAnsi="宋体"/>
                <w:bCs/>
                <w:snapToGrid w:val="0"/>
                <w:color w:val="000000" w:themeColor="text1"/>
                <w:kern w:val="0"/>
                <w:szCs w:val="21"/>
                <w:highlight w:val="none"/>
                <w14:textFill>
                  <w14:solidFill>
                    <w14:schemeClr w14:val="tx1"/>
                  </w14:solidFill>
                </w14:textFill>
              </w:rPr>
              <w:t>的</w:t>
            </w:r>
            <w:r>
              <w:rPr>
                <w:rFonts w:hint="eastAsia" w:ascii="宋体" w:hAnsi="宋体"/>
                <w:bCs/>
                <w:snapToGrid w:val="0"/>
                <w:color w:val="000000" w:themeColor="text1"/>
                <w:kern w:val="0"/>
                <w:szCs w:val="21"/>
                <w:highlight w:val="none"/>
                <w14:textFill>
                  <w14:solidFill>
                    <w14:schemeClr w14:val="tx1"/>
                  </w14:solidFill>
                </w14:textFill>
              </w:rPr>
              <w:t>连续养老保险</w:t>
            </w:r>
            <w:r>
              <w:rPr>
                <w:rFonts w:ascii="宋体" w:hAnsi="宋体"/>
                <w:bCs/>
                <w:snapToGrid w:val="0"/>
                <w:color w:val="000000" w:themeColor="text1"/>
                <w:kern w:val="0"/>
                <w:szCs w:val="21"/>
                <w:highlight w:val="none"/>
                <w14:textFill>
                  <w14:solidFill>
                    <w14:schemeClr w14:val="tx1"/>
                  </w14:solidFill>
                </w14:textFill>
              </w:rPr>
              <w:t>证明期限</w:t>
            </w:r>
            <w:r>
              <w:rPr>
                <w:rFonts w:hint="eastAsia" w:ascii="宋体" w:hAnsi="宋体"/>
                <w:bCs/>
                <w:snapToGrid w:val="0"/>
                <w:color w:val="000000" w:themeColor="text1"/>
                <w:kern w:val="0"/>
                <w:szCs w:val="21"/>
                <w:highlight w:val="none"/>
                <w:lang w:val="en-US" w:eastAsia="zh-CN"/>
                <w14:textFill>
                  <w14:solidFill>
                    <w14:schemeClr w14:val="tx1"/>
                  </w14:solidFill>
                </w14:textFill>
              </w:rPr>
              <w:t>须包含</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Cs/>
                <w:snapToGrid w:val="0"/>
                <w:color w:val="000000" w:themeColor="text1"/>
                <w:kern w:val="0"/>
                <w:szCs w:val="21"/>
                <w:highlight w:val="none"/>
                <w:u w:val="single"/>
                <w:lang w:val="en-US" w:eastAsia="zh-CN"/>
                <w14:textFill>
                  <w14:solidFill>
                    <w14:schemeClr w14:val="tx1"/>
                  </w14:solidFill>
                </w14:textFill>
              </w:rPr>
              <w:t>2026</w:t>
            </w:r>
            <w:r>
              <w:rPr>
                <w:rFonts w:ascii="宋体" w:hAnsi="宋体"/>
                <w:bCs/>
                <w:snapToGrid w:val="0"/>
                <w:color w:val="000000" w:themeColor="text1"/>
                <w:kern w:val="0"/>
                <w:szCs w:val="21"/>
                <w:highlight w:val="none"/>
                <w14:textFill>
                  <w14:solidFill>
                    <w14:schemeClr w14:val="tx1"/>
                  </w14:solidFill>
                </w14:textFill>
              </w:rPr>
              <w:t>年</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Cs/>
                <w:snapToGrid w:val="0"/>
                <w:color w:val="000000" w:themeColor="text1"/>
                <w:kern w:val="0"/>
                <w:szCs w:val="21"/>
                <w:highlight w:val="none"/>
                <w:u w:val="single"/>
                <w:lang w:val="en-US" w:eastAsia="zh-CN"/>
                <w14:textFill>
                  <w14:solidFill>
                    <w14:schemeClr w14:val="tx1"/>
                  </w14:solidFill>
                </w14:textFill>
              </w:rPr>
              <w:t>2</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ascii="宋体" w:hAnsi="宋体"/>
                <w:bCs/>
                <w:snapToGrid w:val="0"/>
                <w:color w:val="000000" w:themeColor="text1"/>
                <w:kern w:val="0"/>
                <w:szCs w:val="21"/>
                <w:highlight w:val="none"/>
                <w14:textFill>
                  <w14:solidFill>
                    <w14:schemeClr w14:val="tx1"/>
                  </w14:solidFill>
                </w14:textFill>
              </w:rPr>
              <w:t>月至</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Cs/>
                <w:snapToGrid w:val="0"/>
                <w:color w:val="000000" w:themeColor="text1"/>
                <w:kern w:val="0"/>
                <w:szCs w:val="21"/>
                <w:highlight w:val="none"/>
                <w:u w:val="single"/>
                <w:lang w:val="en-US" w:eastAsia="zh-CN"/>
                <w14:textFill>
                  <w14:solidFill>
                    <w14:schemeClr w14:val="tx1"/>
                  </w14:solidFill>
                </w14:textFill>
              </w:rPr>
              <w:t>2026</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ascii="宋体" w:hAnsi="宋体"/>
                <w:bCs/>
                <w:snapToGrid w:val="0"/>
                <w:color w:val="000000" w:themeColor="text1"/>
                <w:kern w:val="0"/>
                <w:szCs w:val="21"/>
                <w:highlight w:val="none"/>
                <w14:textFill>
                  <w14:solidFill>
                    <w14:schemeClr w14:val="tx1"/>
                  </w14:solidFill>
                </w14:textFill>
              </w:rPr>
              <w:t>年</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Cs/>
                <w:snapToGrid w:val="0"/>
                <w:color w:val="000000" w:themeColor="text1"/>
                <w:kern w:val="0"/>
                <w:szCs w:val="21"/>
                <w:highlight w:val="none"/>
                <w:u w:val="single"/>
                <w:lang w:val="en-US" w:eastAsia="zh-CN"/>
                <w14:textFill>
                  <w14:solidFill>
                    <w14:schemeClr w14:val="tx1"/>
                  </w14:solidFill>
                </w14:textFill>
              </w:rPr>
              <w:t>7</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ascii="宋体" w:hAnsi="宋体"/>
                <w:bCs/>
                <w:snapToGrid w:val="0"/>
                <w:color w:val="000000" w:themeColor="text1"/>
                <w:kern w:val="0"/>
                <w:szCs w:val="21"/>
                <w:highlight w:val="none"/>
                <w14:textFill>
                  <w14:solidFill>
                    <w14:schemeClr w14:val="tx1"/>
                  </w14:solidFill>
                </w14:textFill>
              </w:rPr>
              <w:t>月</w:t>
            </w:r>
            <w:r>
              <w:rPr>
                <w:rFonts w:hint="eastAsia" w:ascii="宋体" w:hAnsi="宋体"/>
                <w:bCs/>
                <w:color w:val="000000" w:themeColor="text1"/>
                <w:szCs w:val="21"/>
                <w:highlight w:val="none"/>
                <w14:textFill>
                  <w14:solidFill>
                    <w14:schemeClr w14:val="tx1"/>
                  </w14:solidFill>
                </w14:textFill>
              </w:rPr>
              <w:t>。提供的养老保险参保证明须体现</w:t>
            </w:r>
            <w:r>
              <w:rPr>
                <w:rFonts w:hint="eastAsia" w:ascii="宋体" w:hAnsi="宋体"/>
                <w:bCs/>
                <w:color w:val="000000" w:themeColor="text1"/>
                <w:szCs w:val="21"/>
                <w:highlight w:val="none"/>
                <w:lang w:val="en-US" w:eastAsia="zh-CN"/>
                <w14:textFill>
                  <w14:solidFill>
                    <w14:schemeClr w14:val="tx1"/>
                  </w14:solidFill>
                </w14:textFill>
              </w:rPr>
              <w:t>拟派</w:t>
            </w:r>
            <w:r>
              <w:rPr>
                <w:rFonts w:hint="eastAsia" w:ascii="宋体" w:hAnsi="宋体"/>
                <w:bCs/>
                <w:color w:val="000000" w:themeColor="text1"/>
                <w:szCs w:val="21"/>
                <w:highlight w:val="none"/>
                <w14:textFill>
                  <w14:solidFill>
                    <w14:schemeClr w14:val="tx1"/>
                  </w14:solidFill>
                </w14:textFill>
              </w:rPr>
              <w:t>人员的姓名、身份证号（或社保号）、单位名称、</w:t>
            </w:r>
            <w:r>
              <w:rPr>
                <w:rFonts w:hint="eastAsia" w:ascii="宋体" w:hAnsi="宋体"/>
                <w:bCs/>
                <w:color w:val="000000" w:themeColor="text1"/>
                <w:szCs w:val="21"/>
                <w:highlight w:val="none"/>
                <w:lang w:val="en-US" w:eastAsia="zh-CN"/>
                <w14:textFill>
                  <w14:solidFill>
                    <w14:schemeClr w14:val="tx1"/>
                  </w14:solidFill>
                </w14:textFill>
              </w:rPr>
              <w:t>在</w:t>
            </w:r>
            <w:r>
              <w:rPr>
                <w:rFonts w:hint="eastAsia" w:ascii="宋体" w:hAnsi="宋体"/>
                <w:bCs/>
                <w:color w:val="000000" w:themeColor="text1"/>
                <w:szCs w:val="21"/>
                <w:highlight w:val="none"/>
                <w14:textFill>
                  <w14:solidFill>
                    <w14:schemeClr w14:val="tx1"/>
                  </w14:solidFill>
                </w14:textFill>
              </w:rPr>
              <w:t>本单位参保时间（或起始参保时间），并带有社保部门公章或社保部门的有效电子印章。</w:t>
            </w:r>
          </w:p>
        </w:tc>
      </w:tr>
      <w:tr w14:paraId="6E7C5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D84465B">
            <w:pPr>
              <w:snapToGrid w:val="0"/>
              <w:spacing w:line="400" w:lineRule="exact"/>
              <w:jc w:val="center"/>
              <w:rPr>
                <w:rFonts w:ascii="宋体" w:hAnsi="宋体"/>
                <w:kern w:val="0"/>
                <w:szCs w:val="21"/>
              </w:rPr>
            </w:pPr>
            <w:r>
              <w:rPr>
                <w:rFonts w:ascii="宋体" w:hAnsi="宋体"/>
                <w:kern w:val="0"/>
                <w:szCs w:val="21"/>
              </w:rPr>
              <w:t>1.4.2</w:t>
            </w:r>
          </w:p>
        </w:tc>
        <w:tc>
          <w:tcPr>
            <w:tcW w:w="1451" w:type="dxa"/>
            <w:vAlign w:val="center"/>
          </w:tcPr>
          <w:p w14:paraId="75C88949">
            <w:pPr>
              <w:snapToGrid w:val="0"/>
              <w:spacing w:line="400" w:lineRule="exact"/>
              <w:jc w:val="center"/>
              <w:rPr>
                <w:rFonts w:hint="eastAsia" w:ascii="宋体" w:hAnsi="宋体" w:eastAsia="宋体"/>
                <w:kern w:val="0"/>
                <w:szCs w:val="21"/>
                <w:lang w:eastAsia="zh-CN"/>
              </w:rPr>
            </w:pPr>
            <w:r>
              <w:rPr>
                <w:rFonts w:ascii="宋体" w:hAnsi="宋体"/>
                <w:kern w:val="0"/>
                <w:szCs w:val="21"/>
              </w:rPr>
              <w:t>是否接受联合体</w:t>
            </w:r>
            <w:r>
              <w:rPr>
                <w:rFonts w:hint="eastAsia" w:ascii="宋体" w:hAnsi="宋体"/>
                <w:kern w:val="0"/>
                <w:szCs w:val="21"/>
                <w:lang w:eastAsia="zh-CN"/>
              </w:rPr>
              <w:t>竞选</w:t>
            </w:r>
          </w:p>
        </w:tc>
        <w:tc>
          <w:tcPr>
            <w:tcW w:w="6683" w:type="dxa"/>
            <w:vAlign w:val="center"/>
          </w:tcPr>
          <w:p w14:paraId="0594693A">
            <w:pPr>
              <w:snapToGrid w:val="0"/>
              <w:spacing w:line="400" w:lineRule="exact"/>
              <w:ind w:firstLine="420" w:firstLineChars="200"/>
              <w:rPr>
                <w:rFonts w:ascii="宋体" w:hAnsi="宋体"/>
                <w:kern w:val="0"/>
                <w:szCs w:val="21"/>
              </w:rPr>
            </w:pPr>
            <w:r>
              <w:rPr>
                <w:rFonts w:ascii="宋体" w:hAnsi="宋体"/>
                <w:kern w:val="0"/>
                <w:szCs w:val="21"/>
              </w:rPr>
              <w:t>不接受</w:t>
            </w:r>
          </w:p>
        </w:tc>
      </w:tr>
      <w:tr w14:paraId="4A38E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32EC5AD">
            <w:pPr>
              <w:snapToGrid w:val="0"/>
              <w:spacing w:line="400" w:lineRule="exact"/>
              <w:jc w:val="center"/>
              <w:rPr>
                <w:rFonts w:ascii="宋体" w:hAnsi="宋体"/>
                <w:kern w:val="0"/>
                <w:szCs w:val="21"/>
              </w:rPr>
            </w:pPr>
            <w:r>
              <w:rPr>
                <w:rFonts w:ascii="宋体" w:hAnsi="宋体"/>
                <w:kern w:val="0"/>
                <w:szCs w:val="21"/>
              </w:rPr>
              <w:t>1.</w:t>
            </w:r>
            <w:r>
              <w:rPr>
                <w:rFonts w:hint="eastAsia" w:ascii="宋体" w:hAnsi="宋体"/>
                <w:kern w:val="0"/>
                <w:szCs w:val="21"/>
              </w:rPr>
              <w:t>4</w:t>
            </w:r>
            <w:r>
              <w:rPr>
                <w:rFonts w:ascii="宋体" w:hAnsi="宋体"/>
                <w:kern w:val="0"/>
                <w:szCs w:val="21"/>
              </w:rPr>
              <w:t>.</w:t>
            </w:r>
            <w:r>
              <w:rPr>
                <w:rFonts w:hint="eastAsia" w:ascii="宋体" w:hAnsi="宋体"/>
                <w:kern w:val="0"/>
                <w:szCs w:val="21"/>
              </w:rPr>
              <w:t>3</w:t>
            </w:r>
          </w:p>
        </w:tc>
        <w:tc>
          <w:tcPr>
            <w:tcW w:w="1451" w:type="dxa"/>
            <w:vAlign w:val="center"/>
          </w:tcPr>
          <w:p w14:paraId="0770DEFB">
            <w:pPr>
              <w:snapToGrid w:val="0"/>
              <w:spacing w:line="400" w:lineRule="exact"/>
              <w:jc w:val="center"/>
              <w:rPr>
                <w:rFonts w:ascii="宋体" w:hAnsi="宋体"/>
                <w:kern w:val="0"/>
                <w:szCs w:val="21"/>
              </w:rPr>
            </w:pPr>
            <w:r>
              <w:rPr>
                <w:rFonts w:ascii="宋体" w:hAnsi="宋体"/>
                <w:kern w:val="0"/>
                <w:szCs w:val="21"/>
              </w:rPr>
              <w:t>踏勘现场</w:t>
            </w:r>
          </w:p>
        </w:tc>
        <w:tc>
          <w:tcPr>
            <w:tcW w:w="6683" w:type="dxa"/>
            <w:vAlign w:val="center"/>
          </w:tcPr>
          <w:p w14:paraId="2B112781">
            <w:pPr>
              <w:snapToGrid w:val="0"/>
              <w:spacing w:line="400" w:lineRule="exact"/>
              <w:ind w:firstLine="420" w:firstLineChars="200"/>
              <w:rPr>
                <w:rFonts w:ascii="宋体" w:hAnsi="宋体"/>
                <w:kern w:val="0"/>
                <w:szCs w:val="21"/>
              </w:rPr>
            </w:pPr>
            <w:r>
              <w:rPr>
                <w:rFonts w:ascii="宋体" w:hAnsi="宋体"/>
                <w:kern w:val="0"/>
                <w:szCs w:val="21"/>
              </w:rPr>
              <w:t>不组织</w:t>
            </w:r>
          </w:p>
        </w:tc>
      </w:tr>
      <w:tr w14:paraId="1A4630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ADDDBB4">
            <w:pPr>
              <w:snapToGrid w:val="0"/>
              <w:spacing w:line="400" w:lineRule="exact"/>
              <w:jc w:val="center"/>
              <w:rPr>
                <w:rFonts w:ascii="宋体" w:hAnsi="宋体"/>
                <w:kern w:val="0"/>
                <w:szCs w:val="21"/>
              </w:rPr>
            </w:pPr>
            <w:r>
              <w:rPr>
                <w:rFonts w:ascii="宋体" w:hAnsi="宋体"/>
                <w:kern w:val="0"/>
                <w:szCs w:val="21"/>
              </w:rPr>
              <w:t>1.</w:t>
            </w:r>
            <w:r>
              <w:rPr>
                <w:rFonts w:hint="eastAsia" w:ascii="宋体" w:hAnsi="宋体"/>
                <w:kern w:val="0"/>
                <w:szCs w:val="21"/>
              </w:rPr>
              <w:t>4</w:t>
            </w:r>
            <w:r>
              <w:rPr>
                <w:rFonts w:ascii="宋体" w:hAnsi="宋体"/>
                <w:kern w:val="0"/>
                <w:szCs w:val="21"/>
              </w:rPr>
              <w:t>.</w:t>
            </w:r>
            <w:r>
              <w:rPr>
                <w:rFonts w:hint="eastAsia" w:ascii="宋体" w:hAnsi="宋体"/>
                <w:kern w:val="0"/>
                <w:szCs w:val="21"/>
              </w:rPr>
              <w:t>4</w:t>
            </w:r>
          </w:p>
        </w:tc>
        <w:tc>
          <w:tcPr>
            <w:tcW w:w="1451" w:type="dxa"/>
            <w:vAlign w:val="center"/>
          </w:tcPr>
          <w:p w14:paraId="4CFB875D">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预备会</w:t>
            </w:r>
          </w:p>
        </w:tc>
        <w:tc>
          <w:tcPr>
            <w:tcW w:w="6683" w:type="dxa"/>
            <w:vAlign w:val="center"/>
          </w:tcPr>
          <w:p w14:paraId="546A4E11">
            <w:pPr>
              <w:snapToGrid w:val="0"/>
              <w:spacing w:line="400" w:lineRule="exact"/>
              <w:ind w:firstLine="420" w:firstLineChars="200"/>
              <w:rPr>
                <w:rFonts w:ascii="宋体" w:hAnsi="宋体"/>
                <w:kern w:val="0"/>
                <w:szCs w:val="21"/>
              </w:rPr>
            </w:pPr>
            <w:r>
              <w:rPr>
                <w:rFonts w:ascii="宋体" w:hAnsi="宋体"/>
                <w:kern w:val="0"/>
                <w:szCs w:val="21"/>
              </w:rPr>
              <w:t>不召开</w:t>
            </w:r>
          </w:p>
        </w:tc>
      </w:tr>
      <w:tr w14:paraId="31295F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955D3DC">
            <w:pPr>
              <w:snapToGrid w:val="0"/>
              <w:spacing w:line="400" w:lineRule="exact"/>
              <w:jc w:val="center"/>
              <w:rPr>
                <w:rFonts w:ascii="宋体" w:hAnsi="宋体"/>
                <w:kern w:val="0"/>
                <w:szCs w:val="21"/>
              </w:rPr>
            </w:pPr>
            <w:r>
              <w:rPr>
                <w:rFonts w:ascii="宋体" w:hAnsi="宋体"/>
                <w:kern w:val="0"/>
                <w:szCs w:val="21"/>
              </w:rPr>
              <w:t>1.</w:t>
            </w:r>
            <w:r>
              <w:rPr>
                <w:rFonts w:hint="eastAsia" w:ascii="宋体" w:hAnsi="宋体"/>
                <w:kern w:val="0"/>
                <w:szCs w:val="21"/>
              </w:rPr>
              <w:t>5</w:t>
            </w:r>
          </w:p>
        </w:tc>
        <w:tc>
          <w:tcPr>
            <w:tcW w:w="1451" w:type="dxa"/>
            <w:vAlign w:val="center"/>
          </w:tcPr>
          <w:p w14:paraId="5611DA5F">
            <w:pPr>
              <w:snapToGrid w:val="0"/>
              <w:spacing w:line="400" w:lineRule="exact"/>
              <w:jc w:val="center"/>
              <w:rPr>
                <w:rFonts w:ascii="宋体" w:hAnsi="宋体"/>
                <w:kern w:val="0"/>
                <w:szCs w:val="21"/>
              </w:rPr>
            </w:pPr>
            <w:r>
              <w:rPr>
                <w:rFonts w:ascii="宋体" w:hAnsi="宋体"/>
                <w:kern w:val="0"/>
                <w:szCs w:val="21"/>
              </w:rPr>
              <w:t>分包</w:t>
            </w:r>
          </w:p>
        </w:tc>
        <w:tc>
          <w:tcPr>
            <w:tcW w:w="6683" w:type="dxa"/>
            <w:vAlign w:val="center"/>
          </w:tcPr>
          <w:p w14:paraId="27CC7131">
            <w:pPr>
              <w:snapToGrid w:val="0"/>
              <w:spacing w:line="400" w:lineRule="exact"/>
              <w:ind w:firstLine="420" w:firstLineChars="200"/>
            </w:pPr>
            <w:r>
              <w:t>不允许</w:t>
            </w:r>
          </w:p>
        </w:tc>
      </w:tr>
      <w:tr w14:paraId="76D0E4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E44ED56">
            <w:pPr>
              <w:snapToGrid w:val="0"/>
              <w:spacing w:line="400" w:lineRule="exact"/>
              <w:jc w:val="center"/>
              <w:rPr>
                <w:rFonts w:ascii="宋体" w:hAnsi="宋体"/>
                <w:kern w:val="0"/>
                <w:szCs w:val="21"/>
              </w:rPr>
            </w:pPr>
            <w:r>
              <w:rPr>
                <w:rFonts w:hint="eastAsia" w:ascii="宋体" w:hAnsi="宋体"/>
                <w:kern w:val="0"/>
                <w:szCs w:val="21"/>
              </w:rPr>
              <w:t>2</w:t>
            </w:r>
          </w:p>
        </w:tc>
        <w:tc>
          <w:tcPr>
            <w:tcW w:w="1451" w:type="dxa"/>
            <w:vAlign w:val="center"/>
          </w:tcPr>
          <w:p w14:paraId="212917D4">
            <w:pPr>
              <w:snapToGrid w:val="0"/>
              <w:spacing w:after="15" w:afterLines="5" w:line="400" w:lineRule="exact"/>
              <w:jc w:val="center"/>
              <w:rPr>
                <w:rFonts w:ascii="宋体" w:hAnsi="宋体"/>
                <w:kern w:val="0"/>
                <w:szCs w:val="21"/>
              </w:rPr>
            </w:pPr>
            <w:r>
              <w:rPr>
                <w:rFonts w:ascii="宋体" w:hAnsi="宋体"/>
                <w:kern w:val="0"/>
                <w:szCs w:val="21"/>
              </w:rPr>
              <w:t>构成</w:t>
            </w:r>
            <w:r>
              <w:rPr>
                <w:rFonts w:hint="eastAsia" w:ascii="宋体" w:hAnsi="宋体"/>
                <w:kern w:val="0"/>
                <w:szCs w:val="21"/>
                <w:lang w:eastAsia="zh-CN"/>
              </w:rPr>
              <w:t>比选</w:t>
            </w:r>
            <w:r>
              <w:rPr>
                <w:rFonts w:ascii="宋体" w:hAnsi="宋体"/>
                <w:kern w:val="0"/>
                <w:szCs w:val="21"/>
              </w:rPr>
              <w:t>文件的其他材料</w:t>
            </w:r>
          </w:p>
        </w:tc>
        <w:tc>
          <w:tcPr>
            <w:tcW w:w="6683" w:type="dxa"/>
            <w:vAlign w:val="center"/>
          </w:tcPr>
          <w:p w14:paraId="71ABAF20">
            <w:pPr>
              <w:snapToGrid w:val="0"/>
              <w:spacing w:line="400" w:lineRule="exact"/>
              <w:ind w:firstLine="420" w:firstLineChars="200"/>
              <w:rPr>
                <w:rFonts w:ascii="宋体" w:hAnsi="宋体"/>
                <w:szCs w:val="21"/>
              </w:rPr>
            </w:pPr>
            <w:r>
              <w:rPr>
                <w:rFonts w:hint="eastAsia" w:ascii="宋体" w:hAnsi="宋体"/>
                <w:szCs w:val="21"/>
                <w:lang w:eastAsia="zh-CN"/>
              </w:rPr>
              <w:t>比选</w:t>
            </w:r>
            <w:r>
              <w:rPr>
                <w:rFonts w:ascii="宋体" w:hAnsi="宋体"/>
                <w:szCs w:val="21"/>
              </w:rPr>
              <w:t>人发出的</w:t>
            </w:r>
            <w:r>
              <w:rPr>
                <w:rFonts w:hint="eastAsia" w:ascii="宋体" w:hAnsi="宋体"/>
                <w:szCs w:val="21"/>
              </w:rPr>
              <w:t>澄清</w:t>
            </w:r>
            <w:r>
              <w:rPr>
                <w:rFonts w:ascii="宋体" w:hAnsi="宋体"/>
                <w:szCs w:val="21"/>
              </w:rPr>
              <w:t>及</w:t>
            </w:r>
            <w:r>
              <w:rPr>
                <w:rFonts w:hint="eastAsia" w:ascii="宋体" w:hAnsi="宋体"/>
                <w:szCs w:val="21"/>
              </w:rPr>
              <w:t>修改</w:t>
            </w:r>
          </w:p>
        </w:tc>
      </w:tr>
      <w:tr w14:paraId="5ED3FA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D5B87CD">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451" w:type="dxa"/>
            <w:tcBorders>
              <w:bottom w:val="single" w:color="auto" w:sz="4" w:space="0"/>
            </w:tcBorders>
            <w:vAlign w:val="center"/>
          </w:tcPr>
          <w:p w14:paraId="1E8B20DE">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人对</w:t>
            </w:r>
            <w:r>
              <w:rPr>
                <w:rFonts w:hint="eastAsia" w:ascii="宋体" w:hAnsi="宋体"/>
                <w:kern w:val="0"/>
                <w:szCs w:val="21"/>
                <w:lang w:eastAsia="zh-CN"/>
              </w:rPr>
              <w:t>比选</w:t>
            </w:r>
            <w:r>
              <w:rPr>
                <w:rFonts w:ascii="宋体" w:hAnsi="宋体"/>
                <w:kern w:val="0"/>
                <w:szCs w:val="21"/>
              </w:rPr>
              <w:t>文件提出</w:t>
            </w:r>
            <w:r>
              <w:rPr>
                <w:rFonts w:hint="eastAsia" w:ascii="宋体" w:hAnsi="宋体"/>
                <w:kern w:val="0"/>
                <w:szCs w:val="21"/>
              </w:rPr>
              <w:t>疑问</w:t>
            </w:r>
            <w:r>
              <w:rPr>
                <w:rFonts w:ascii="宋体" w:hAnsi="宋体"/>
                <w:kern w:val="0"/>
                <w:szCs w:val="21"/>
              </w:rPr>
              <w:t>的截止时间</w:t>
            </w:r>
          </w:p>
        </w:tc>
        <w:tc>
          <w:tcPr>
            <w:tcW w:w="6683" w:type="dxa"/>
            <w:vAlign w:val="center"/>
          </w:tcPr>
          <w:p w14:paraId="3362B0F9">
            <w:pPr>
              <w:snapToGrid w:val="0"/>
              <w:spacing w:line="400" w:lineRule="exact"/>
              <w:ind w:firstLine="420" w:firstLineChars="200"/>
              <w:rPr>
                <w:rFonts w:ascii="宋体" w:hAnsi="宋体"/>
                <w:kern w:val="0"/>
                <w:szCs w:val="21"/>
              </w:rPr>
            </w:pPr>
            <w:r>
              <w:rPr>
                <w:rFonts w:hint="eastAsia" w:ascii="宋体" w:hAnsi="宋体"/>
                <w:kern w:val="0"/>
                <w:szCs w:val="21"/>
                <w:lang w:eastAsia="zh-CN"/>
              </w:rPr>
              <w:t>竞选</w:t>
            </w:r>
            <w:r>
              <w:rPr>
                <w:rFonts w:ascii="宋体" w:hAnsi="宋体"/>
                <w:kern w:val="0"/>
                <w:szCs w:val="21"/>
              </w:rPr>
              <w:t>人应仔细</w:t>
            </w:r>
            <w:r>
              <w:rPr>
                <w:rFonts w:hint="eastAsia" w:ascii="宋体" w:hAnsi="宋体"/>
                <w:kern w:val="0"/>
                <w:szCs w:val="21"/>
              </w:rPr>
              <w:t>阅读</w:t>
            </w:r>
            <w:r>
              <w:rPr>
                <w:rFonts w:hint="eastAsia" w:ascii="宋体" w:hAnsi="宋体"/>
                <w:kern w:val="0"/>
                <w:szCs w:val="21"/>
                <w:lang w:eastAsia="zh-CN"/>
              </w:rPr>
              <w:t>比选</w:t>
            </w:r>
            <w:r>
              <w:rPr>
                <w:rFonts w:ascii="宋体" w:hAnsi="宋体"/>
                <w:kern w:val="0"/>
                <w:szCs w:val="21"/>
              </w:rPr>
              <w:t>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的所有内容，如有文字表述不清，图纸尺寸标注不明以及存在错、漏、缺、概念模糊和有可能出现歧义或理解上的偏差的内容等应</w:t>
            </w:r>
            <w:r>
              <w:rPr>
                <w:rFonts w:hint="eastAsia" w:ascii="宋体" w:hAnsi="宋体" w:cs="宋体"/>
                <w:kern w:val="0"/>
                <w:szCs w:val="21"/>
              </w:rPr>
              <w:t>在</w:t>
            </w:r>
            <w:r>
              <w:rPr>
                <w:rFonts w:hint="eastAsia" w:ascii="宋体" w:hAnsi="宋体" w:cs="宋体"/>
                <w:kern w:val="0"/>
                <w:szCs w:val="21"/>
                <w:lang w:eastAsia="zh-CN"/>
              </w:rPr>
              <w:t>比选</w:t>
            </w:r>
            <w:r>
              <w:rPr>
                <w:rFonts w:hint="eastAsia" w:ascii="宋体" w:hAnsi="宋体" w:cs="宋体"/>
                <w:kern w:val="0"/>
                <w:szCs w:val="21"/>
              </w:rPr>
              <w:t>公告规定的时间</w:t>
            </w:r>
            <w:r>
              <w:rPr>
                <w:rFonts w:ascii="宋体" w:hAnsi="宋体"/>
                <w:kern w:val="0"/>
                <w:szCs w:val="21"/>
              </w:rPr>
              <w:t>前</w:t>
            </w:r>
            <w:r>
              <w:rPr>
                <w:rFonts w:hint="eastAsia" w:ascii="宋体" w:hAnsi="宋体"/>
                <w:kern w:val="0"/>
                <w:szCs w:val="21"/>
              </w:rPr>
              <w:t>书面</w:t>
            </w:r>
            <w:r>
              <w:rPr>
                <w:rFonts w:ascii="宋体" w:hAnsi="宋体"/>
                <w:kern w:val="0"/>
                <w:szCs w:val="21"/>
              </w:rPr>
              <w:t>提交。</w:t>
            </w:r>
            <w:r>
              <w:rPr>
                <w:rFonts w:hint="eastAsia" w:ascii="宋体" w:hAnsi="宋体"/>
                <w:kern w:val="0"/>
                <w:szCs w:val="21"/>
              </w:rPr>
              <w:t>（提示：公告公示后第二天结束后，不再接收任何书面质疑）</w:t>
            </w:r>
          </w:p>
        </w:tc>
      </w:tr>
      <w:tr w14:paraId="77FA6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240" w:type="dxa"/>
            <w:vMerge w:val="restart"/>
            <w:vAlign w:val="center"/>
          </w:tcPr>
          <w:p w14:paraId="40191034">
            <w:pPr>
              <w:snapToGrid w:val="0"/>
              <w:spacing w:line="400" w:lineRule="exact"/>
              <w:jc w:val="center"/>
              <w:rPr>
                <w:rFonts w:ascii="宋体" w:hAnsi="宋体"/>
                <w:kern w:val="0"/>
                <w:szCs w:val="21"/>
              </w:rPr>
            </w:pPr>
            <w:r>
              <w:rPr>
                <w:rFonts w:ascii="宋体" w:hAnsi="宋体"/>
                <w:kern w:val="0"/>
                <w:szCs w:val="21"/>
              </w:rPr>
              <w:t>2.2</w:t>
            </w:r>
          </w:p>
        </w:tc>
        <w:tc>
          <w:tcPr>
            <w:tcW w:w="1451" w:type="dxa"/>
            <w:tcBorders>
              <w:top w:val="single" w:color="auto" w:sz="4" w:space="0"/>
            </w:tcBorders>
            <w:vAlign w:val="center"/>
          </w:tcPr>
          <w:p w14:paraId="52C7C9D3">
            <w:pPr>
              <w:snapToGrid w:val="0"/>
              <w:spacing w:line="400" w:lineRule="exact"/>
              <w:jc w:val="center"/>
              <w:rPr>
                <w:rFonts w:ascii="宋体" w:hAnsi="宋体"/>
                <w:kern w:val="0"/>
                <w:szCs w:val="21"/>
              </w:rPr>
            </w:pPr>
            <w:r>
              <w:rPr>
                <w:rFonts w:hint="eastAsia" w:ascii="宋体" w:hAnsi="宋体"/>
                <w:kern w:val="0"/>
                <w:szCs w:val="21"/>
                <w:lang w:eastAsia="zh-CN"/>
              </w:rPr>
              <w:t>比选</w:t>
            </w:r>
            <w:r>
              <w:rPr>
                <w:rFonts w:ascii="宋体" w:hAnsi="宋体"/>
                <w:kern w:val="0"/>
                <w:szCs w:val="21"/>
              </w:rPr>
              <w:t>人对</w:t>
            </w:r>
            <w:r>
              <w:rPr>
                <w:rFonts w:hint="eastAsia" w:ascii="宋体" w:hAnsi="宋体"/>
                <w:kern w:val="0"/>
                <w:szCs w:val="21"/>
                <w:lang w:eastAsia="zh-CN"/>
              </w:rPr>
              <w:t>比选</w:t>
            </w:r>
            <w:r>
              <w:rPr>
                <w:rFonts w:ascii="宋体" w:hAnsi="宋体"/>
                <w:kern w:val="0"/>
                <w:szCs w:val="21"/>
              </w:rPr>
              <w:t>文件澄清的截止时间</w:t>
            </w:r>
          </w:p>
        </w:tc>
        <w:tc>
          <w:tcPr>
            <w:tcW w:w="6683" w:type="dxa"/>
            <w:vAlign w:val="center"/>
          </w:tcPr>
          <w:p w14:paraId="4DA528D5">
            <w:pPr>
              <w:snapToGrid w:val="0"/>
              <w:spacing w:line="400" w:lineRule="exact"/>
              <w:ind w:firstLine="420" w:firstLineChars="200"/>
              <w:rPr>
                <w:rFonts w:hint="eastAsia" w:ascii="宋体" w:hAnsi="宋体"/>
                <w:szCs w:val="21"/>
                <w:lang w:eastAsia="zh-CN"/>
              </w:rPr>
            </w:pPr>
            <w:r>
              <w:rPr>
                <w:rFonts w:hint="eastAsia" w:ascii="宋体" w:hAnsi="宋体"/>
                <w:szCs w:val="21"/>
                <w:lang w:eastAsia="zh-CN"/>
              </w:rPr>
              <w:t>质疑结束时间：</w:t>
            </w:r>
            <w:r>
              <w:rPr>
                <w:rFonts w:hint="eastAsia" w:ascii="宋体" w:hAnsi="宋体" w:eastAsia="宋体" w:cs="Times New Roman"/>
                <w:szCs w:val="21"/>
              </w:rPr>
              <w:t xml:space="preserve"> 202</w:t>
            </w:r>
            <w:r>
              <w:rPr>
                <w:rFonts w:hint="eastAsia" w:ascii="宋体" w:hAnsi="宋体" w:cs="Times New Roman"/>
                <w:szCs w:val="21"/>
                <w:lang w:val="en-US" w:eastAsia="zh-CN"/>
              </w:rPr>
              <w:t>6</w:t>
            </w:r>
            <w:r>
              <w:rPr>
                <w:rFonts w:hint="eastAsia" w:ascii="宋体" w:hAnsi="宋体" w:eastAsia="宋体" w:cs="Times New Roman"/>
                <w:szCs w:val="21"/>
              </w:rPr>
              <w:t>年</w:t>
            </w:r>
            <w:r>
              <w:rPr>
                <w:rFonts w:hint="eastAsia" w:ascii="宋体" w:hAnsi="宋体" w:cs="Times New Roman"/>
                <w:szCs w:val="21"/>
                <w:lang w:val="en-US" w:eastAsia="zh-CN"/>
              </w:rPr>
              <w:t>8</w:t>
            </w:r>
            <w:r>
              <w:rPr>
                <w:rFonts w:hint="eastAsia" w:ascii="宋体" w:hAnsi="宋体" w:eastAsia="宋体" w:cs="Times New Roman"/>
                <w:szCs w:val="21"/>
              </w:rPr>
              <w:t>月</w:t>
            </w:r>
            <w:r>
              <w:rPr>
                <w:rFonts w:hint="eastAsia" w:ascii="宋体" w:hAnsi="宋体" w:cs="Times New Roman"/>
                <w:szCs w:val="21"/>
                <w:lang w:val="en-US" w:eastAsia="zh-CN"/>
              </w:rPr>
              <w:t>30</w:t>
            </w:r>
            <w:r>
              <w:rPr>
                <w:rFonts w:hint="eastAsia" w:ascii="宋体" w:hAnsi="宋体" w:eastAsia="宋体" w:cs="Times New Roman"/>
                <w:szCs w:val="21"/>
              </w:rPr>
              <w:t>日</w:t>
            </w:r>
            <w:r>
              <w:rPr>
                <w:rFonts w:hint="eastAsia" w:ascii="宋体" w:hAnsi="宋体" w:cs="Times New Roman"/>
                <w:szCs w:val="21"/>
                <w:lang w:val="en-US" w:eastAsia="zh-CN"/>
              </w:rPr>
              <w:t>17</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时</w:t>
            </w:r>
            <w:r>
              <w:rPr>
                <w:rFonts w:hint="eastAsia" w:ascii="宋体" w:hAnsi="宋体" w:cs="Times New Roman"/>
                <w:szCs w:val="21"/>
                <w:lang w:val="en-US" w:eastAsia="zh-CN"/>
              </w:rPr>
              <w:t>3</w:t>
            </w:r>
            <w:r>
              <w:rPr>
                <w:rFonts w:hint="eastAsia" w:ascii="宋体" w:hAnsi="宋体" w:eastAsia="宋体" w:cs="Times New Roman"/>
                <w:szCs w:val="21"/>
              </w:rPr>
              <w:t>0分。</w:t>
            </w:r>
          </w:p>
          <w:p w14:paraId="31640ED3">
            <w:pPr>
              <w:snapToGrid w:val="0"/>
              <w:spacing w:line="400" w:lineRule="exact"/>
              <w:ind w:firstLine="420" w:firstLineChars="200"/>
              <w:rPr>
                <w:rFonts w:ascii="宋体" w:hAnsi="宋体"/>
                <w:snapToGrid w:val="0"/>
                <w:kern w:val="0"/>
                <w:szCs w:val="21"/>
              </w:rPr>
            </w:pPr>
            <w:r>
              <w:rPr>
                <w:rFonts w:hint="eastAsia" w:ascii="宋体" w:hAnsi="宋体"/>
                <w:szCs w:val="21"/>
                <w:lang w:eastAsia="zh-CN"/>
              </w:rPr>
              <w:t>比选</w:t>
            </w:r>
            <w:r>
              <w:rPr>
                <w:rFonts w:hint="eastAsia" w:ascii="宋体" w:hAnsi="宋体"/>
                <w:szCs w:val="21"/>
              </w:rPr>
              <w:t>人应在</w:t>
            </w:r>
            <w:r>
              <w:rPr>
                <w:rFonts w:hint="eastAsia" w:ascii="宋体" w:hAnsi="宋体"/>
                <w:szCs w:val="21"/>
                <w:lang w:eastAsia="zh-CN"/>
              </w:rPr>
              <w:t>比选</w:t>
            </w:r>
            <w:r>
              <w:rPr>
                <w:rFonts w:hint="eastAsia" w:ascii="宋体" w:hAnsi="宋体"/>
                <w:szCs w:val="21"/>
              </w:rPr>
              <w:t>公告</w:t>
            </w:r>
            <w:r>
              <w:rPr>
                <w:rFonts w:hint="eastAsia" w:ascii="宋体" w:hAnsi="宋体"/>
                <w:szCs w:val="21"/>
                <w:lang w:eastAsia="zh-CN"/>
              </w:rPr>
              <w:t>规定时间前</w:t>
            </w:r>
            <w:r>
              <w:rPr>
                <w:rFonts w:ascii="宋体" w:hAnsi="宋体"/>
                <w:szCs w:val="21"/>
              </w:rPr>
              <w:t>，</w:t>
            </w:r>
            <w:r>
              <w:rPr>
                <w:rFonts w:ascii="宋体" w:hAnsi="宋体"/>
                <w:kern w:val="0"/>
                <w:szCs w:val="21"/>
              </w:rPr>
              <w:t>在</w:t>
            </w:r>
            <w:r>
              <w:rPr>
                <w:rFonts w:hint="eastAsia" w:ascii="宋体" w:hAnsi="宋体"/>
                <w:snapToGrid w:val="0"/>
                <w:kern w:val="0"/>
                <w:szCs w:val="21"/>
              </w:rPr>
              <w:t>重庆经开区投资集团官网</w:t>
            </w:r>
            <w:r>
              <w:rPr>
                <w:rFonts w:hint="eastAsia" w:ascii="宋体" w:hAnsi="宋体"/>
                <w:snapToGrid w:val="0"/>
                <w:kern w:val="0"/>
                <w:szCs w:val="21"/>
                <w:u w:val="single"/>
              </w:rPr>
              <w:t>（</w:t>
            </w:r>
            <w:r>
              <w:fldChar w:fldCharType="begin"/>
            </w:r>
            <w:r>
              <w:instrText xml:space="preserve"> HYPERLINK "http://www.cetzig.com/" </w:instrText>
            </w:r>
            <w:r>
              <w:fldChar w:fldCharType="separate"/>
            </w:r>
            <w:r>
              <w:rPr>
                <w:rFonts w:ascii="宋体" w:hAnsi="宋体"/>
                <w:snapToGrid w:val="0"/>
                <w:kern w:val="0"/>
                <w:szCs w:val="21"/>
                <w:u w:val="single"/>
              </w:rPr>
              <w:t>http://www.cetzig.com/</w:t>
            </w:r>
            <w:r>
              <w:rPr>
                <w:rFonts w:ascii="宋体" w:hAnsi="宋体"/>
                <w:snapToGrid w:val="0"/>
                <w:kern w:val="0"/>
                <w:szCs w:val="21"/>
                <w:u w:val="single"/>
              </w:rPr>
              <w:fldChar w:fldCharType="end"/>
            </w:r>
            <w:r>
              <w:rPr>
                <w:rFonts w:hint="eastAsia" w:ascii="宋体" w:hAnsi="宋体"/>
                <w:snapToGrid w:val="0"/>
                <w:kern w:val="0"/>
                <w:szCs w:val="21"/>
                <w:u w:val="single"/>
              </w:rPr>
              <w:t>）</w:t>
            </w:r>
            <w:r>
              <w:rPr>
                <w:rFonts w:ascii="宋体" w:hAnsi="宋体"/>
                <w:kern w:val="0"/>
                <w:szCs w:val="21"/>
              </w:rPr>
              <w:t>发布</w:t>
            </w:r>
            <w:r>
              <w:rPr>
                <w:rFonts w:hint="eastAsia" w:ascii="宋体" w:hAnsi="宋体"/>
                <w:kern w:val="0"/>
                <w:szCs w:val="21"/>
              </w:rPr>
              <w:t>澄清</w:t>
            </w:r>
            <w:r>
              <w:rPr>
                <w:rFonts w:ascii="宋体" w:hAnsi="宋体"/>
                <w:kern w:val="0"/>
                <w:szCs w:val="21"/>
              </w:rPr>
              <w:t>。</w:t>
            </w:r>
          </w:p>
        </w:tc>
      </w:tr>
      <w:tr w14:paraId="6E7BD1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240" w:type="dxa"/>
            <w:vMerge w:val="continue"/>
            <w:vAlign w:val="center"/>
          </w:tcPr>
          <w:p w14:paraId="1B56DE3F">
            <w:pPr>
              <w:snapToGrid w:val="0"/>
              <w:spacing w:line="400" w:lineRule="exact"/>
              <w:jc w:val="center"/>
              <w:rPr>
                <w:rFonts w:ascii="宋体" w:hAnsi="宋体"/>
                <w:kern w:val="0"/>
                <w:szCs w:val="21"/>
              </w:rPr>
            </w:pPr>
          </w:p>
        </w:tc>
        <w:tc>
          <w:tcPr>
            <w:tcW w:w="1451" w:type="dxa"/>
            <w:vAlign w:val="center"/>
          </w:tcPr>
          <w:p w14:paraId="46361146">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hint="eastAsia" w:ascii="宋体" w:hAnsi="宋体"/>
                <w:kern w:val="0"/>
                <w:szCs w:val="21"/>
              </w:rPr>
              <w:t>截止时间</w:t>
            </w:r>
          </w:p>
        </w:tc>
        <w:tc>
          <w:tcPr>
            <w:tcW w:w="6683" w:type="dxa"/>
            <w:vAlign w:val="center"/>
          </w:tcPr>
          <w:p w14:paraId="10EC717D">
            <w:pPr>
              <w:snapToGrid w:val="0"/>
              <w:spacing w:line="400" w:lineRule="exact"/>
              <w:ind w:firstLine="420" w:firstLineChars="200"/>
              <w:rPr>
                <w:rFonts w:hint="eastAsia" w:ascii="宋体" w:hAnsi="宋体" w:eastAsia="宋体"/>
                <w:szCs w:val="21"/>
                <w:u w:val="single"/>
                <w:lang w:eastAsia="zh-CN"/>
              </w:rPr>
            </w:pPr>
            <w:r>
              <w:rPr>
                <w:rFonts w:hint="eastAsia" w:ascii="宋体" w:hAnsi="宋体"/>
                <w:szCs w:val="21"/>
              </w:rPr>
              <w:t>详见</w:t>
            </w:r>
            <w:r>
              <w:rPr>
                <w:rFonts w:hint="eastAsia" w:ascii="宋体" w:hAnsi="宋体"/>
                <w:szCs w:val="21"/>
                <w:lang w:eastAsia="zh-CN"/>
              </w:rPr>
              <w:t>比选</w:t>
            </w:r>
            <w:r>
              <w:rPr>
                <w:rFonts w:hint="eastAsia" w:ascii="宋体" w:hAnsi="宋体"/>
                <w:szCs w:val="21"/>
              </w:rPr>
              <w:t>公告规定的</w:t>
            </w:r>
            <w:r>
              <w:rPr>
                <w:rFonts w:hint="eastAsia" w:ascii="宋体" w:hAnsi="宋体"/>
                <w:szCs w:val="21"/>
                <w:lang w:eastAsia="zh-CN"/>
              </w:rPr>
              <w:t>竞选</w:t>
            </w:r>
            <w:r>
              <w:rPr>
                <w:rFonts w:hint="eastAsia" w:ascii="宋体" w:hAnsi="宋体"/>
                <w:szCs w:val="21"/>
              </w:rPr>
              <w:t>截止时间</w:t>
            </w:r>
            <w:r>
              <w:rPr>
                <w:rFonts w:hint="eastAsia" w:ascii="宋体" w:hAnsi="宋体"/>
                <w:szCs w:val="21"/>
                <w:lang w:eastAsia="zh-CN"/>
              </w:rPr>
              <w:t>。</w:t>
            </w:r>
          </w:p>
        </w:tc>
      </w:tr>
      <w:tr w14:paraId="0392CF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D19034C">
            <w:pPr>
              <w:snapToGrid w:val="0"/>
              <w:spacing w:line="400" w:lineRule="exact"/>
              <w:jc w:val="center"/>
              <w:rPr>
                <w:rFonts w:ascii="宋体" w:hAnsi="宋体"/>
                <w:kern w:val="0"/>
                <w:szCs w:val="21"/>
              </w:rPr>
            </w:pPr>
            <w:r>
              <w:rPr>
                <w:rFonts w:ascii="宋体" w:hAnsi="宋体"/>
                <w:kern w:val="0"/>
                <w:szCs w:val="21"/>
              </w:rPr>
              <w:t>2.2.3</w:t>
            </w:r>
          </w:p>
        </w:tc>
        <w:tc>
          <w:tcPr>
            <w:tcW w:w="1451" w:type="dxa"/>
            <w:vAlign w:val="center"/>
          </w:tcPr>
          <w:p w14:paraId="0892F656">
            <w:pPr>
              <w:snapToGrid w:val="0"/>
              <w:spacing w:after="15" w:afterLines="5" w:line="400" w:lineRule="exact"/>
              <w:jc w:val="center"/>
              <w:rPr>
                <w:rFonts w:ascii="宋体" w:hAnsi="宋体"/>
                <w:kern w:val="0"/>
                <w:szCs w:val="21"/>
              </w:rPr>
            </w:pPr>
            <w:r>
              <w:rPr>
                <w:rFonts w:hint="eastAsia" w:ascii="宋体" w:hAnsi="宋体"/>
                <w:kern w:val="0"/>
                <w:szCs w:val="21"/>
                <w:lang w:eastAsia="zh-CN"/>
              </w:rPr>
              <w:t>比选</w:t>
            </w:r>
            <w:r>
              <w:rPr>
                <w:rFonts w:ascii="宋体" w:hAnsi="宋体"/>
                <w:kern w:val="0"/>
                <w:szCs w:val="21"/>
              </w:rPr>
              <w:t>人对</w:t>
            </w:r>
            <w:r>
              <w:rPr>
                <w:rFonts w:hint="eastAsia" w:ascii="宋体" w:hAnsi="宋体"/>
                <w:kern w:val="0"/>
                <w:szCs w:val="21"/>
                <w:lang w:eastAsia="zh-CN"/>
              </w:rPr>
              <w:t>比选</w:t>
            </w:r>
            <w:r>
              <w:rPr>
                <w:rFonts w:ascii="宋体" w:hAnsi="宋体"/>
                <w:kern w:val="0"/>
                <w:szCs w:val="21"/>
              </w:rPr>
              <w:t>文件进行</w:t>
            </w:r>
            <w:r>
              <w:rPr>
                <w:rFonts w:hint="eastAsia" w:ascii="宋体" w:hAnsi="宋体"/>
                <w:kern w:val="0"/>
                <w:szCs w:val="21"/>
              </w:rPr>
              <w:t>修改</w:t>
            </w:r>
            <w:r>
              <w:rPr>
                <w:rFonts w:ascii="宋体" w:hAnsi="宋体"/>
                <w:kern w:val="0"/>
                <w:szCs w:val="21"/>
              </w:rPr>
              <w:t>的时间</w:t>
            </w:r>
          </w:p>
        </w:tc>
        <w:tc>
          <w:tcPr>
            <w:tcW w:w="6683" w:type="dxa"/>
            <w:vAlign w:val="center"/>
          </w:tcPr>
          <w:p w14:paraId="1321CC71">
            <w:pPr>
              <w:snapToGrid w:val="0"/>
              <w:spacing w:line="400" w:lineRule="exact"/>
              <w:ind w:firstLine="420" w:firstLineChars="200"/>
              <w:rPr>
                <w:rFonts w:ascii="宋体" w:hAnsi="宋体"/>
                <w:szCs w:val="21"/>
              </w:rPr>
            </w:pPr>
            <w:r>
              <w:rPr>
                <w:rFonts w:hint="eastAsia" w:ascii="宋体" w:hAnsi="宋体"/>
                <w:snapToGrid w:val="0"/>
                <w:color w:val="000000" w:themeColor="text1"/>
                <w:kern w:val="0"/>
                <w:szCs w:val="21"/>
                <w:highlight w:val="none"/>
                <w14:textFill>
                  <w14:solidFill>
                    <w14:schemeClr w14:val="tx1"/>
                  </w14:solidFill>
                </w14:textFill>
              </w:rPr>
              <w:t>修改</w:t>
            </w:r>
            <w:r>
              <w:rPr>
                <w:rFonts w:ascii="宋体" w:hAnsi="宋体"/>
                <w:snapToGrid w:val="0"/>
                <w:color w:val="000000" w:themeColor="text1"/>
                <w:kern w:val="0"/>
                <w:szCs w:val="21"/>
                <w:highlight w:val="none"/>
                <w14:textFill>
                  <w14:solidFill>
                    <w14:schemeClr w14:val="tx1"/>
                  </w14:solidFill>
                </w14:textFill>
              </w:rPr>
              <w:t>内容可能影响</w:t>
            </w:r>
            <w:r>
              <w:rPr>
                <w:rFonts w:hint="eastAsia" w:ascii="宋体" w:hAnsi="宋体"/>
                <w:snapToGrid w:val="0"/>
                <w:color w:val="000000" w:themeColor="text1"/>
                <w:kern w:val="0"/>
                <w:szCs w:val="21"/>
                <w:highlight w:val="none"/>
                <w:lang w:eastAsia="zh-CN"/>
                <w14:textFill>
                  <w14:solidFill>
                    <w14:schemeClr w14:val="tx1"/>
                  </w14:solidFill>
                </w14:textFill>
              </w:rPr>
              <w:t>竞选</w:t>
            </w:r>
            <w:r>
              <w:rPr>
                <w:rFonts w:ascii="宋体" w:hAnsi="宋体"/>
                <w:snapToGrid w:val="0"/>
                <w:color w:val="000000" w:themeColor="text1"/>
                <w:kern w:val="0"/>
                <w:szCs w:val="21"/>
                <w:highlight w:val="none"/>
                <w14:textFill>
                  <w14:solidFill>
                    <w14:schemeClr w14:val="tx1"/>
                  </w14:solidFill>
                </w14:textFill>
              </w:rPr>
              <w:t>文件编制的，须在</w:t>
            </w:r>
            <w:r>
              <w:rPr>
                <w:rFonts w:hint="eastAsia" w:ascii="宋体" w:hAnsi="宋体"/>
                <w:snapToGrid w:val="0"/>
                <w:color w:val="000000" w:themeColor="text1"/>
                <w:kern w:val="0"/>
                <w:szCs w:val="21"/>
                <w:highlight w:val="none"/>
                <w:lang w:eastAsia="zh-CN"/>
                <w14:textFill>
                  <w14:solidFill>
                    <w14:schemeClr w14:val="tx1"/>
                  </w14:solidFill>
                </w14:textFill>
              </w:rPr>
              <w:t>竞选</w:t>
            </w:r>
            <w:r>
              <w:rPr>
                <w:rFonts w:ascii="宋体" w:hAnsi="宋体"/>
                <w:snapToGrid w:val="0"/>
                <w:color w:val="000000" w:themeColor="text1"/>
                <w:kern w:val="0"/>
                <w:szCs w:val="21"/>
                <w:highlight w:val="none"/>
                <w14:textFill>
                  <w14:solidFill>
                    <w14:schemeClr w14:val="tx1"/>
                  </w14:solidFill>
                </w14:textFill>
              </w:rPr>
              <w:t>截止时间15日前发布，发布时间至</w:t>
            </w:r>
            <w:r>
              <w:rPr>
                <w:rFonts w:hint="eastAsia" w:ascii="宋体" w:hAnsi="宋体"/>
                <w:snapToGrid w:val="0"/>
                <w:color w:val="000000" w:themeColor="text1"/>
                <w:kern w:val="0"/>
                <w:szCs w:val="21"/>
                <w:highlight w:val="none"/>
                <w:lang w:eastAsia="zh-CN"/>
                <w14:textFill>
                  <w14:solidFill>
                    <w14:schemeClr w14:val="tx1"/>
                  </w14:solidFill>
                </w14:textFill>
              </w:rPr>
              <w:t>竞选</w:t>
            </w:r>
            <w:r>
              <w:rPr>
                <w:rFonts w:ascii="宋体" w:hAnsi="宋体"/>
                <w:snapToGrid w:val="0"/>
                <w:color w:val="000000" w:themeColor="text1"/>
                <w:kern w:val="0"/>
                <w:szCs w:val="21"/>
                <w:highlight w:val="none"/>
                <w14:textFill>
                  <w14:solidFill>
                    <w14:schemeClr w14:val="tx1"/>
                  </w14:solidFill>
                </w14:textFill>
              </w:rPr>
              <w:t>截止时间不足15日的，须相应延后</w:t>
            </w:r>
            <w:r>
              <w:rPr>
                <w:rFonts w:hint="eastAsia" w:ascii="宋体" w:hAnsi="宋体"/>
                <w:snapToGrid w:val="0"/>
                <w:color w:val="000000" w:themeColor="text1"/>
                <w:kern w:val="0"/>
                <w:szCs w:val="21"/>
                <w:highlight w:val="none"/>
                <w:lang w:eastAsia="zh-CN"/>
                <w14:textFill>
                  <w14:solidFill>
                    <w14:schemeClr w14:val="tx1"/>
                  </w14:solidFill>
                </w14:textFill>
              </w:rPr>
              <w:t>竞选</w:t>
            </w:r>
            <w:r>
              <w:rPr>
                <w:rFonts w:ascii="宋体" w:hAnsi="宋体"/>
                <w:snapToGrid w:val="0"/>
                <w:color w:val="000000" w:themeColor="text1"/>
                <w:kern w:val="0"/>
                <w:szCs w:val="21"/>
                <w:highlight w:val="none"/>
                <w14:textFill>
                  <w14:solidFill>
                    <w14:schemeClr w14:val="tx1"/>
                  </w14:solidFill>
                </w14:textFill>
              </w:rPr>
              <w:t>截止时间。</w:t>
            </w:r>
          </w:p>
        </w:tc>
      </w:tr>
      <w:tr w14:paraId="0A107C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EE605DB">
            <w:pPr>
              <w:snapToGrid w:val="0"/>
              <w:spacing w:line="400" w:lineRule="exact"/>
              <w:jc w:val="center"/>
              <w:rPr>
                <w:rFonts w:ascii="宋体" w:hAnsi="宋体"/>
                <w:kern w:val="0"/>
                <w:szCs w:val="21"/>
              </w:rPr>
            </w:pPr>
            <w:r>
              <w:rPr>
                <w:rFonts w:ascii="宋体" w:hAnsi="宋体"/>
                <w:kern w:val="0"/>
                <w:szCs w:val="21"/>
              </w:rPr>
              <w:t>2.2.4</w:t>
            </w:r>
          </w:p>
        </w:tc>
        <w:tc>
          <w:tcPr>
            <w:tcW w:w="1451" w:type="dxa"/>
            <w:vAlign w:val="center"/>
          </w:tcPr>
          <w:p w14:paraId="1E6D631D">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人对</w:t>
            </w:r>
            <w:r>
              <w:rPr>
                <w:rFonts w:hint="eastAsia" w:ascii="宋体" w:hAnsi="宋体"/>
                <w:kern w:val="0"/>
                <w:szCs w:val="21"/>
                <w:lang w:eastAsia="zh-CN"/>
              </w:rPr>
              <w:t>比选</w:t>
            </w:r>
            <w:r>
              <w:rPr>
                <w:rFonts w:ascii="宋体" w:hAnsi="宋体"/>
                <w:kern w:val="0"/>
                <w:szCs w:val="21"/>
              </w:rPr>
              <w:t>文件及澄清修改提出异议的截止时间</w:t>
            </w:r>
          </w:p>
        </w:tc>
        <w:tc>
          <w:tcPr>
            <w:tcW w:w="6683" w:type="dxa"/>
            <w:vAlign w:val="center"/>
          </w:tcPr>
          <w:p w14:paraId="1C9C053C">
            <w:pPr>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p>
        </w:tc>
      </w:tr>
      <w:tr w14:paraId="164B4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6BF865F">
            <w:pPr>
              <w:snapToGrid w:val="0"/>
              <w:spacing w:line="400" w:lineRule="exact"/>
              <w:jc w:val="center"/>
              <w:rPr>
                <w:rFonts w:ascii="宋体" w:hAnsi="宋体"/>
                <w:kern w:val="0"/>
                <w:szCs w:val="21"/>
              </w:rPr>
            </w:pPr>
            <w:r>
              <w:rPr>
                <w:rFonts w:ascii="宋体" w:hAnsi="宋体"/>
                <w:kern w:val="0"/>
                <w:szCs w:val="21"/>
              </w:rPr>
              <w:t>3.1.1</w:t>
            </w:r>
          </w:p>
        </w:tc>
        <w:tc>
          <w:tcPr>
            <w:tcW w:w="1451" w:type="dxa"/>
            <w:vAlign w:val="center"/>
          </w:tcPr>
          <w:p w14:paraId="573FDEF0">
            <w:pPr>
              <w:snapToGrid w:val="0"/>
              <w:spacing w:after="31" w:afterLines="10" w:line="400" w:lineRule="exact"/>
              <w:jc w:val="center"/>
              <w:rPr>
                <w:rFonts w:ascii="宋体" w:hAnsi="宋体"/>
                <w:kern w:val="0"/>
                <w:szCs w:val="21"/>
              </w:rPr>
            </w:pPr>
            <w:r>
              <w:rPr>
                <w:rFonts w:ascii="宋体" w:hAnsi="宋体"/>
                <w:kern w:val="0"/>
                <w:szCs w:val="21"/>
              </w:rPr>
              <w:t>构成</w:t>
            </w:r>
            <w:r>
              <w:rPr>
                <w:rFonts w:hint="eastAsia" w:ascii="宋体" w:hAnsi="宋体"/>
                <w:kern w:val="0"/>
                <w:szCs w:val="21"/>
                <w:lang w:eastAsia="zh-CN"/>
              </w:rPr>
              <w:t>竞选</w:t>
            </w:r>
            <w:r>
              <w:rPr>
                <w:rFonts w:ascii="宋体" w:hAnsi="宋体"/>
                <w:kern w:val="0"/>
                <w:szCs w:val="21"/>
              </w:rPr>
              <w:t>文件的其他材料</w:t>
            </w:r>
          </w:p>
        </w:tc>
        <w:tc>
          <w:tcPr>
            <w:tcW w:w="6683" w:type="dxa"/>
            <w:vAlign w:val="center"/>
          </w:tcPr>
          <w:p w14:paraId="0688FBC2">
            <w:pPr>
              <w:snapToGrid w:val="0"/>
              <w:spacing w:line="400" w:lineRule="exact"/>
              <w:ind w:firstLine="420" w:firstLineChars="200"/>
              <w:rPr>
                <w:rFonts w:ascii="宋体" w:hAnsi="宋体"/>
                <w:szCs w:val="21"/>
              </w:rPr>
            </w:pPr>
            <w:r>
              <w:rPr>
                <w:rFonts w:hint="eastAsia" w:ascii="宋体" w:hAnsi="宋体"/>
                <w:szCs w:val="21"/>
                <w:lang w:eastAsia="zh-CN"/>
              </w:rPr>
              <w:t>竞选</w:t>
            </w:r>
            <w:r>
              <w:rPr>
                <w:rFonts w:ascii="宋体" w:hAnsi="宋体"/>
                <w:szCs w:val="21"/>
              </w:rPr>
              <w:t>人的书面澄清、说明和补正（但不得改变</w:t>
            </w:r>
            <w:r>
              <w:rPr>
                <w:rFonts w:hint="eastAsia" w:ascii="宋体" w:hAnsi="宋体"/>
                <w:szCs w:val="21"/>
                <w:lang w:eastAsia="zh-CN"/>
              </w:rPr>
              <w:t>竞选</w:t>
            </w:r>
            <w:r>
              <w:rPr>
                <w:rFonts w:ascii="宋体" w:hAnsi="宋体"/>
                <w:szCs w:val="21"/>
              </w:rPr>
              <w:t>文件的实质性内容）</w:t>
            </w:r>
          </w:p>
        </w:tc>
      </w:tr>
      <w:tr w14:paraId="4D186C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23797F6">
            <w:pPr>
              <w:snapToGrid w:val="0"/>
              <w:spacing w:line="400" w:lineRule="exact"/>
              <w:jc w:val="center"/>
              <w:rPr>
                <w:rFonts w:hint="eastAsia" w:ascii="宋体" w:hAnsi="宋体"/>
                <w:kern w:val="0"/>
                <w:szCs w:val="21"/>
              </w:rPr>
            </w:pPr>
          </w:p>
          <w:p w14:paraId="4F6B2680">
            <w:pPr>
              <w:snapToGrid w:val="0"/>
              <w:spacing w:line="400" w:lineRule="exact"/>
              <w:jc w:val="center"/>
              <w:rPr>
                <w:rFonts w:hint="eastAsia" w:ascii="宋体" w:hAnsi="宋体"/>
                <w:kern w:val="0"/>
                <w:szCs w:val="21"/>
              </w:rPr>
            </w:pPr>
          </w:p>
          <w:p w14:paraId="6CBBA812">
            <w:pPr>
              <w:snapToGrid w:val="0"/>
              <w:spacing w:line="400" w:lineRule="exact"/>
              <w:jc w:val="center"/>
              <w:rPr>
                <w:rFonts w:hint="eastAsia" w:ascii="宋体" w:hAnsi="宋体"/>
                <w:kern w:val="0"/>
                <w:szCs w:val="21"/>
              </w:rPr>
            </w:pPr>
          </w:p>
          <w:p w14:paraId="14FB623D">
            <w:pPr>
              <w:snapToGrid w:val="0"/>
              <w:spacing w:line="400" w:lineRule="exact"/>
              <w:jc w:val="center"/>
              <w:rPr>
                <w:rFonts w:hint="eastAsia" w:ascii="宋体" w:hAnsi="宋体"/>
                <w:kern w:val="0"/>
                <w:szCs w:val="21"/>
              </w:rPr>
            </w:pPr>
          </w:p>
          <w:p w14:paraId="569C38E1">
            <w:pPr>
              <w:snapToGrid w:val="0"/>
              <w:spacing w:line="400" w:lineRule="exact"/>
              <w:jc w:val="center"/>
              <w:rPr>
                <w:rFonts w:hint="eastAsia" w:ascii="宋体" w:hAnsi="宋体"/>
                <w:kern w:val="0"/>
                <w:szCs w:val="21"/>
              </w:rPr>
            </w:pPr>
          </w:p>
          <w:p w14:paraId="725341F0">
            <w:pPr>
              <w:snapToGrid w:val="0"/>
              <w:spacing w:line="400" w:lineRule="exact"/>
              <w:jc w:val="center"/>
              <w:rPr>
                <w:rFonts w:hint="eastAsia" w:ascii="宋体" w:hAnsi="宋体"/>
                <w:kern w:val="0"/>
                <w:szCs w:val="21"/>
              </w:rPr>
            </w:pPr>
          </w:p>
          <w:p w14:paraId="44A7FF22">
            <w:pPr>
              <w:snapToGrid w:val="0"/>
              <w:spacing w:line="400" w:lineRule="exact"/>
              <w:jc w:val="center"/>
              <w:rPr>
                <w:rFonts w:hint="eastAsia" w:ascii="宋体" w:hAnsi="宋体"/>
                <w:kern w:val="0"/>
                <w:szCs w:val="21"/>
              </w:rPr>
            </w:pPr>
          </w:p>
          <w:p w14:paraId="13BA9173">
            <w:pPr>
              <w:snapToGrid w:val="0"/>
              <w:spacing w:line="400" w:lineRule="exact"/>
              <w:jc w:val="center"/>
              <w:rPr>
                <w:rFonts w:hint="eastAsia" w:ascii="宋体" w:hAnsi="宋体"/>
                <w:kern w:val="0"/>
                <w:szCs w:val="21"/>
              </w:rPr>
            </w:pPr>
          </w:p>
          <w:p w14:paraId="3955F2D7">
            <w:pPr>
              <w:snapToGrid w:val="0"/>
              <w:spacing w:line="400" w:lineRule="exact"/>
              <w:jc w:val="center"/>
              <w:rPr>
                <w:rFonts w:hint="eastAsia" w:ascii="宋体" w:hAnsi="宋体"/>
                <w:kern w:val="0"/>
                <w:szCs w:val="21"/>
              </w:rPr>
            </w:pPr>
          </w:p>
          <w:p w14:paraId="20158CE6">
            <w:pPr>
              <w:snapToGrid w:val="0"/>
              <w:spacing w:line="400" w:lineRule="exact"/>
              <w:jc w:val="center"/>
              <w:rPr>
                <w:rFonts w:hint="eastAsia" w:ascii="宋体" w:hAnsi="宋体"/>
                <w:kern w:val="0"/>
                <w:szCs w:val="21"/>
              </w:rPr>
            </w:pPr>
          </w:p>
          <w:p w14:paraId="6F558C1D">
            <w:pPr>
              <w:snapToGrid w:val="0"/>
              <w:spacing w:line="400" w:lineRule="exact"/>
              <w:jc w:val="center"/>
              <w:rPr>
                <w:rFonts w:hint="eastAsia" w:ascii="宋体" w:hAnsi="宋体"/>
                <w:kern w:val="0"/>
                <w:szCs w:val="21"/>
              </w:rPr>
            </w:pPr>
          </w:p>
          <w:p w14:paraId="1459981D">
            <w:pPr>
              <w:snapToGrid w:val="0"/>
              <w:spacing w:line="400" w:lineRule="exact"/>
              <w:jc w:val="center"/>
              <w:rPr>
                <w:rFonts w:hint="eastAsia" w:ascii="宋体" w:hAnsi="宋体"/>
                <w:kern w:val="0"/>
                <w:szCs w:val="21"/>
              </w:rPr>
            </w:pPr>
          </w:p>
          <w:p w14:paraId="7963C93B">
            <w:pPr>
              <w:snapToGrid w:val="0"/>
              <w:spacing w:line="400" w:lineRule="exact"/>
              <w:jc w:val="center"/>
              <w:rPr>
                <w:rFonts w:hint="eastAsia" w:ascii="宋体" w:hAnsi="宋体"/>
                <w:kern w:val="0"/>
                <w:szCs w:val="21"/>
              </w:rPr>
            </w:pPr>
          </w:p>
          <w:p w14:paraId="278D1CC0">
            <w:pPr>
              <w:snapToGrid w:val="0"/>
              <w:spacing w:line="400" w:lineRule="exact"/>
              <w:jc w:val="center"/>
              <w:rPr>
                <w:rFonts w:hint="eastAsia" w:ascii="宋体" w:hAnsi="宋体"/>
                <w:kern w:val="0"/>
                <w:szCs w:val="21"/>
              </w:rPr>
            </w:pPr>
          </w:p>
          <w:p w14:paraId="314373D1">
            <w:pPr>
              <w:snapToGrid w:val="0"/>
              <w:spacing w:line="400" w:lineRule="exact"/>
              <w:jc w:val="center"/>
              <w:rPr>
                <w:rFonts w:hint="eastAsia" w:ascii="宋体" w:hAnsi="宋体"/>
                <w:kern w:val="0"/>
                <w:szCs w:val="21"/>
              </w:rPr>
            </w:pPr>
          </w:p>
          <w:p w14:paraId="6667C8E4">
            <w:pPr>
              <w:snapToGrid w:val="0"/>
              <w:spacing w:line="400" w:lineRule="exact"/>
              <w:jc w:val="center"/>
              <w:rPr>
                <w:rFonts w:hint="eastAsia" w:ascii="宋体" w:hAnsi="宋体"/>
                <w:kern w:val="0"/>
                <w:szCs w:val="21"/>
              </w:rPr>
            </w:pPr>
          </w:p>
          <w:p w14:paraId="3E90E8E7">
            <w:pPr>
              <w:snapToGrid w:val="0"/>
              <w:spacing w:line="400" w:lineRule="exact"/>
              <w:jc w:val="center"/>
              <w:rPr>
                <w:rFonts w:hint="eastAsia" w:ascii="宋体" w:hAnsi="宋体"/>
                <w:kern w:val="0"/>
                <w:szCs w:val="21"/>
              </w:rPr>
            </w:pPr>
          </w:p>
          <w:p w14:paraId="5D29585B">
            <w:pPr>
              <w:snapToGrid w:val="0"/>
              <w:spacing w:line="400" w:lineRule="exact"/>
              <w:jc w:val="center"/>
              <w:rPr>
                <w:rFonts w:hint="eastAsia" w:ascii="宋体" w:hAnsi="宋体"/>
                <w:kern w:val="0"/>
                <w:szCs w:val="21"/>
              </w:rPr>
            </w:pPr>
          </w:p>
          <w:p w14:paraId="410D7BE6">
            <w:pPr>
              <w:snapToGrid w:val="0"/>
              <w:spacing w:line="400" w:lineRule="exact"/>
              <w:jc w:val="center"/>
              <w:rPr>
                <w:rFonts w:hint="eastAsia" w:ascii="宋体" w:hAnsi="宋体"/>
                <w:kern w:val="0"/>
                <w:szCs w:val="21"/>
              </w:rPr>
            </w:pPr>
          </w:p>
          <w:p w14:paraId="31798BB1">
            <w:pPr>
              <w:snapToGrid w:val="0"/>
              <w:spacing w:line="400" w:lineRule="exact"/>
              <w:jc w:val="center"/>
              <w:rPr>
                <w:rFonts w:hint="eastAsia" w:ascii="宋体" w:hAnsi="宋体"/>
                <w:kern w:val="0"/>
                <w:szCs w:val="21"/>
              </w:rPr>
            </w:pPr>
          </w:p>
          <w:p w14:paraId="51C8F4B9">
            <w:pPr>
              <w:snapToGrid w:val="0"/>
              <w:spacing w:line="400" w:lineRule="exact"/>
              <w:jc w:val="center"/>
              <w:rPr>
                <w:rFonts w:hint="eastAsia" w:ascii="宋体" w:hAnsi="宋体"/>
                <w:kern w:val="0"/>
                <w:szCs w:val="21"/>
              </w:rPr>
            </w:pPr>
          </w:p>
          <w:p w14:paraId="71384028">
            <w:pPr>
              <w:snapToGrid w:val="0"/>
              <w:spacing w:line="400" w:lineRule="exact"/>
              <w:jc w:val="center"/>
              <w:rPr>
                <w:rFonts w:hint="eastAsia" w:ascii="宋体" w:hAnsi="宋体"/>
                <w:kern w:val="0"/>
                <w:szCs w:val="21"/>
              </w:rPr>
            </w:pPr>
          </w:p>
          <w:p w14:paraId="1F87A1AC">
            <w:pPr>
              <w:snapToGrid w:val="0"/>
              <w:spacing w:line="400" w:lineRule="exact"/>
              <w:jc w:val="center"/>
              <w:rPr>
                <w:rFonts w:hint="eastAsia" w:ascii="宋体" w:hAnsi="宋体"/>
                <w:kern w:val="0"/>
                <w:szCs w:val="21"/>
              </w:rPr>
            </w:pPr>
          </w:p>
          <w:p w14:paraId="0213D280">
            <w:pPr>
              <w:snapToGrid w:val="0"/>
              <w:spacing w:line="400" w:lineRule="exact"/>
              <w:jc w:val="center"/>
              <w:rPr>
                <w:rFonts w:ascii="宋体" w:hAnsi="宋体"/>
                <w:kern w:val="0"/>
                <w:szCs w:val="21"/>
              </w:rPr>
            </w:pPr>
            <w:r>
              <w:rPr>
                <w:rFonts w:hint="eastAsia" w:ascii="宋体" w:hAnsi="宋体"/>
                <w:kern w:val="0"/>
                <w:szCs w:val="21"/>
              </w:rPr>
              <w:t>3.2</w:t>
            </w:r>
          </w:p>
        </w:tc>
        <w:tc>
          <w:tcPr>
            <w:tcW w:w="1451" w:type="dxa"/>
            <w:vAlign w:val="center"/>
          </w:tcPr>
          <w:p w14:paraId="21F2CF4D">
            <w:pPr>
              <w:snapToGrid w:val="0"/>
              <w:spacing w:line="400" w:lineRule="exact"/>
              <w:jc w:val="center"/>
              <w:rPr>
                <w:rFonts w:ascii="宋体" w:hAnsi="宋体"/>
                <w:kern w:val="0"/>
                <w:szCs w:val="21"/>
                <w:highlight w:val="none"/>
              </w:rPr>
            </w:pPr>
          </w:p>
          <w:p w14:paraId="6805A4F6">
            <w:pPr>
              <w:snapToGrid w:val="0"/>
              <w:spacing w:line="400" w:lineRule="exact"/>
              <w:jc w:val="center"/>
              <w:rPr>
                <w:rFonts w:ascii="宋体" w:hAnsi="宋体"/>
                <w:kern w:val="0"/>
                <w:szCs w:val="21"/>
                <w:highlight w:val="none"/>
              </w:rPr>
            </w:pPr>
          </w:p>
          <w:p w14:paraId="009E7182">
            <w:pPr>
              <w:snapToGrid w:val="0"/>
              <w:spacing w:line="400" w:lineRule="exact"/>
              <w:jc w:val="center"/>
              <w:rPr>
                <w:rFonts w:ascii="宋体" w:hAnsi="宋体"/>
                <w:kern w:val="0"/>
                <w:szCs w:val="21"/>
                <w:highlight w:val="none"/>
              </w:rPr>
            </w:pPr>
          </w:p>
          <w:p w14:paraId="626283EE">
            <w:pPr>
              <w:snapToGrid w:val="0"/>
              <w:spacing w:line="400" w:lineRule="exact"/>
              <w:jc w:val="center"/>
              <w:rPr>
                <w:rFonts w:ascii="宋体" w:hAnsi="宋体"/>
                <w:kern w:val="0"/>
                <w:szCs w:val="21"/>
                <w:highlight w:val="none"/>
              </w:rPr>
            </w:pPr>
          </w:p>
          <w:p w14:paraId="51F48215">
            <w:pPr>
              <w:snapToGrid w:val="0"/>
              <w:spacing w:line="400" w:lineRule="exact"/>
              <w:jc w:val="center"/>
              <w:rPr>
                <w:rFonts w:ascii="宋体" w:hAnsi="宋体"/>
                <w:kern w:val="0"/>
                <w:szCs w:val="21"/>
                <w:highlight w:val="none"/>
              </w:rPr>
            </w:pPr>
          </w:p>
          <w:p w14:paraId="5C20D3BD">
            <w:pPr>
              <w:snapToGrid w:val="0"/>
              <w:spacing w:line="400" w:lineRule="exact"/>
              <w:jc w:val="center"/>
              <w:rPr>
                <w:rFonts w:ascii="宋体" w:hAnsi="宋体"/>
                <w:kern w:val="0"/>
                <w:szCs w:val="21"/>
                <w:highlight w:val="none"/>
              </w:rPr>
            </w:pPr>
          </w:p>
          <w:p w14:paraId="4EDF5C32">
            <w:pPr>
              <w:snapToGrid w:val="0"/>
              <w:spacing w:line="400" w:lineRule="exact"/>
              <w:jc w:val="center"/>
              <w:rPr>
                <w:rFonts w:ascii="宋体" w:hAnsi="宋体"/>
                <w:kern w:val="0"/>
                <w:szCs w:val="21"/>
                <w:highlight w:val="none"/>
              </w:rPr>
            </w:pPr>
          </w:p>
          <w:p w14:paraId="7B1A784C">
            <w:pPr>
              <w:snapToGrid w:val="0"/>
              <w:spacing w:line="400" w:lineRule="exact"/>
              <w:jc w:val="center"/>
              <w:rPr>
                <w:rFonts w:ascii="宋体" w:hAnsi="宋体"/>
                <w:kern w:val="0"/>
                <w:szCs w:val="21"/>
                <w:highlight w:val="none"/>
              </w:rPr>
            </w:pPr>
          </w:p>
          <w:p w14:paraId="61A67F74">
            <w:pPr>
              <w:snapToGrid w:val="0"/>
              <w:spacing w:line="400" w:lineRule="exact"/>
              <w:jc w:val="center"/>
              <w:rPr>
                <w:rFonts w:ascii="宋体" w:hAnsi="宋体"/>
                <w:kern w:val="0"/>
                <w:szCs w:val="21"/>
                <w:highlight w:val="none"/>
              </w:rPr>
            </w:pPr>
          </w:p>
          <w:p w14:paraId="0C0D203C">
            <w:pPr>
              <w:snapToGrid w:val="0"/>
              <w:spacing w:line="400" w:lineRule="exact"/>
              <w:jc w:val="center"/>
              <w:rPr>
                <w:rFonts w:ascii="宋体" w:hAnsi="宋体"/>
                <w:kern w:val="0"/>
                <w:szCs w:val="21"/>
                <w:highlight w:val="none"/>
              </w:rPr>
            </w:pPr>
          </w:p>
          <w:p w14:paraId="17A21E31">
            <w:pPr>
              <w:snapToGrid w:val="0"/>
              <w:spacing w:line="400" w:lineRule="exact"/>
              <w:jc w:val="center"/>
              <w:rPr>
                <w:rFonts w:ascii="宋体" w:hAnsi="宋体"/>
                <w:kern w:val="0"/>
                <w:szCs w:val="21"/>
                <w:highlight w:val="none"/>
              </w:rPr>
            </w:pPr>
          </w:p>
          <w:p w14:paraId="5846174A">
            <w:pPr>
              <w:snapToGrid w:val="0"/>
              <w:spacing w:line="400" w:lineRule="exact"/>
              <w:jc w:val="center"/>
              <w:rPr>
                <w:rFonts w:ascii="宋体" w:hAnsi="宋体"/>
                <w:kern w:val="0"/>
                <w:szCs w:val="21"/>
                <w:highlight w:val="none"/>
              </w:rPr>
            </w:pPr>
          </w:p>
          <w:p w14:paraId="752F1B92">
            <w:pPr>
              <w:snapToGrid w:val="0"/>
              <w:spacing w:line="400" w:lineRule="exact"/>
              <w:jc w:val="center"/>
              <w:rPr>
                <w:rFonts w:ascii="宋体" w:hAnsi="宋体"/>
                <w:kern w:val="0"/>
                <w:szCs w:val="21"/>
                <w:highlight w:val="none"/>
              </w:rPr>
            </w:pPr>
          </w:p>
          <w:p w14:paraId="5344B8FD">
            <w:pPr>
              <w:snapToGrid w:val="0"/>
              <w:spacing w:line="400" w:lineRule="exact"/>
              <w:jc w:val="center"/>
              <w:rPr>
                <w:rFonts w:ascii="宋体" w:hAnsi="宋体"/>
                <w:kern w:val="0"/>
                <w:szCs w:val="21"/>
                <w:highlight w:val="none"/>
              </w:rPr>
            </w:pPr>
          </w:p>
          <w:p w14:paraId="1086BB5F">
            <w:pPr>
              <w:snapToGrid w:val="0"/>
              <w:spacing w:line="400" w:lineRule="exact"/>
              <w:jc w:val="center"/>
              <w:rPr>
                <w:rFonts w:ascii="宋体" w:hAnsi="宋体"/>
                <w:kern w:val="0"/>
                <w:szCs w:val="21"/>
                <w:highlight w:val="none"/>
              </w:rPr>
            </w:pPr>
          </w:p>
          <w:p w14:paraId="01E472BD">
            <w:pPr>
              <w:snapToGrid w:val="0"/>
              <w:spacing w:line="400" w:lineRule="exact"/>
              <w:jc w:val="center"/>
              <w:rPr>
                <w:rFonts w:ascii="宋体" w:hAnsi="宋体"/>
                <w:kern w:val="0"/>
                <w:szCs w:val="21"/>
                <w:highlight w:val="none"/>
              </w:rPr>
            </w:pPr>
          </w:p>
          <w:p w14:paraId="4B1D0892">
            <w:pPr>
              <w:snapToGrid w:val="0"/>
              <w:spacing w:line="400" w:lineRule="exact"/>
              <w:jc w:val="center"/>
              <w:rPr>
                <w:rFonts w:ascii="宋体" w:hAnsi="宋体"/>
                <w:kern w:val="0"/>
                <w:szCs w:val="21"/>
                <w:highlight w:val="none"/>
              </w:rPr>
            </w:pPr>
          </w:p>
          <w:p w14:paraId="3D0C0B41">
            <w:pPr>
              <w:snapToGrid w:val="0"/>
              <w:spacing w:line="400" w:lineRule="exact"/>
              <w:jc w:val="center"/>
              <w:rPr>
                <w:rFonts w:ascii="宋体" w:hAnsi="宋体"/>
                <w:kern w:val="0"/>
                <w:szCs w:val="21"/>
                <w:highlight w:val="none"/>
              </w:rPr>
            </w:pPr>
          </w:p>
          <w:p w14:paraId="2EFF33A3">
            <w:pPr>
              <w:snapToGrid w:val="0"/>
              <w:spacing w:line="400" w:lineRule="exact"/>
              <w:jc w:val="center"/>
              <w:rPr>
                <w:rFonts w:ascii="宋体" w:hAnsi="宋体"/>
                <w:kern w:val="0"/>
                <w:szCs w:val="21"/>
                <w:highlight w:val="none"/>
              </w:rPr>
            </w:pPr>
          </w:p>
          <w:p w14:paraId="6FBD05CB">
            <w:pPr>
              <w:snapToGrid w:val="0"/>
              <w:spacing w:line="400" w:lineRule="exact"/>
              <w:jc w:val="center"/>
              <w:rPr>
                <w:rFonts w:ascii="宋体" w:hAnsi="宋体"/>
                <w:kern w:val="0"/>
                <w:szCs w:val="21"/>
                <w:highlight w:val="none"/>
              </w:rPr>
            </w:pPr>
          </w:p>
          <w:p w14:paraId="1C494896">
            <w:pPr>
              <w:snapToGrid w:val="0"/>
              <w:spacing w:line="400" w:lineRule="exact"/>
              <w:jc w:val="center"/>
              <w:rPr>
                <w:rFonts w:ascii="宋体" w:hAnsi="宋体"/>
                <w:kern w:val="0"/>
                <w:szCs w:val="21"/>
                <w:highlight w:val="none"/>
              </w:rPr>
            </w:pPr>
          </w:p>
          <w:p w14:paraId="41C3744F">
            <w:pPr>
              <w:snapToGrid w:val="0"/>
              <w:spacing w:line="400" w:lineRule="exact"/>
              <w:jc w:val="center"/>
              <w:rPr>
                <w:rFonts w:ascii="宋体" w:hAnsi="宋体"/>
                <w:kern w:val="0"/>
                <w:szCs w:val="21"/>
                <w:highlight w:val="none"/>
              </w:rPr>
            </w:pPr>
          </w:p>
          <w:p w14:paraId="7EF7EA23">
            <w:pPr>
              <w:snapToGrid w:val="0"/>
              <w:spacing w:line="400" w:lineRule="exact"/>
              <w:jc w:val="center"/>
              <w:rPr>
                <w:rFonts w:ascii="宋体" w:hAnsi="宋体"/>
                <w:kern w:val="0"/>
                <w:szCs w:val="21"/>
                <w:highlight w:val="none"/>
              </w:rPr>
            </w:pPr>
          </w:p>
          <w:p w14:paraId="775DC056">
            <w:pPr>
              <w:snapToGrid w:val="0"/>
              <w:spacing w:line="400" w:lineRule="exact"/>
              <w:jc w:val="center"/>
              <w:rPr>
                <w:rFonts w:ascii="宋体" w:hAnsi="宋体"/>
                <w:kern w:val="0"/>
                <w:szCs w:val="21"/>
              </w:rPr>
            </w:pPr>
            <w:r>
              <w:rPr>
                <w:rFonts w:hint="eastAsia" w:ascii="宋体" w:hAnsi="宋体"/>
                <w:kern w:val="0"/>
                <w:szCs w:val="21"/>
                <w:highlight w:val="none"/>
                <w:lang w:eastAsia="zh-CN"/>
              </w:rPr>
              <w:t>竞选</w:t>
            </w:r>
            <w:r>
              <w:rPr>
                <w:rFonts w:ascii="宋体" w:hAnsi="宋体"/>
                <w:kern w:val="0"/>
                <w:szCs w:val="21"/>
                <w:highlight w:val="none"/>
              </w:rPr>
              <w:t>报价</w:t>
            </w:r>
          </w:p>
        </w:tc>
        <w:tc>
          <w:tcPr>
            <w:tcW w:w="6683" w:type="dxa"/>
            <w:vAlign w:val="center"/>
          </w:tcPr>
          <w:p w14:paraId="0BFAB35B">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本项目报价范围同比选范围，竞选人的报价应是本章竞选人须知附表1.3.1项中所述的本项目比选范围内的全部工作内容的报价。</w:t>
            </w:r>
          </w:p>
          <w:p w14:paraId="2BBF7104">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本项目竞选报价方式为比选范围内全费用</w:t>
            </w:r>
            <w:r>
              <w:rPr>
                <w:rFonts w:hint="eastAsia" w:ascii="宋体" w:hAnsi="宋体" w:cs="宋体"/>
                <w:color w:val="000000" w:themeColor="text1"/>
                <w:szCs w:val="21"/>
                <w:highlight w:val="none"/>
                <w:lang w:val="en-US" w:eastAsia="zh-CN"/>
                <w14:textFill>
                  <w14:solidFill>
                    <w14:schemeClr w14:val="tx1"/>
                  </w14:solidFill>
                </w14:textFill>
              </w:rPr>
              <w:t>综合</w:t>
            </w:r>
            <w:r>
              <w:rPr>
                <w:rFonts w:hint="eastAsia" w:ascii="宋体" w:hAnsi="宋体" w:eastAsia="宋体" w:cs="宋体"/>
                <w:color w:val="000000" w:themeColor="text1"/>
                <w:szCs w:val="21"/>
                <w:highlight w:val="none"/>
                <w:lang w:val="en-US" w:eastAsia="zh-CN"/>
                <w14:textFill>
                  <w14:solidFill>
                    <w14:schemeClr w14:val="tx1"/>
                  </w14:solidFill>
                </w14:textFill>
              </w:rPr>
              <w:t>单价</w:t>
            </w:r>
            <w:r>
              <w:rPr>
                <w:rFonts w:hint="eastAsia" w:ascii="宋体" w:hAnsi="宋体" w:cs="宋体"/>
                <w:color w:val="000000" w:themeColor="text1"/>
                <w:szCs w:val="21"/>
                <w:highlight w:val="none"/>
                <w:lang w:val="en-US" w:eastAsia="zh-CN"/>
                <w14:textFill>
                  <w14:solidFill>
                    <w14:schemeClr w14:val="tx1"/>
                  </w14:solidFill>
                </w14:textFill>
              </w:rPr>
              <w:t>计价</w:t>
            </w:r>
            <w:r>
              <w:rPr>
                <w:rFonts w:hint="eastAsia" w:ascii="宋体" w:hAnsi="宋体" w:eastAsia="宋体" w:cs="宋体"/>
                <w:color w:val="000000" w:themeColor="text1"/>
                <w:szCs w:val="21"/>
                <w:highlight w:val="none"/>
                <w:lang w:val="en-US" w:eastAsia="zh-CN"/>
                <w14:textFill>
                  <w14:solidFill>
                    <w14:schemeClr w14:val="tx1"/>
                  </w14:solidFill>
                </w14:textFill>
              </w:rPr>
              <w:t>,全费用综合单价中价包含但不限于人工、材料、机械、检验试验、缺陷修复、管理、保险、利润、规费、安全生产费、施工用水、用电、搭设费和使用费、材料转运、临时用地租金、各种税金、相应的施工措施费，以及本比选文书中明示或暗示的所有一切风险、责任和义务等所有费用。竞选人应根据本工程特点及风险，以比选文件、合同条件、工程量清单、本次比选范围等为依据，结合自身实力按比选人提供的全费用综合单价表填报全费用综合单价。</w:t>
            </w:r>
          </w:p>
          <w:p w14:paraId="6A5F80D0">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 项目设置竞选总报价最高限价及工程量清单分项报价最高限价，竞选申请总报价最高限价为：</w:t>
            </w:r>
            <w:r>
              <w:rPr>
                <w:rFonts w:hint="eastAsia" w:ascii="宋体" w:hAnsi="宋体" w:cs="宋体"/>
                <w:color w:val="000000" w:themeColor="text1"/>
                <w:szCs w:val="21"/>
                <w:highlight w:val="none"/>
                <w:u w:val="single"/>
                <w:lang w:val="en-US" w:eastAsia="zh-CN"/>
                <w14:textFill>
                  <w14:solidFill>
                    <w14:schemeClr w14:val="tx1"/>
                  </w14:solidFill>
                </w14:textFill>
              </w:rPr>
              <w:t>873464.66</w:t>
            </w:r>
            <w:r>
              <w:rPr>
                <w:rFonts w:hint="eastAsia" w:ascii="宋体" w:hAnsi="宋体" w:eastAsia="宋体" w:cs="宋体"/>
                <w:color w:val="000000" w:themeColor="text1"/>
                <w:szCs w:val="21"/>
                <w:highlight w:val="none"/>
                <w:lang w:val="en-US" w:eastAsia="zh-CN"/>
                <w14:textFill>
                  <w14:solidFill>
                    <w14:schemeClr w14:val="tx1"/>
                  </w14:solidFill>
                </w14:textFill>
              </w:rPr>
              <w:t>元（大写：</w:t>
            </w:r>
            <w:r>
              <w:rPr>
                <w:rFonts w:hint="eastAsia" w:ascii="宋体" w:hAnsi="宋体" w:cs="宋体"/>
                <w:color w:val="000000" w:themeColor="text1"/>
                <w:szCs w:val="21"/>
                <w:highlight w:val="none"/>
                <w:lang w:val="en-US" w:eastAsia="zh-CN"/>
                <w14:textFill>
                  <w14:solidFill>
                    <w14:schemeClr w14:val="tx1"/>
                  </w14:solidFill>
                </w14:textFill>
              </w:rPr>
              <w:t>捌拾柒万叁仟肆佰陆拾肆元陆角陆分</w:t>
            </w:r>
            <w:r>
              <w:rPr>
                <w:rFonts w:hint="eastAsia" w:ascii="宋体" w:hAnsi="宋体" w:eastAsia="宋体" w:cs="宋体"/>
                <w:color w:val="000000" w:themeColor="text1"/>
                <w:szCs w:val="21"/>
                <w:highlight w:val="none"/>
                <w:lang w:val="en-US" w:eastAsia="zh-CN"/>
                <w14:textFill>
                  <w14:solidFill>
                    <w14:schemeClr w14:val="tx1"/>
                  </w14:solidFill>
                </w14:textFill>
              </w:rPr>
              <w:t>）。竞选申请人的竞选申请总报价不得超过竞选申请总报价最高限价，否则由评选委员会作否决竞选处理。本项目还将设置全部工程量清单综合单价最高限价，竞选人的每项清单综合单价报价不得超过每项清单综合单价最高限价。</w:t>
            </w:r>
          </w:p>
          <w:p w14:paraId="6CDDAE03">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特别说明：竞选人根据比选人发布的工程量清单，结合自身实力、市场行情自主合理报价，且报价应符合随比选文件发布的附件工程量清单。</w:t>
            </w:r>
          </w:p>
          <w:p w14:paraId="0F698C00">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竞选人应认真填写工程量清单中所列的本合同各工程子目的单价或总价。竞选人没有填入单价或总价的工程子目，比选人将认为该子目的价款已包括在工程量清单其他子目的单价和总价中，中标后必须完成该子项工作内容，比选人不对该子项进行结算与支付，并不能获得索赔。竞选人在工程量清单中多报的子目和单价或总价发包人将不予接受，并将被视为重大偏差，按否决竞选处理。</w:t>
            </w:r>
          </w:p>
          <w:p w14:paraId="5F2C867C">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（2）竞选人在编制竞选报价时不得改变比选工程量清单中的项目编码、项目名称、项目特征、计量单位及工程量，否则视为对比选文件不作实质性响应，按否决竞选处理。</w:t>
            </w:r>
          </w:p>
          <w:p w14:paraId="4A301C83">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（3）比选人在工程量清单中所列出的暂列金额、专业暂估价、材料（工程设备）暂估单价，竞选人不得修改。否则，将被认定为按否决竞选处理。</w:t>
            </w:r>
          </w:p>
          <w:p w14:paraId="32C2A2C9">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竞选人认真熟悉图纸，如发现工程量清单中的工程量与图纸中工程量不一致，应于本须知中规定的时间前书面通知比选人核查，除非比选人以补遗书的形式予以更正，否则，应以工程量清单中列出的工程量为准。</w:t>
            </w:r>
          </w:p>
          <w:p w14:paraId="6FEBC0A6">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比选人在合同签订前将对中标人已标价工程量清单进行清标。若发现中标人的工程量清单综合单价报价超过比选时给出的工程量清单综合单价最高限价的，在工程结算时比选人将以发出的工程量清单综合单价最高限价为基础，按照中标人的中标总报价与本工程的总价最高限价的下浮比例进行同比例下调，中标人必须无条件接受，否则按中标人违约处理。竞选人须在竞选文件资格审查部分提供承诺函，承诺函包括以下内容：</w:t>
            </w:r>
          </w:p>
          <w:p w14:paraId="424A9305">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（1）符合第五章“工程量清单”给出的范围及数量。</w:t>
            </w:r>
          </w:p>
          <w:p w14:paraId="41F70441">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（2）比选文件中规定工程量清单不允许修改的内容不得修改。</w:t>
            </w:r>
          </w:p>
          <w:p w14:paraId="3C6AF87F">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（3）每项工程量清单综合单价报价不得高于对应工程量清单综合单价最高限价。</w:t>
            </w:r>
          </w:p>
          <w:p w14:paraId="6ECBF388">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3.本项目所采用技术、工艺和产品等必须执行重庆市住房和城乡建设委员会关于发布《重庆市建设领域禁止、限制使用落后技术通告（2019年版）（渝建发〔2019〕25号）的规定。</w:t>
            </w:r>
          </w:p>
          <w:p w14:paraId="170C91EB">
            <w:pPr>
              <w:pStyle w:val="2"/>
              <w:tabs>
                <w:tab w:val="left" w:pos="546"/>
                <w:tab w:val="left" w:pos="711"/>
              </w:tabs>
              <w:snapToGrid w:val="0"/>
              <w:spacing w:after="0" w:line="400" w:lineRule="exact"/>
              <w:ind w:firstLine="420" w:firstLineChars="200"/>
              <w:rPr>
                <w:szCs w:val="21"/>
              </w:rPr>
            </w:pPr>
            <w:r>
              <w:rPr>
                <w:rFonts w:hint="eastAsia" w:ascii="宋体" w:hAnsi="宋体" w:eastAsia="宋体" w:cs="宋体"/>
                <w:color w:val="000000" w:themeColor="text1"/>
                <w:szCs w:val="21"/>
                <w:highlight w:val="none"/>
                <w:lang w:val="en-US" w:eastAsia="zh-CN"/>
                <w14:textFill>
                  <w14:solidFill>
                    <w14:schemeClr w14:val="tx1"/>
                  </w14:solidFill>
                </w14:textFill>
              </w:rPr>
              <w:t>4.本工程主体结构若需混凝土，则必须使用商品混凝土，不得自建搅拌站。</w:t>
            </w:r>
            <w:r>
              <w:rPr>
                <w:rFonts w:hint="eastAsia" w:ascii="宋体" w:hAnsi="宋体"/>
                <w:szCs w:val="21"/>
              </w:rPr>
              <w:t xml:space="preserve"> </w:t>
            </w:r>
          </w:p>
        </w:tc>
      </w:tr>
      <w:tr w14:paraId="303906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37D590F">
            <w:pPr>
              <w:snapToGrid w:val="0"/>
              <w:spacing w:line="400" w:lineRule="exact"/>
              <w:jc w:val="center"/>
              <w:rPr>
                <w:rFonts w:ascii="宋体" w:hAnsi="宋体"/>
                <w:kern w:val="0"/>
                <w:szCs w:val="21"/>
              </w:rPr>
            </w:pPr>
            <w:r>
              <w:rPr>
                <w:rFonts w:ascii="宋体" w:hAnsi="宋体"/>
                <w:kern w:val="0"/>
                <w:szCs w:val="21"/>
              </w:rPr>
              <w:t>3.3.1</w:t>
            </w:r>
          </w:p>
        </w:tc>
        <w:tc>
          <w:tcPr>
            <w:tcW w:w="1451" w:type="dxa"/>
            <w:vAlign w:val="center"/>
          </w:tcPr>
          <w:p w14:paraId="778DF583">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有效期</w:t>
            </w:r>
          </w:p>
        </w:tc>
        <w:tc>
          <w:tcPr>
            <w:tcW w:w="6683" w:type="dxa"/>
            <w:vAlign w:val="center"/>
          </w:tcPr>
          <w:p w14:paraId="4002AFB3">
            <w:pPr>
              <w:snapToGrid w:val="0"/>
              <w:spacing w:line="400" w:lineRule="exact"/>
              <w:ind w:firstLine="420" w:firstLineChars="200"/>
              <w:rPr>
                <w:rFonts w:ascii="宋体" w:hAnsi="宋体"/>
                <w:szCs w:val="21"/>
              </w:rPr>
            </w:pPr>
            <w:r>
              <w:rPr>
                <w:rFonts w:hint="eastAsia" w:ascii="宋体" w:hAnsi="宋体"/>
                <w:szCs w:val="21"/>
                <w:u w:val="single"/>
                <w:lang w:val="en-US" w:eastAsia="zh-CN"/>
              </w:rPr>
              <w:t>30</w:t>
            </w:r>
            <w:r>
              <w:rPr>
                <w:rFonts w:ascii="宋体" w:hAnsi="宋体"/>
                <w:szCs w:val="21"/>
              </w:rPr>
              <w:t>日历天（从提交</w:t>
            </w:r>
            <w:r>
              <w:rPr>
                <w:rFonts w:hint="eastAsia" w:ascii="宋体" w:hAnsi="宋体"/>
                <w:szCs w:val="21"/>
                <w:lang w:eastAsia="zh-CN"/>
              </w:rPr>
              <w:t>竞选</w:t>
            </w:r>
            <w:r>
              <w:rPr>
                <w:rFonts w:ascii="宋体" w:hAnsi="宋体"/>
                <w:szCs w:val="21"/>
              </w:rPr>
              <w:t>文件截止日起计算）</w:t>
            </w:r>
          </w:p>
        </w:tc>
      </w:tr>
      <w:tr w14:paraId="0A0D4D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300725D">
            <w:pPr>
              <w:snapToGrid w:val="0"/>
              <w:spacing w:line="400" w:lineRule="exact"/>
              <w:jc w:val="center"/>
              <w:rPr>
                <w:rFonts w:ascii="宋体" w:hAnsi="宋体"/>
                <w:kern w:val="0"/>
                <w:szCs w:val="21"/>
              </w:rPr>
            </w:pPr>
            <w:r>
              <w:rPr>
                <w:rFonts w:ascii="宋体" w:hAnsi="宋体"/>
                <w:kern w:val="0"/>
                <w:szCs w:val="21"/>
              </w:rPr>
              <w:t>3.4</w:t>
            </w:r>
          </w:p>
        </w:tc>
        <w:tc>
          <w:tcPr>
            <w:tcW w:w="1451" w:type="dxa"/>
            <w:vAlign w:val="center"/>
          </w:tcPr>
          <w:p w14:paraId="26DABDF9">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保证金</w:t>
            </w:r>
          </w:p>
        </w:tc>
        <w:tc>
          <w:tcPr>
            <w:tcW w:w="6683" w:type="dxa"/>
            <w:vAlign w:val="center"/>
          </w:tcPr>
          <w:p w14:paraId="1D055E96">
            <w:pPr>
              <w:snapToGrid w:val="0"/>
              <w:spacing w:line="400" w:lineRule="exact"/>
              <w:ind w:firstLine="420" w:firstLineChars="200"/>
              <w:jc w:val="left"/>
              <w:rPr>
                <w:rFonts w:ascii="宋体" w:hAnsi="宋体" w:cs="宋体"/>
                <w:kern w:val="0"/>
                <w:szCs w:val="21"/>
              </w:rPr>
            </w:pPr>
            <w:r>
              <w:rPr>
                <w:rFonts w:hint="eastAsia"/>
              </w:rPr>
              <w:t>/</w:t>
            </w:r>
          </w:p>
        </w:tc>
      </w:tr>
      <w:tr w14:paraId="626DA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1C035D2">
            <w:pPr>
              <w:snapToGrid w:val="0"/>
              <w:spacing w:line="400" w:lineRule="exact"/>
              <w:jc w:val="center"/>
              <w:rPr>
                <w:rFonts w:ascii="宋体" w:hAnsi="宋体"/>
                <w:kern w:val="0"/>
                <w:szCs w:val="21"/>
              </w:rPr>
            </w:pPr>
            <w:r>
              <w:rPr>
                <w:rFonts w:ascii="宋体" w:hAnsi="宋体"/>
                <w:kern w:val="0"/>
                <w:szCs w:val="21"/>
              </w:rPr>
              <w:t>3.6</w:t>
            </w:r>
          </w:p>
        </w:tc>
        <w:tc>
          <w:tcPr>
            <w:tcW w:w="1451" w:type="dxa"/>
            <w:vAlign w:val="center"/>
          </w:tcPr>
          <w:p w14:paraId="5B6FBC95">
            <w:pPr>
              <w:snapToGrid w:val="0"/>
              <w:spacing w:line="400" w:lineRule="exact"/>
              <w:jc w:val="center"/>
              <w:rPr>
                <w:rFonts w:ascii="宋体" w:hAnsi="宋体"/>
                <w:kern w:val="0"/>
                <w:szCs w:val="21"/>
              </w:rPr>
            </w:pPr>
            <w:r>
              <w:rPr>
                <w:rFonts w:ascii="宋体" w:hAnsi="宋体"/>
                <w:kern w:val="0"/>
                <w:szCs w:val="21"/>
              </w:rPr>
              <w:t>是否允许递交</w:t>
            </w:r>
          </w:p>
          <w:p w14:paraId="26AC41FC">
            <w:pPr>
              <w:snapToGrid w:val="0"/>
              <w:spacing w:after="93" w:afterLines="30" w:line="400" w:lineRule="exact"/>
              <w:jc w:val="center"/>
              <w:rPr>
                <w:rFonts w:ascii="宋体" w:hAnsi="宋体"/>
                <w:kern w:val="0"/>
                <w:szCs w:val="21"/>
              </w:rPr>
            </w:pPr>
            <w:r>
              <w:rPr>
                <w:rFonts w:ascii="宋体" w:hAnsi="宋体"/>
                <w:kern w:val="0"/>
                <w:szCs w:val="21"/>
              </w:rPr>
              <w:t>备选</w:t>
            </w:r>
            <w:r>
              <w:rPr>
                <w:rFonts w:hint="eastAsia" w:ascii="宋体" w:hAnsi="宋体"/>
                <w:kern w:val="0"/>
                <w:szCs w:val="21"/>
                <w:lang w:eastAsia="zh-CN"/>
              </w:rPr>
              <w:t>竞选</w:t>
            </w:r>
            <w:r>
              <w:rPr>
                <w:rFonts w:ascii="宋体" w:hAnsi="宋体"/>
                <w:kern w:val="0"/>
                <w:szCs w:val="21"/>
              </w:rPr>
              <w:t>方案</w:t>
            </w:r>
          </w:p>
        </w:tc>
        <w:tc>
          <w:tcPr>
            <w:tcW w:w="6683" w:type="dxa"/>
            <w:vAlign w:val="center"/>
          </w:tcPr>
          <w:p w14:paraId="4AD7D102">
            <w:pPr>
              <w:snapToGrid w:val="0"/>
              <w:spacing w:line="400" w:lineRule="exact"/>
              <w:ind w:firstLine="420" w:firstLineChars="200"/>
              <w:rPr>
                <w:rFonts w:ascii="宋体" w:hAnsi="宋体"/>
                <w:kern w:val="0"/>
                <w:szCs w:val="21"/>
              </w:rPr>
            </w:pPr>
            <w:r>
              <w:rPr>
                <w:rFonts w:ascii="宋体" w:hAnsi="宋体"/>
                <w:kern w:val="0"/>
                <w:szCs w:val="21"/>
              </w:rPr>
              <w:t>不允许</w:t>
            </w:r>
          </w:p>
        </w:tc>
      </w:tr>
      <w:tr w14:paraId="6D3463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805C601">
            <w:pPr>
              <w:snapToGrid w:val="0"/>
              <w:spacing w:line="400" w:lineRule="exact"/>
              <w:jc w:val="center"/>
              <w:rPr>
                <w:rFonts w:ascii="宋体" w:hAnsi="宋体"/>
                <w:kern w:val="0"/>
                <w:szCs w:val="21"/>
              </w:rPr>
            </w:pPr>
            <w:r>
              <w:rPr>
                <w:rFonts w:hint="eastAsia" w:ascii="宋体" w:hAnsi="宋体"/>
                <w:kern w:val="0"/>
                <w:szCs w:val="21"/>
              </w:rPr>
              <w:t>3.7.1</w:t>
            </w:r>
          </w:p>
        </w:tc>
        <w:tc>
          <w:tcPr>
            <w:tcW w:w="1451" w:type="dxa"/>
            <w:vAlign w:val="center"/>
          </w:tcPr>
          <w:p w14:paraId="265B7F51">
            <w:pPr>
              <w:snapToGrid w:val="0"/>
              <w:spacing w:after="93" w:afterLines="30" w:line="400" w:lineRule="exact"/>
              <w:jc w:val="center"/>
              <w:rPr>
                <w:rFonts w:ascii="宋体" w:hAnsi="宋体"/>
                <w:kern w:val="0"/>
                <w:szCs w:val="21"/>
              </w:rPr>
            </w:pPr>
            <w:r>
              <w:rPr>
                <w:rFonts w:hint="eastAsia" w:ascii="宋体" w:hAnsi="宋体"/>
                <w:kern w:val="0"/>
                <w:szCs w:val="21"/>
                <w:lang w:eastAsia="zh-CN"/>
              </w:rPr>
              <w:t>竞选</w:t>
            </w:r>
            <w:r>
              <w:rPr>
                <w:rFonts w:hint="eastAsia" w:ascii="宋体" w:hAnsi="宋体"/>
                <w:kern w:val="0"/>
                <w:szCs w:val="21"/>
              </w:rPr>
              <w:t>文件格式要求</w:t>
            </w:r>
          </w:p>
        </w:tc>
        <w:tc>
          <w:tcPr>
            <w:tcW w:w="6683" w:type="dxa"/>
            <w:vAlign w:val="center"/>
          </w:tcPr>
          <w:p w14:paraId="4FF46070">
            <w:pPr>
              <w:snapToGrid w:val="0"/>
              <w:spacing w:line="400" w:lineRule="exact"/>
              <w:ind w:firstLine="420" w:firstLineChars="200"/>
              <w:rPr>
                <w:rFonts w:ascii="宋体" w:hAnsi="宋体"/>
                <w:kern w:val="0"/>
                <w:szCs w:val="21"/>
              </w:rPr>
            </w:pPr>
            <w:r>
              <w:rPr>
                <w:rFonts w:hint="eastAsia" w:ascii="宋体" w:hAnsi="宋体"/>
                <w:kern w:val="0"/>
                <w:szCs w:val="21"/>
              </w:rPr>
              <w:t>编制</w:t>
            </w:r>
            <w:r>
              <w:rPr>
                <w:rFonts w:hint="eastAsia" w:ascii="宋体" w:hAnsi="宋体"/>
                <w:kern w:val="0"/>
                <w:szCs w:val="21"/>
                <w:lang w:eastAsia="zh-CN"/>
              </w:rPr>
              <w:t>竞选</w:t>
            </w:r>
            <w:r>
              <w:rPr>
                <w:rFonts w:hint="eastAsia" w:ascii="宋体" w:hAnsi="宋体"/>
                <w:kern w:val="0"/>
                <w:szCs w:val="21"/>
              </w:rPr>
              <w:t>文件时不得对第</w:t>
            </w:r>
            <w:r>
              <w:rPr>
                <w:rFonts w:hint="eastAsia" w:ascii="宋体" w:hAnsi="宋体"/>
                <w:kern w:val="0"/>
                <w:szCs w:val="21"/>
                <w:lang w:eastAsia="zh-CN"/>
              </w:rPr>
              <w:t>六</w:t>
            </w:r>
            <w:r>
              <w:rPr>
                <w:rFonts w:hint="eastAsia" w:ascii="宋体" w:hAnsi="宋体"/>
                <w:kern w:val="0"/>
                <w:szCs w:val="21"/>
              </w:rPr>
              <w:t>章“</w:t>
            </w:r>
            <w:r>
              <w:rPr>
                <w:rFonts w:hint="eastAsia" w:ascii="宋体" w:hAnsi="宋体"/>
                <w:kern w:val="0"/>
                <w:szCs w:val="21"/>
                <w:lang w:eastAsia="zh-CN"/>
              </w:rPr>
              <w:t>竞选</w:t>
            </w:r>
            <w:r>
              <w:rPr>
                <w:rFonts w:hint="eastAsia" w:ascii="宋体" w:hAnsi="宋体"/>
                <w:kern w:val="0"/>
                <w:szCs w:val="21"/>
              </w:rPr>
              <w:t>文件格式”的相应要素作实质性修改，否则视为重大偏差，由评标委员会作否决</w:t>
            </w:r>
            <w:r>
              <w:rPr>
                <w:rFonts w:hint="eastAsia" w:ascii="宋体" w:hAnsi="宋体"/>
                <w:kern w:val="0"/>
                <w:szCs w:val="21"/>
                <w:lang w:eastAsia="zh-CN"/>
              </w:rPr>
              <w:t>竞选</w:t>
            </w:r>
            <w:r>
              <w:rPr>
                <w:rFonts w:hint="eastAsia" w:ascii="宋体" w:hAnsi="宋体"/>
                <w:kern w:val="0"/>
                <w:szCs w:val="21"/>
              </w:rPr>
              <w:t>处理。</w:t>
            </w:r>
          </w:p>
        </w:tc>
      </w:tr>
      <w:tr w14:paraId="7EBA6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C5E7670">
            <w:pPr>
              <w:snapToGrid w:val="0"/>
              <w:spacing w:line="400" w:lineRule="exact"/>
              <w:jc w:val="center"/>
              <w:rPr>
                <w:rFonts w:ascii="宋体" w:hAnsi="宋体"/>
                <w:kern w:val="0"/>
                <w:szCs w:val="21"/>
              </w:rPr>
            </w:pPr>
            <w:r>
              <w:rPr>
                <w:rFonts w:ascii="宋体" w:hAnsi="宋体"/>
                <w:kern w:val="0"/>
                <w:szCs w:val="21"/>
              </w:rPr>
              <w:t>3.7.2</w:t>
            </w:r>
          </w:p>
        </w:tc>
        <w:tc>
          <w:tcPr>
            <w:tcW w:w="1451" w:type="dxa"/>
            <w:vAlign w:val="center"/>
          </w:tcPr>
          <w:p w14:paraId="1751994A">
            <w:pPr>
              <w:snapToGrid w:val="0"/>
              <w:spacing w:line="400" w:lineRule="exact"/>
              <w:jc w:val="center"/>
              <w:rPr>
                <w:rFonts w:ascii="宋体" w:hAnsi="宋体"/>
                <w:kern w:val="0"/>
                <w:szCs w:val="21"/>
              </w:rPr>
            </w:pPr>
            <w:r>
              <w:rPr>
                <w:rFonts w:hint="eastAsia" w:ascii="宋体" w:hAnsi="宋体"/>
                <w:kern w:val="0"/>
                <w:szCs w:val="21"/>
              </w:rPr>
              <w:t>签字</w:t>
            </w:r>
            <w:r>
              <w:rPr>
                <w:rFonts w:ascii="宋体" w:hAnsi="宋体"/>
                <w:kern w:val="0"/>
                <w:szCs w:val="21"/>
              </w:rPr>
              <w:t>盖章要求</w:t>
            </w:r>
          </w:p>
        </w:tc>
        <w:tc>
          <w:tcPr>
            <w:tcW w:w="6683" w:type="dxa"/>
            <w:vAlign w:val="center"/>
          </w:tcPr>
          <w:p w14:paraId="492601B5">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竞选文件应用不褪色的材料书写或打印，并由竞选人的法定代表人或其委托代理人在竞争性比选文件规定的位置按竞争性比选文件要求签字或盖章、盖单位法人章。委托代理人签字的，竞选文件应附法定代表人签署的授权委托书。竞选文件应尽量避免涂改、行间插字或删除。如果出现上述情况，改动之处应加盖单位法人章或由竞选人的法定代表人或其授权的代理人签字确认。</w:t>
            </w:r>
          </w:p>
          <w:p w14:paraId="030D0340">
            <w:pPr>
              <w:snapToGrid w:val="0"/>
              <w:spacing w:line="400" w:lineRule="exact"/>
              <w:ind w:firstLine="420" w:firstLineChars="200"/>
              <w:rPr>
                <w:rFonts w:ascii="宋体" w:hAnsi="宋体"/>
                <w:szCs w:val="21"/>
              </w:rPr>
            </w:pPr>
            <w:r>
              <w:rPr>
                <w:rFonts w:hint="eastAsia" w:ascii="宋体" w:hAnsi="宋体" w:eastAsia="宋体" w:cs="Times New Roman"/>
                <w:szCs w:val="21"/>
              </w:rPr>
              <w:t>未按上述规定执行的，交由评标委员会作否决</w:t>
            </w:r>
            <w:r>
              <w:rPr>
                <w:rFonts w:hint="eastAsia" w:ascii="宋体" w:hAnsi="宋体" w:eastAsia="宋体" w:cs="Times New Roman"/>
                <w:szCs w:val="21"/>
                <w:lang w:eastAsia="zh-CN"/>
              </w:rPr>
              <w:t>竞选</w:t>
            </w:r>
            <w:r>
              <w:rPr>
                <w:rFonts w:hint="eastAsia" w:ascii="宋体" w:hAnsi="宋体" w:eastAsia="宋体" w:cs="Times New Roman"/>
                <w:szCs w:val="21"/>
              </w:rPr>
              <w:t>处理。</w:t>
            </w:r>
          </w:p>
        </w:tc>
      </w:tr>
      <w:tr w14:paraId="5B385D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2D40D2A">
            <w:pPr>
              <w:snapToGrid w:val="0"/>
              <w:spacing w:line="400" w:lineRule="exact"/>
              <w:jc w:val="center"/>
              <w:rPr>
                <w:rFonts w:ascii="宋体" w:hAnsi="宋体"/>
                <w:kern w:val="0"/>
                <w:szCs w:val="21"/>
              </w:rPr>
            </w:pPr>
            <w:r>
              <w:rPr>
                <w:rFonts w:ascii="宋体" w:hAnsi="宋体"/>
                <w:kern w:val="0"/>
                <w:szCs w:val="21"/>
              </w:rPr>
              <w:t>3.7.3</w:t>
            </w:r>
          </w:p>
        </w:tc>
        <w:tc>
          <w:tcPr>
            <w:tcW w:w="1451" w:type="dxa"/>
            <w:vAlign w:val="center"/>
          </w:tcPr>
          <w:p w14:paraId="314ED84D">
            <w:pPr>
              <w:snapToGrid w:val="0"/>
              <w:spacing w:line="400" w:lineRule="exact"/>
              <w:rPr>
                <w:rFonts w:ascii="宋体" w:hAnsi="宋体"/>
                <w:spacing w:val="-6"/>
                <w:kern w:val="0"/>
                <w:szCs w:val="21"/>
              </w:rPr>
            </w:pPr>
            <w:r>
              <w:rPr>
                <w:rFonts w:hint="eastAsia" w:ascii="宋体" w:hAnsi="宋体"/>
                <w:spacing w:val="-6"/>
                <w:kern w:val="0"/>
                <w:szCs w:val="21"/>
                <w:lang w:eastAsia="zh-CN"/>
              </w:rPr>
              <w:t>竞选</w:t>
            </w:r>
            <w:r>
              <w:rPr>
                <w:rFonts w:ascii="宋体" w:hAnsi="宋体"/>
                <w:spacing w:val="-6"/>
                <w:kern w:val="0"/>
                <w:szCs w:val="21"/>
              </w:rPr>
              <w:t>文件的份数</w:t>
            </w:r>
          </w:p>
        </w:tc>
        <w:tc>
          <w:tcPr>
            <w:tcW w:w="6683" w:type="dxa"/>
            <w:vAlign w:val="center"/>
          </w:tcPr>
          <w:p w14:paraId="1D524193">
            <w:pPr>
              <w:snapToGrid w:val="0"/>
              <w:spacing w:line="400" w:lineRule="exact"/>
              <w:ind w:firstLine="420" w:firstLineChars="200"/>
              <w:rPr>
                <w:rFonts w:ascii="宋体" w:hAnsi="宋体"/>
                <w:i/>
                <w:kern w:val="0"/>
                <w:szCs w:val="21"/>
              </w:rPr>
            </w:pPr>
            <w:r>
              <w:rPr>
                <w:rFonts w:hint="eastAsia" w:ascii="宋体" w:hAnsi="宋体" w:eastAsia="宋体" w:cs="Times New Roman"/>
                <w:szCs w:val="21"/>
              </w:rPr>
              <w:t>比选文件正本1份、副本2份，电子版形式（U盘）1份，当副本和正本不一致时，以正本为准。否则由评标委员会作否决比选申请处理。</w:t>
            </w:r>
          </w:p>
        </w:tc>
      </w:tr>
      <w:tr w14:paraId="25D7F9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240" w:type="dxa"/>
            <w:vAlign w:val="center"/>
          </w:tcPr>
          <w:p w14:paraId="0CA6285C">
            <w:pPr>
              <w:snapToGrid w:val="0"/>
              <w:spacing w:line="400" w:lineRule="exact"/>
              <w:jc w:val="center"/>
              <w:rPr>
                <w:rFonts w:ascii="宋体" w:hAnsi="宋体"/>
                <w:kern w:val="0"/>
                <w:szCs w:val="21"/>
              </w:rPr>
            </w:pPr>
            <w:r>
              <w:rPr>
                <w:rFonts w:ascii="宋体" w:hAnsi="宋体"/>
                <w:kern w:val="0"/>
                <w:szCs w:val="21"/>
              </w:rPr>
              <w:t>3.7.4</w:t>
            </w:r>
          </w:p>
        </w:tc>
        <w:tc>
          <w:tcPr>
            <w:tcW w:w="1451" w:type="dxa"/>
            <w:vAlign w:val="center"/>
          </w:tcPr>
          <w:p w14:paraId="7E967574">
            <w:pPr>
              <w:snapToGrid w:val="0"/>
              <w:spacing w:line="400" w:lineRule="exact"/>
              <w:jc w:val="center"/>
              <w:rPr>
                <w:rFonts w:ascii="宋体" w:hAnsi="宋体"/>
                <w:kern w:val="0"/>
                <w:szCs w:val="21"/>
              </w:rPr>
            </w:pPr>
            <w:r>
              <w:rPr>
                <w:rFonts w:hint="eastAsia" w:ascii="宋体" w:hAnsi="宋体"/>
                <w:kern w:val="0"/>
                <w:szCs w:val="21"/>
                <w:lang w:eastAsia="zh-CN"/>
              </w:rPr>
              <w:t>装订</w:t>
            </w:r>
            <w:r>
              <w:rPr>
                <w:rFonts w:ascii="宋体" w:hAnsi="宋体"/>
                <w:kern w:val="0"/>
                <w:szCs w:val="21"/>
              </w:rPr>
              <w:t>要求</w:t>
            </w:r>
          </w:p>
        </w:tc>
        <w:tc>
          <w:tcPr>
            <w:tcW w:w="6683" w:type="dxa"/>
            <w:vAlign w:val="center"/>
          </w:tcPr>
          <w:p w14:paraId="0DD0483F">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竞选文件按以下要求进行装订：</w:t>
            </w:r>
          </w:p>
          <w:p w14:paraId="0A7050B6">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1、竞选文件按本比选文件提供的格式按照竞选函部分（含资格审查）、经济部分各自分别装订成册。</w:t>
            </w:r>
          </w:p>
          <w:p w14:paraId="11D515F6">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2、装订</w:t>
            </w:r>
          </w:p>
          <w:p w14:paraId="36B8288D">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（1）竞选函部分（含资格审查）的装订要求</w:t>
            </w:r>
          </w:p>
          <w:p w14:paraId="51F88D2D">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应按照第六章规定格式装订成册，原则上应编制目录，标注页码（但不得将目录、页码编制作为评审因素）。</w:t>
            </w:r>
          </w:p>
          <w:p w14:paraId="474CDD06">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（2）经济部分的装订要求</w:t>
            </w:r>
          </w:p>
          <w:p w14:paraId="6AC81BAC">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应按照第六章规定格式装订成册，原则上应编制目录，标注页码（但不得将目录、页码编制作为评审因素）。</w:t>
            </w:r>
          </w:p>
          <w:p w14:paraId="19DA964A">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注：所有竞选文件不论使用任何方式进行装订，必须保证竞选文件装订牢固，否则，比选人对由于竞选文件装订松散而造成的丢失或其他后果不承担任何责任。</w:t>
            </w:r>
          </w:p>
          <w:p w14:paraId="71C451A6">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3、竞选文件分为正本和副本，按相应的要求签字、盖章。</w:t>
            </w:r>
          </w:p>
          <w:p w14:paraId="761F5AB6">
            <w:pPr>
              <w:snapToGrid w:val="0"/>
              <w:spacing w:line="400" w:lineRule="exact"/>
              <w:ind w:firstLine="420" w:firstLineChars="200"/>
              <w:rPr>
                <w:rStyle w:val="54"/>
              </w:rPr>
            </w:pPr>
            <w:r>
              <w:rPr>
                <w:rFonts w:hint="eastAsia" w:ascii="宋体" w:hAnsi="宋体" w:eastAsia="宋体" w:cs="Times New Roman"/>
                <w:szCs w:val="21"/>
              </w:rPr>
              <w:t>4、比选文件中已提供了竞选文件格式的部分，须按其格式填写和提供。</w:t>
            </w:r>
          </w:p>
        </w:tc>
      </w:tr>
      <w:tr w14:paraId="34D4F5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29EA79D">
            <w:pPr>
              <w:snapToGrid w:val="0"/>
              <w:spacing w:line="400" w:lineRule="exact"/>
              <w:jc w:val="center"/>
              <w:rPr>
                <w:rFonts w:ascii="宋体" w:hAnsi="宋体"/>
                <w:kern w:val="0"/>
                <w:szCs w:val="21"/>
              </w:rPr>
            </w:pPr>
            <w:r>
              <w:rPr>
                <w:rFonts w:ascii="宋体" w:hAnsi="宋体"/>
                <w:kern w:val="0"/>
                <w:szCs w:val="21"/>
              </w:rPr>
              <w:t>3.7.5</w:t>
            </w:r>
          </w:p>
        </w:tc>
        <w:tc>
          <w:tcPr>
            <w:tcW w:w="1451" w:type="dxa"/>
            <w:vAlign w:val="center"/>
          </w:tcPr>
          <w:p w14:paraId="5CA80083">
            <w:pPr>
              <w:snapToGrid w:val="0"/>
              <w:spacing w:line="400" w:lineRule="exact"/>
              <w:jc w:val="center"/>
              <w:rPr>
                <w:rFonts w:ascii="宋体" w:hAnsi="宋体"/>
                <w:kern w:val="0"/>
                <w:szCs w:val="21"/>
              </w:rPr>
            </w:pPr>
            <w:r>
              <w:rPr>
                <w:rFonts w:hint="eastAsia" w:ascii="宋体" w:hAnsi="宋体"/>
                <w:kern w:val="0"/>
                <w:szCs w:val="21"/>
              </w:rPr>
              <w:t>编制要求</w:t>
            </w:r>
          </w:p>
        </w:tc>
        <w:tc>
          <w:tcPr>
            <w:tcW w:w="6683" w:type="dxa"/>
            <w:vAlign w:val="center"/>
          </w:tcPr>
          <w:p w14:paraId="051F656F">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szCs w:val="21"/>
                <w:lang w:eastAsia="zh-CN"/>
              </w:rPr>
              <w:t>竞选</w:t>
            </w:r>
            <w:r>
              <w:rPr>
                <w:rFonts w:hint="eastAsia" w:ascii="宋体" w:hAnsi="宋体"/>
                <w:szCs w:val="21"/>
              </w:rPr>
              <w:t>人在编制</w:t>
            </w:r>
            <w:r>
              <w:rPr>
                <w:rFonts w:hint="eastAsia" w:ascii="宋体" w:hAnsi="宋体"/>
                <w:szCs w:val="21"/>
                <w:lang w:eastAsia="zh-CN"/>
              </w:rPr>
              <w:t>竞选</w:t>
            </w:r>
            <w:r>
              <w:rPr>
                <w:rFonts w:hint="eastAsia" w:ascii="宋体" w:hAnsi="宋体"/>
                <w:szCs w:val="21"/>
              </w:rPr>
              <w:t>文件时应当建立分级目录，并按照</w:t>
            </w:r>
            <w:r>
              <w:rPr>
                <w:rFonts w:hint="eastAsia" w:ascii="宋体" w:hAnsi="宋体"/>
                <w:szCs w:val="21"/>
                <w:lang w:eastAsia="zh-CN"/>
              </w:rPr>
              <w:t>要求</w:t>
            </w:r>
            <w:r>
              <w:rPr>
                <w:rFonts w:hint="eastAsia" w:ascii="宋体" w:hAnsi="宋体"/>
                <w:szCs w:val="21"/>
              </w:rPr>
              <w:t>导入相关内容。</w:t>
            </w:r>
          </w:p>
          <w:p w14:paraId="52E7D4CD">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）按本章前附表第3.7.3项签字盖章要求进行</w:t>
            </w:r>
            <w:r>
              <w:rPr>
                <w:rFonts w:hint="eastAsia" w:ascii="宋体" w:hAnsi="宋体"/>
                <w:szCs w:val="21"/>
                <w:lang w:eastAsia="zh-CN"/>
              </w:rPr>
              <w:t>竞选</w:t>
            </w:r>
            <w:r>
              <w:rPr>
                <w:rFonts w:hint="eastAsia" w:ascii="宋体" w:hAnsi="宋体"/>
                <w:szCs w:val="21"/>
              </w:rPr>
              <w:t>文件的签署。</w:t>
            </w:r>
          </w:p>
          <w:p w14:paraId="6C6CD94A">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326E4A83">
            <w:pPr>
              <w:adjustRightInd w:val="0"/>
              <w:snapToGrid w:val="0"/>
              <w:spacing w:line="400" w:lineRule="exact"/>
              <w:ind w:firstLine="420" w:firstLineChars="200"/>
              <w:rPr>
                <w:rFonts w:ascii="宋体" w:hAnsi="宋体"/>
                <w:szCs w:val="21"/>
              </w:rPr>
            </w:pPr>
            <w:r>
              <w:rPr>
                <w:rFonts w:hint="eastAsia" w:ascii="宋体" w:hAnsi="宋体"/>
                <w:szCs w:val="21"/>
              </w:rPr>
              <w:t>（1）</w:t>
            </w:r>
            <w:r>
              <w:rPr>
                <w:rFonts w:hint="eastAsia" w:ascii="宋体" w:hAnsi="宋体"/>
                <w:szCs w:val="21"/>
                <w:lang w:eastAsia="zh-CN"/>
              </w:rPr>
              <w:t>竞选</w:t>
            </w:r>
            <w:r>
              <w:rPr>
                <w:rFonts w:hint="eastAsia" w:ascii="宋体" w:hAnsi="宋体"/>
                <w:szCs w:val="21"/>
              </w:rPr>
              <w:t>函部分</w:t>
            </w:r>
          </w:p>
          <w:p w14:paraId="16E5C0CE">
            <w:pPr>
              <w:adjustRightInd w:val="0"/>
              <w:snapToGrid w:val="0"/>
              <w:spacing w:line="400" w:lineRule="exact"/>
              <w:ind w:firstLine="420" w:firstLineChars="200"/>
              <w:rPr>
                <w:rFonts w:ascii="宋体" w:hAnsi="宋体"/>
                <w:szCs w:val="21"/>
              </w:rPr>
            </w:pPr>
            <w:r>
              <w:rPr>
                <w:rFonts w:hint="eastAsia" w:ascii="宋体" w:hAnsi="宋体"/>
                <w:szCs w:val="21"/>
              </w:rPr>
              <w:t>应按照第</w:t>
            </w:r>
            <w:r>
              <w:rPr>
                <w:rFonts w:hint="eastAsia" w:ascii="宋体" w:hAnsi="宋体"/>
                <w:szCs w:val="21"/>
                <w:lang w:eastAsia="zh-CN"/>
              </w:rPr>
              <w:t>六</w:t>
            </w:r>
            <w:r>
              <w:rPr>
                <w:rFonts w:hint="eastAsia" w:ascii="宋体" w:hAnsi="宋体"/>
                <w:szCs w:val="21"/>
              </w:rPr>
              <w:t>章规定格式排版，并应编制目录。</w:t>
            </w:r>
          </w:p>
          <w:p w14:paraId="2D9C03D5">
            <w:pPr>
              <w:adjustRightInd w:val="0"/>
              <w:snapToGrid w:val="0"/>
              <w:spacing w:line="400" w:lineRule="exact"/>
              <w:ind w:firstLine="420" w:firstLineChars="200"/>
              <w:rPr>
                <w:rFonts w:ascii="宋体" w:hAnsi="宋体"/>
                <w:szCs w:val="21"/>
              </w:rPr>
            </w:pPr>
            <w:r>
              <w:rPr>
                <w:rFonts w:hint="eastAsia" w:ascii="宋体" w:hAnsi="宋体"/>
                <w:szCs w:val="21"/>
              </w:rPr>
              <w:t>（2）经济部分</w:t>
            </w:r>
          </w:p>
          <w:p w14:paraId="0444D107">
            <w:pPr>
              <w:adjustRightInd w:val="0"/>
              <w:snapToGrid w:val="0"/>
              <w:spacing w:line="400" w:lineRule="exact"/>
              <w:ind w:firstLine="420" w:firstLineChars="200"/>
              <w:rPr>
                <w:rFonts w:ascii="宋体" w:hAnsi="宋体"/>
                <w:szCs w:val="21"/>
              </w:rPr>
            </w:pPr>
            <w:r>
              <w:rPr>
                <w:rFonts w:hint="eastAsia" w:ascii="宋体" w:hAnsi="宋体"/>
                <w:szCs w:val="21"/>
              </w:rPr>
              <w:t>应按照第</w:t>
            </w:r>
            <w:r>
              <w:rPr>
                <w:rFonts w:hint="eastAsia" w:ascii="宋体" w:hAnsi="宋体"/>
                <w:szCs w:val="21"/>
                <w:lang w:eastAsia="zh-CN"/>
              </w:rPr>
              <w:t>六</w:t>
            </w:r>
            <w:r>
              <w:rPr>
                <w:rFonts w:hint="eastAsia" w:ascii="宋体" w:hAnsi="宋体"/>
                <w:szCs w:val="21"/>
              </w:rPr>
              <w:t>章规定格式排版，并应编制目录。</w:t>
            </w:r>
          </w:p>
          <w:p w14:paraId="333DFF62">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）资格审查部分</w:t>
            </w:r>
          </w:p>
          <w:p w14:paraId="74A164DB">
            <w:pPr>
              <w:adjustRightInd w:val="0"/>
              <w:snapToGrid w:val="0"/>
              <w:spacing w:line="400" w:lineRule="exact"/>
              <w:ind w:firstLine="420" w:firstLineChars="200"/>
              <w:rPr>
                <w:rFonts w:ascii="宋体" w:hAnsi="宋体"/>
                <w:szCs w:val="21"/>
              </w:rPr>
            </w:pPr>
            <w:r>
              <w:rPr>
                <w:rFonts w:hint="eastAsia" w:ascii="宋体" w:hAnsi="宋体"/>
                <w:szCs w:val="21"/>
              </w:rPr>
              <w:t>应按照第</w:t>
            </w:r>
            <w:r>
              <w:rPr>
                <w:rFonts w:hint="eastAsia" w:ascii="宋体" w:hAnsi="宋体"/>
                <w:szCs w:val="21"/>
                <w:lang w:eastAsia="zh-CN"/>
              </w:rPr>
              <w:t>六</w:t>
            </w:r>
            <w:r>
              <w:rPr>
                <w:rFonts w:hint="eastAsia" w:ascii="宋体" w:hAnsi="宋体"/>
                <w:szCs w:val="21"/>
              </w:rPr>
              <w:t>章规定格式排版，并应编制目录。</w:t>
            </w:r>
          </w:p>
        </w:tc>
      </w:tr>
      <w:tr w14:paraId="401BD0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FD10798">
            <w:pPr>
              <w:snapToGrid w:val="0"/>
              <w:spacing w:line="400" w:lineRule="exact"/>
              <w:jc w:val="center"/>
              <w:rPr>
                <w:rFonts w:ascii="宋体" w:hAnsi="宋体"/>
                <w:kern w:val="0"/>
                <w:szCs w:val="21"/>
              </w:rPr>
            </w:pPr>
            <w:r>
              <w:rPr>
                <w:rFonts w:ascii="宋体" w:hAnsi="宋体"/>
                <w:kern w:val="0"/>
                <w:szCs w:val="21"/>
              </w:rPr>
              <w:t>4.1.1</w:t>
            </w:r>
          </w:p>
        </w:tc>
        <w:tc>
          <w:tcPr>
            <w:tcW w:w="1451" w:type="dxa"/>
            <w:vAlign w:val="center"/>
          </w:tcPr>
          <w:p w14:paraId="38C1A58C">
            <w:pPr>
              <w:snapToGrid w:val="0"/>
              <w:spacing w:line="400" w:lineRule="exact"/>
              <w:jc w:val="center"/>
              <w:rPr>
                <w:rFonts w:ascii="宋体" w:hAnsi="宋体"/>
                <w:spacing w:val="-6"/>
                <w:kern w:val="0"/>
                <w:szCs w:val="21"/>
              </w:rPr>
            </w:pPr>
            <w:r>
              <w:rPr>
                <w:rFonts w:hint="eastAsia" w:ascii="宋体" w:hAnsi="宋体"/>
                <w:spacing w:val="-6"/>
                <w:kern w:val="0"/>
                <w:szCs w:val="21"/>
                <w:lang w:eastAsia="zh-CN"/>
              </w:rPr>
              <w:t>竞选</w:t>
            </w:r>
            <w:r>
              <w:rPr>
                <w:rFonts w:ascii="宋体" w:hAnsi="宋体"/>
                <w:spacing w:val="-6"/>
                <w:kern w:val="0"/>
                <w:szCs w:val="21"/>
              </w:rPr>
              <w:t>文件的密封</w:t>
            </w:r>
          </w:p>
        </w:tc>
        <w:tc>
          <w:tcPr>
            <w:tcW w:w="6683" w:type="dxa"/>
            <w:vAlign w:val="center"/>
          </w:tcPr>
          <w:p w14:paraId="77DF8B0D">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竞选文件密封情况要求如下：</w:t>
            </w:r>
          </w:p>
          <w:p w14:paraId="55E67AFE">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1. 竞选文件袋使用“竞选函部分”袋、“经济部分”袋以及“竞选文件”大袋。</w:t>
            </w:r>
          </w:p>
          <w:p w14:paraId="06093320">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2.竞选函部分（含资格审查）和电子版形式（U盘）装入“竞选函部分”袋中，密封并在袋上加盖竞选人单位公章。</w:t>
            </w:r>
          </w:p>
          <w:p w14:paraId="29FB05BA">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3. 经济部分装入“经济部分”袋中，密封并在袋上加盖竞选人单位公章。</w:t>
            </w:r>
          </w:p>
          <w:p w14:paraId="1E1785C4">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5. “竞选函部分”袋、“经济部分”袋等小袋装入“竞选文件”大袋中，密封并在大袋上加盖竞选人单位公章，同时“竞选文件”大袋应按本表第4.1.2项的规定写明相应内容。</w:t>
            </w:r>
          </w:p>
          <w:p w14:paraId="077377D7">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注：“竞选函部分”袋、“经济部分”袋只为方便竞选文件分装，不作为判定密封合格与否的条件。但为了方便开标，请各竞选人主动配合，按要求分装。</w:t>
            </w:r>
          </w:p>
          <w:p w14:paraId="700ACBDB">
            <w:pPr>
              <w:adjustRightInd w:val="0"/>
              <w:snapToGrid w:val="0"/>
              <w:spacing w:line="400" w:lineRule="exact"/>
              <w:ind w:firstLine="420" w:firstLineChars="200"/>
              <w:rPr>
                <w:rFonts w:ascii="宋体" w:hAnsi="宋体"/>
                <w:szCs w:val="21"/>
              </w:rPr>
            </w:pPr>
            <w:r>
              <w:rPr>
                <w:rFonts w:hint="eastAsia" w:ascii="宋体" w:hAnsi="宋体" w:eastAsia="宋体" w:cs="Times New Roman"/>
                <w:szCs w:val="21"/>
              </w:rPr>
              <w:t>一个大袋装不下的，可使用多个大袋分册封装。大袋未按要求密封的，比选人或代理机构应该拒收。</w:t>
            </w:r>
          </w:p>
        </w:tc>
      </w:tr>
      <w:tr w14:paraId="3683A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B3E9EC7">
            <w:pPr>
              <w:snapToGrid w:val="0"/>
              <w:spacing w:line="400" w:lineRule="exact"/>
              <w:jc w:val="center"/>
              <w:rPr>
                <w:rFonts w:ascii="宋体" w:hAnsi="宋体"/>
                <w:kern w:val="0"/>
                <w:szCs w:val="21"/>
              </w:rPr>
            </w:pPr>
            <w:r>
              <w:rPr>
                <w:rFonts w:ascii="宋体" w:hAnsi="宋体"/>
                <w:kern w:val="0"/>
                <w:szCs w:val="21"/>
              </w:rPr>
              <w:t>4.1.2</w:t>
            </w:r>
          </w:p>
        </w:tc>
        <w:tc>
          <w:tcPr>
            <w:tcW w:w="1451" w:type="dxa"/>
            <w:vAlign w:val="center"/>
          </w:tcPr>
          <w:p w14:paraId="4E9874F6">
            <w:pPr>
              <w:snapToGrid w:val="0"/>
              <w:spacing w:line="400" w:lineRule="exact"/>
              <w:jc w:val="center"/>
              <w:rPr>
                <w:rFonts w:ascii="宋体" w:hAnsi="宋体"/>
                <w:kern w:val="0"/>
                <w:szCs w:val="21"/>
              </w:rPr>
            </w:pPr>
            <w:r>
              <w:rPr>
                <w:rFonts w:ascii="宋体" w:hAnsi="宋体"/>
                <w:kern w:val="0"/>
                <w:szCs w:val="21"/>
              </w:rPr>
              <w:t>封套上写明</w:t>
            </w:r>
          </w:p>
        </w:tc>
        <w:tc>
          <w:tcPr>
            <w:tcW w:w="6683" w:type="dxa"/>
            <w:vAlign w:val="center"/>
          </w:tcPr>
          <w:p w14:paraId="07AD32DF">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w:t>
            </w:r>
            <w:r>
              <w:rPr>
                <w:rFonts w:hint="eastAsia" w:ascii="宋体" w:hAnsi="宋体"/>
                <w:kern w:val="0"/>
                <w:szCs w:val="21"/>
                <w:lang w:eastAsia="zh-CN"/>
              </w:rPr>
              <w:t>竞选</w:t>
            </w:r>
            <w:r>
              <w:rPr>
                <w:rFonts w:ascii="宋体" w:hAnsi="宋体"/>
                <w:kern w:val="0"/>
                <w:szCs w:val="21"/>
              </w:rPr>
              <w:t>文件”袋封套上写明如下内容：</w:t>
            </w:r>
          </w:p>
          <w:p w14:paraId="25A26BE1">
            <w:pPr>
              <w:snapToGrid w:val="0"/>
              <w:spacing w:line="400" w:lineRule="exact"/>
              <w:ind w:firstLine="420" w:firstLineChars="200"/>
              <w:rPr>
                <w:rFonts w:ascii="宋体" w:hAnsi="宋体"/>
                <w:kern w:val="0"/>
                <w:szCs w:val="21"/>
                <w:u w:val="single"/>
              </w:rPr>
            </w:pPr>
            <w:r>
              <w:rPr>
                <w:rFonts w:hint="eastAsia" w:ascii="宋体" w:hAnsi="宋体"/>
                <w:kern w:val="0"/>
                <w:szCs w:val="21"/>
                <w:lang w:eastAsia="zh-CN"/>
              </w:rPr>
              <w:t>比选</w:t>
            </w:r>
            <w:r>
              <w:rPr>
                <w:rFonts w:ascii="宋体" w:hAnsi="宋体"/>
                <w:kern w:val="0"/>
                <w:szCs w:val="21"/>
              </w:rPr>
              <w:t>人名称：</w:t>
            </w:r>
            <w:r>
              <w:rPr>
                <w:rFonts w:hint="eastAsia" w:ascii="宋体" w:hAnsi="宋体"/>
                <w:kern w:val="0"/>
                <w:szCs w:val="21"/>
                <w:u w:val="single"/>
              </w:rPr>
              <w:t xml:space="preserve">            </w:t>
            </w:r>
          </w:p>
          <w:p w14:paraId="3774157E">
            <w:pPr>
              <w:snapToGrid w:val="0"/>
              <w:spacing w:line="400" w:lineRule="exact"/>
              <w:ind w:firstLine="420" w:firstLineChars="200"/>
              <w:rPr>
                <w:rFonts w:ascii="宋体" w:hAnsi="宋体"/>
                <w:kern w:val="0"/>
                <w:szCs w:val="21"/>
                <w:u w:val="single"/>
              </w:rPr>
            </w:pPr>
            <w:r>
              <w:rPr>
                <w:rFonts w:hint="eastAsia" w:ascii="宋体" w:hAnsi="宋体"/>
                <w:kern w:val="0"/>
                <w:szCs w:val="21"/>
                <w:lang w:eastAsia="zh-CN"/>
              </w:rPr>
              <w:t>竞选</w:t>
            </w:r>
            <w:r>
              <w:rPr>
                <w:rFonts w:hint="eastAsia" w:ascii="宋体" w:hAnsi="宋体"/>
                <w:kern w:val="0"/>
                <w:szCs w:val="21"/>
              </w:rPr>
              <w:t>人名称：</w:t>
            </w:r>
            <w:r>
              <w:rPr>
                <w:rFonts w:hint="eastAsia" w:ascii="宋体" w:hAnsi="宋体"/>
                <w:kern w:val="0"/>
                <w:szCs w:val="21"/>
                <w:u w:val="single"/>
              </w:rPr>
              <w:t xml:space="preserve">            </w:t>
            </w:r>
          </w:p>
          <w:p w14:paraId="7BB66219">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hint="eastAsia" w:ascii="宋体" w:hAnsi="宋体"/>
                <w:kern w:val="0"/>
                <w:szCs w:val="21"/>
                <w:lang w:eastAsia="zh-CN"/>
              </w:rPr>
              <w:t>竞选</w:t>
            </w:r>
            <w:r>
              <w:rPr>
                <w:rFonts w:ascii="宋体" w:hAnsi="宋体"/>
                <w:kern w:val="0"/>
                <w:szCs w:val="21"/>
              </w:rPr>
              <w:t>文件</w:t>
            </w:r>
          </w:p>
          <w:p w14:paraId="48155AB0">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14:paraId="3BFA98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3C796E1">
            <w:pPr>
              <w:snapToGrid w:val="0"/>
              <w:spacing w:line="400" w:lineRule="exact"/>
              <w:jc w:val="center"/>
              <w:rPr>
                <w:rFonts w:ascii="宋体" w:hAnsi="宋体"/>
                <w:kern w:val="0"/>
                <w:szCs w:val="21"/>
              </w:rPr>
            </w:pPr>
            <w:r>
              <w:rPr>
                <w:rFonts w:ascii="宋体" w:hAnsi="宋体"/>
                <w:kern w:val="0"/>
                <w:szCs w:val="21"/>
              </w:rPr>
              <w:t>4.2.1</w:t>
            </w:r>
          </w:p>
        </w:tc>
        <w:tc>
          <w:tcPr>
            <w:tcW w:w="1451" w:type="dxa"/>
            <w:vAlign w:val="center"/>
          </w:tcPr>
          <w:p w14:paraId="2130C49B">
            <w:pPr>
              <w:snapToGrid w:val="0"/>
              <w:spacing w:line="400" w:lineRule="exact"/>
              <w:jc w:val="center"/>
              <w:rPr>
                <w:rFonts w:ascii="宋体" w:hAnsi="宋体"/>
                <w:kern w:val="0"/>
                <w:szCs w:val="21"/>
              </w:rPr>
            </w:pPr>
            <w:r>
              <w:rPr>
                <w:rFonts w:ascii="宋体" w:hAnsi="宋体"/>
                <w:kern w:val="0"/>
                <w:szCs w:val="21"/>
              </w:rPr>
              <w:t>递交</w:t>
            </w:r>
            <w:r>
              <w:rPr>
                <w:rFonts w:hint="eastAsia" w:ascii="宋体" w:hAnsi="宋体"/>
                <w:kern w:val="0"/>
                <w:szCs w:val="21"/>
                <w:lang w:eastAsia="zh-CN"/>
              </w:rPr>
              <w:t>竞选</w:t>
            </w:r>
            <w:r>
              <w:rPr>
                <w:rFonts w:ascii="宋体" w:hAnsi="宋体"/>
                <w:kern w:val="0"/>
                <w:szCs w:val="21"/>
              </w:rPr>
              <w:t>文件地点</w:t>
            </w:r>
          </w:p>
        </w:tc>
        <w:tc>
          <w:tcPr>
            <w:tcW w:w="6683" w:type="dxa"/>
            <w:vAlign w:val="center"/>
          </w:tcPr>
          <w:p w14:paraId="40385E0D">
            <w:pPr>
              <w:snapToGrid w:val="0"/>
              <w:spacing w:line="400" w:lineRule="exact"/>
              <w:ind w:firstLine="420" w:firstLineChars="200"/>
              <w:rPr>
                <w:rFonts w:hint="eastAsia" w:ascii="宋体" w:hAnsi="宋体" w:eastAsia="宋体"/>
                <w:bCs/>
                <w:szCs w:val="21"/>
                <w:lang w:eastAsia="zh-CN"/>
              </w:rPr>
            </w:pPr>
            <w:r>
              <w:rPr>
                <w:rFonts w:hint="eastAsia" w:ascii="宋体" w:hAnsi="宋体"/>
                <w:szCs w:val="21"/>
              </w:rPr>
              <w:t>重庆市南岸区茶园江桥路一号附1号14</w:t>
            </w:r>
            <w:r>
              <w:rPr>
                <w:rFonts w:hint="eastAsia" w:ascii="宋体" w:hAnsi="宋体"/>
                <w:szCs w:val="21"/>
                <w:lang w:eastAsia="zh-CN"/>
              </w:rPr>
              <w:t>楼会议室。</w:t>
            </w:r>
          </w:p>
        </w:tc>
      </w:tr>
      <w:tr w14:paraId="7A308E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9CB5B56">
            <w:pPr>
              <w:snapToGrid w:val="0"/>
              <w:spacing w:line="400" w:lineRule="exact"/>
              <w:jc w:val="center"/>
              <w:rPr>
                <w:rFonts w:ascii="宋体" w:hAnsi="宋体"/>
                <w:kern w:val="0"/>
                <w:szCs w:val="21"/>
              </w:rPr>
            </w:pPr>
            <w:r>
              <w:rPr>
                <w:rFonts w:ascii="宋体" w:hAnsi="宋体"/>
                <w:kern w:val="0"/>
                <w:szCs w:val="21"/>
              </w:rPr>
              <w:t>4.2.2</w:t>
            </w:r>
          </w:p>
        </w:tc>
        <w:tc>
          <w:tcPr>
            <w:tcW w:w="1451" w:type="dxa"/>
            <w:vAlign w:val="center"/>
          </w:tcPr>
          <w:p w14:paraId="2679D9E4">
            <w:pPr>
              <w:snapToGrid w:val="0"/>
              <w:spacing w:line="400" w:lineRule="exact"/>
              <w:jc w:val="center"/>
              <w:rPr>
                <w:rFonts w:ascii="宋体" w:hAnsi="宋体"/>
                <w:kern w:val="0"/>
                <w:szCs w:val="21"/>
              </w:rPr>
            </w:pPr>
            <w:r>
              <w:rPr>
                <w:rFonts w:ascii="宋体" w:hAnsi="宋体"/>
                <w:kern w:val="0"/>
                <w:szCs w:val="21"/>
              </w:rPr>
              <w:t>是否退还</w:t>
            </w:r>
            <w:r>
              <w:rPr>
                <w:rFonts w:hint="eastAsia" w:ascii="宋体" w:hAnsi="宋体"/>
                <w:kern w:val="0"/>
                <w:szCs w:val="21"/>
                <w:lang w:eastAsia="zh-CN"/>
              </w:rPr>
              <w:t>竞选</w:t>
            </w:r>
            <w:r>
              <w:rPr>
                <w:rFonts w:ascii="宋体" w:hAnsi="宋体"/>
                <w:kern w:val="0"/>
                <w:szCs w:val="21"/>
              </w:rPr>
              <w:t>文件</w:t>
            </w:r>
          </w:p>
        </w:tc>
        <w:tc>
          <w:tcPr>
            <w:tcW w:w="6683" w:type="dxa"/>
            <w:vAlign w:val="center"/>
          </w:tcPr>
          <w:p w14:paraId="60A4E2B4">
            <w:pPr>
              <w:snapToGrid w:val="0"/>
              <w:spacing w:line="400" w:lineRule="exact"/>
              <w:ind w:firstLine="420" w:firstLineChars="200"/>
              <w:rPr>
                <w:rFonts w:ascii="宋体" w:hAnsi="宋体"/>
                <w:kern w:val="0"/>
                <w:szCs w:val="21"/>
              </w:rPr>
            </w:pPr>
            <w:r>
              <w:rPr>
                <w:rFonts w:ascii="宋体" w:hAnsi="宋体"/>
                <w:kern w:val="0"/>
                <w:szCs w:val="21"/>
              </w:rPr>
              <w:t>否</w:t>
            </w:r>
          </w:p>
        </w:tc>
      </w:tr>
      <w:tr w14:paraId="4DAA0D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90795F3">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451" w:type="dxa"/>
            <w:vAlign w:val="center"/>
          </w:tcPr>
          <w:p w14:paraId="447D933A">
            <w:pPr>
              <w:snapToGrid w:val="0"/>
              <w:spacing w:line="400" w:lineRule="exact"/>
              <w:jc w:val="center"/>
              <w:rPr>
                <w:rFonts w:ascii="宋体" w:hAnsi="宋体"/>
                <w:kern w:val="0"/>
                <w:szCs w:val="21"/>
              </w:rPr>
            </w:pPr>
            <w:r>
              <w:rPr>
                <w:rFonts w:ascii="宋体" w:hAnsi="宋体"/>
                <w:kern w:val="0"/>
                <w:szCs w:val="21"/>
              </w:rPr>
              <w:t>开标时间和</w:t>
            </w:r>
          </w:p>
          <w:p w14:paraId="761CFFE7">
            <w:pPr>
              <w:snapToGrid w:val="0"/>
              <w:spacing w:line="400" w:lineRule="exact"/>
              <w:jc w:val="center"/>
              <w:rPr>
                <w:rFonts w:ascii="宋体" w:hAnsi="宋体"/>
                <w:kern w:val="0"/>
                <w:szCs w:val="21"/>
              </w:rPr>
            </w:pPr>
            <w:r>
              <w:rPr>
                <w:rFonts w:ascii="宋体" w:hAnsi="宋体"/>
                <w:kern w:val="0"/>
                <w:szCs w:val="21"/>
              </w:rPr>
              <w:t>地点</w:t>
            </w:r>
          </w:p>
        </w:tc>
        <w:tc>
          <w:tcPr>
            <w:tcW w:w="6683" w:type="dxa"/>
            <w:vAlign w:val="center"/>
          </w:tcPr>
          <w:p w14:paraId="322036EB">
            <w:pPr>
              <w:snapToGrid w:val="0"/>
              <w:spacing w:line="400" w:lineRule="exact"/>
              <w:ind w:firstLine="420" w:firstLineChars="200"/>
              <w:rPr>
                <w:rFonts w:hint="eastAsia" w:ascii="宋体" w:hAnsi="宋体" w:eastAsia="宋体"/>
                <w:szCs w:val="21"/>
                <w:lang w:eastAsia="zh-CN"/>
              </w:rPr>
            </w:pPr>
            <w:r>
              <w:rPr>
                <w:rFonts w:ascii="宋体" w:hAnsi="宋体"/>
                <w:kern w:val="0"/>
                <w:szCs w:val="21"/>
              </w:rPr>
              <w:t>开标时间：：</w:t>
            </w:r>
            <w:r>
              <w:rPr>
                <w:rFonts w:hint="eastAsia" w:ascii="宋体" w:hAnsi="宋体"/>
                <w:szCs w:val="21"/>
                <w:lang w:eastAsia="zh-CN"/>
              </w:rPr>
              <w:t>同比选截止时间</w:t>
            </w:r>
          </w:p>
          <w:p w14:paraId="5AEBCB94">
            <w:pPr>
              <w:snapToGrid w:val="0"/>
              <w:spacing w:line="400" w:lineRule="exact"/>
              <w:ind w:firstLine="420" w:firstLineChars="200"/>
              <w:rPr>
                <w:rFonts w:hint="eastAsia" w:ascii="宋体" w:hAnsi="宋体" w:eastAsia="宋体"/>
                <w:bCs/>
                <w:szCs w:val="21"/>
                <w:lang w:eastAsia="zh-CN"/>
              </w:rPr>
            </w:pPr>
            <w:r>
              <w:rPr>
                <w:rFonts w:ascii="宋体" w:hAnsi="宋体"/>
                <w:kern w:val="0"/>
                <w:szCs w:val="21"/>
              </w:rPr>
              <w:t>开标地点：</w:t>
            </w:r>
            <w:r>
              <w:rPr>
                <w:rFonts w:hint="eastAsia" w:ascii="宋体" w:hAnsi="宋体"/>
                <w:szCs w:val="21"/>
              </w:rPr>
              <w:t>重庆市南岸区茶园江桥路一号附1号14</w:t>
            </w:r>
            <w:r>
              <w:rPr>
                <w:rFonts w:hint="eastAsia" w:ascii="宋体" w:hAnsi="宋体"/>
                <w:szCs w:val="21"/>
                <w:lang w:eastAsia="zh-CN"/>
              </w:rPr>
              <w:t>楼会议室</w:t>
            </w:r>
          </w:p>
        </w:tc>
      </w:tr>
      <w:tr w14:paraId="441ED1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7E932BB">
            <w:pPr>
              <w:snapToGrid w:val="0"/>
              <w:spacing w:line="400" w:lineRule="exact"/>
              <w:jc w:val="center"/>
              <w:rPr>
                <w:rFonts w:ascii="宋体" w:hAnsi="宋体"/>
                <w:kern w:val="0"/>
                <w:szCs w:val="21"/>
              </w:rPr>
            </w:pPr>
            <w:r>
              <w:rPr>
                <w:rFonts w:hint="eastAsia" w:ascii="宋体" w:hAnsi="宋体"/>
                <w:kern w:val="0"/>
                <w:szCs w:val="21"/>
              </w:rPr>
              <w:t>5.1.2</w:t>
            </w:r>
          </w:p>
        </w:tc>
        <w:tc>
          <w:tcPr>
            <w:tcW w:w="1451" w:type="dxa"/>
            <w:vAlign w:val="center"/>
          </w:tcPr>
          <w:p w14:paraId="3C35CD05">
            <w:pPr>
              <w:snapToGrid w:val="0"/>
              <w:spacing w:line="400" w:lineRule="exact"/>
              <w:jc w:val="center"/>
              <w:rPr>
                <w:rFonts w:ascii="宋体" w:hAnsi="宋体"/>
                <w:kern w:val="0"/>
                <w:szCs w:val="21"/>
              </w:rPr>
            </w:pPr>
            <w:r>
              <w:rPr>
                <w:rFonts w:hint="eastAsia" w:ascii="宋体" w:hAnsi="宋体"/>
                <w:kern w:val="0"/>
                <w:szCs w:val="21"/>
              </w:rPr>
              <w:t>解密时间</w:t>
            </w:r>
          </w:p>
        </w:tc>
        <w:tc>
          <w:tcPr>
            <w:tcW w:w="6683" w:type="dxa"/>
            <w:vAlign w:val="center"/>
          </w:tcPr>
          <w:p w14:paraId="6ABAA3D2">
            <w:pPr>
              <w:snapToGrid w:val="0"/>
              <w:spacing w:line="400" w:lineRule="exact"/>
              <w:ind w:firstLine="420" w:firstLineChars="200"/>
              <w:rPr>
                <w:rFonts w:ascii="宋体" w:hAnsi="宋体"/>
                <w:kern w:val="0"/>
                <w:szCs w:val="21"/>
              </w:rPr>
            </w:pPr>
            <w:r>
              <w:rPr>
                <w:rFonts w:hint="eastAsia" w:ascii="宋体" w:hAnsi="宋体"/>
                <w:kern w:val="0"/>
                <w:szCs w:val="21"/>
              </w:rPr>
              <w:t>/</w:t>
            </w:r>
          </w:p>
        </w:tc>
      </w:tr>
      <w:tr w14:paraId="70E8C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646E7EC">
            <w:pPr>
              <w:snapToGrid w:val="0"/>
              <w:spacing w:line="400" w:lineRule="exact"/>
              <w:jc w:val="center"/>
              <w:rPr>
                <w:rFonts w:ascii="宋体" w:hAnsi="宋体"/>
                <w:szCs w:val="21"/>
              </w:rPr>
            </w:pPr>
            <w:r>
              <w:rPr>
                <w:rFonts w:hint="eastAsia" w:ascii="宋体" w:hAnsi="宋体"/>
                <w:szCs w:val="21"/>
              </w:rPr>
              <w:t>5.2</w:t>
            </w:r>
          </w:p>
        </w:tc>
        <w:tc>
          <w:tcPr>
            <w:tcW w:w="1451" w:type="dxa"/>
            <w:vAlign w:val="center"/>
          </w:tcPr>
          <w:p w14:paraId="1DA929A1">
            <w:pPr>
              <w:snapToGrid w:val="0"/>
              <w:spacing w:line="400" w:lineRule="exact"/>
              <w:jc w:val="center"/>
              <w:rPr>
                <w:rFonts w:ascii="宋体" w:hAnsi="宋体"/>
                <w:szCs w:val="21"/>
              </w:rPr>
            </w:pPr>
            <w:r>
              <w:rPr>
                <w:rFonts w:hint="eastAsia" w:ascii="宋体" w:hAnsi="宋体"/>
                <w:szCs w:val="21"/>
              </w:rPr>
              <w:t>开标程序</w:t>
            </w:r>
          </w:p>
        </w:tc>
        <w:tc>
          <w:tcPr>
            <w:tcW w:w="6683" w:type="dxa"/>
            <w:vAlign w:val="center"/>
          </w:tcPr>
          <w:p w14:paraId="7FCA6A6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主持人按下列程序进行开标：</w:t>
            </w:r>
          </w:p>
          <w:p w14:paraId="4D84116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 开标时间（应与</w:t>
            </w:r>
            <w:r>
              <w:rPr>
                <w:rFonts w:hint="eastAsia" w:ascii="宋体" w:hAnsi="宋体"/>
                <w:szCs w:val="21"/>
                <w:lang w:eastAsia="zh-CN"/>
              </w:rPr>
              <w:t>竞选</w:t>
            </w:r>
            <w:r>
              <w:rPr>
                <w:rFonts w:hint="eastAsia" w:ascii="宋体" w:hAnsi="宋体"/>
                <w:szCs w:val="21"/>
              </w:rPr>
              <w:t>截止时间一致），经</w:t>
            </w:r>
            <w:r>
              <w:rPr>
                <w:rFonts w:hint="eastAsia" w:ascii="宋体" w:hAnsi="宋体"/>
                <w:szCs w:val="21"/>
                <w:lang w:eastAsia="zh-CN"/>
              </w:rPr>
              <w:t>比选</w:t>
            </w:r>
            <w:r>
              <w:rPr>
                <w:rFonts w:hint="eastAsia" w:ascii="宋体" w:hAnsi="宋体"/>
                <w:szCs w:val="21"/>
              </w:rPr>
              <w:t>人确认开标开始后，开启各</w:t>
            </w:r>
            <w:r>
              <w:rPr>
                <w:rFonts w:hint="eastAsia" w:ascii="宋体" w:hAnsi="宋体"/>
                <w:szCs w:val="21"/>
                <w:lang w:eastAsia="zh-CN"/>
              </w:rPr>
              <w:t>竞选</w:t>
            </w:r>
            <w:r>
              <w:rPr>
                <w:rFonts w:hint="eastAsia" w:ascii="宋体" w:hAnsi="宋体"/>
                <w:szCs w:val="21"/>
              </w:rPr>
              <w:t>人按时递交的</w:t>
            </w:r>
            <w:r>
              <w:rPr>
                <w:rFonts w:hint="eastAsia" w:ascii="宋体" w:hAnsi="宋体"/>
                <w:szCs w:val="21"/>
                <w:lang w:eastAsia="zh-CN"/>
              </w:rPr>
              <w:t>竞选</w:t>
            </w:r>
            <w:r>
              <w:rPr>
                <w:rFonts w:hint="eastAsia" w:ascii="宋体" w:hAnsi="宋体"/>
                <w:szCs w:val="21"/>
              </w:rPr>
              <w:t>文件，公布</w:t>
            </w:r>
            <w:r>
              <w:rPr>
                <w:rFonts w:hint="eastAsia" w:ascii="宋体" w:hAnsi="宋体"/>
                <w:szCs w:val="21"/>
                <w:lang w:eastAsia="zh-CN"/>
              </w:rPr>
              <w:t>竞选</w:t>
            </w:r>
            <w:r>
              <w:rPr>
                <w:rFonts w:hint="eastAsia" w:ascii="宋体" w:hAnsi="宋体"/>
                <w:szCs w:val="21"/>
              </w:rPr>
              <w:t>人名单。</w:t>
            </w:r>
          </w:p>
          <w:p w14:paraId="1CE6CDBF">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w:t>
            </w:r>
            <w:r>
              <w:rPr>
                <w:rFonts w:hint="eastAsia" w:ascii="宋体" w:hAnsi="宋体"/>
                <w:szCs w:val="21"/>
              </w:rPr>
              <w:t>. 公布最高限价，采用经评审最低</w:t>
            </w:r>
            <w:r>
              <w:rPr>
                <w:rFonts w:hint="eastAsia" w:ascii="宋体" w:hAnsi="宋体"/>
                <w:szCs w:val="21"/>
                <w:lang w:eastAsia="zh-CN"/>
              </w:rPr>
              <w:t>竞选</w:t>
            </w:r>
            <w:r>
              <w:rPr>
                <w:rFonts w:hint="eastAsia" w:ascii="宋体" w:hAnsi="宋体"/>
                <w:szCs w:val="21"/>
              </w:rPr>
              <w:t>价法的还需计算最高限价的85%数值，以便评标委员会评审。</w:t>
            </w:r>
          </w:p>
          <w:p w14:paraId="0370C09C">
            <w:pPr>
              <w:autoSpaceDE w:val="0"/>
              <w:autoSpaceDN w:val="0"/>
              <w:adjustRightInd w:val="0"/>
              <w:snapToGrid w:val="0"/>
              <w:spacing w:line="400" w:lineRule="exact"/>
              <w:ind w:firstLine="420" w:firstLineChars="200"/>
              <w:rPr>
                <w:rFonts w:ascii="宋体" w:hAnsi="宋体"/>
                <w:szCs w:val="21"/>
              </w:rPr>
            </w:pPr>
            <w:r>
              <w:rPr>
                <w:rFonts w:ascii="宋体" w:hAnsi="宋体"/>
                <w:szCs w:val="21"/>
              </w:rPr>
              <w:t>3</w:t>
            </w:r>
            <w:r>
              <w:rPr>
                <w:rFonts w:hint="eastAsia" w:ascii="宋体" w:hAnsi="宋体"/>
                <w:szCs w:val="21"/>
              </w:rPr>
              <w:t>. 公布</w:t>
            </w:r>
            <w:r>
              <w:rPr>
                <w:rFonts w:hint="eastAsia" w:ascii="宋体" w:hAnsi="宋体"/>
                <w:szCs w:val="21"/>
                <w:lang w:eastAsia="zh-CN"/>
              </w:rPr>
              <w:t>竞选</w:t>
            </w:r>
            <w:r>
              <w:rPr>
                <w:rFonts w:hint="eastAsia" w:ascii="宋体" w:hAnsi="宋体"/>
                <w:szCs w:val="21"/>
              </w:rPr>
              <w:t>人名称、</w:t>
            </w:r>
            <w:r>
              <w:rPr>
                <w:rFonts w:hint="eastAsia" w:ascii="宋体" w:hAnsi="宋体"/>
                <w:szCs w:val="21"/>
                <w:lang w:eastAsia="zh-CN"/>
              </w:rPr>
              <w:t>竞选</w:t>
            </w:r>
            <w:r>
              <w:rPr>
                <w:rFonts w:hint="eastAsia" w:ascii="宋体" w:hAnsi="宋体"/>
                <w:szCs w:val="21"/>
              </w:rPr>
              <w:t>报价、质量目标、工期及其他内容。</w:t>
            </w:r>
          </w:p>
          <w:p w14:paraId="6DD8BC35">
            <w:pPr>
              <w:autoSpaceDE w:val="0"/>
              <w:autoSpaceDN w:val="0"/>
              <w:adjustRightInd w:val="0"/>
              <w:snapToGrid w:val="0"/>
              <w:spacing w:line="400" w:lineRule="exact"/>
              <w:ind w:firstLine="420" w:firstLineChars="200"/>
              <w:rPr>
                <w:rFonts w:ascii="宋体" w:hAnsi="宋体"/>
                <w:szCs w:val="21"/>
              </w:rPr>
            </w:pPr>
            <w:r>
              <w:rPr>
                <w:rFonts w:ascii="宋体" w:hAnsi="宋体"/>
                <w:szCs w:val="21"/>
              </w:rPr>
              <w:t>4</w:t>
            </w:r>
            <w:r>
              <w:rPr>
                <w:rFonts w:hint="eastAsia" w:ascii="宋体" w:hAnsi="宋体"/>
                <w:szCs w:val="21"/>
              </w:rPr>
              <w:t xml:space="preserve">. </w:t>
            </w:r>
            <w:r>
              <w:rPr>
                <w:rFonts w:hint="eastAsia" w:ascii="宋体" w:hAnsi="宋体"/>
                <w:szCs w:val="21"/>
                <w:lang w:eastAsia="zh-CN"/>
              </w:rPr>
              <w:t>竞选</w:t>
            </w:r>
            <w:r>
              <w:rPr>
                <w:rFonts w:hint="eastAsia" w:ascii="宋体" w:hAnsi="宋体"/>
                <w:szCs w:val="21"/>
              </w:rPr>
              <w:t>人对开标有异议的，应当场提出，由</w:t>
            </w:r>
            <w:r>
              <w:rPr>
                <w:rFonts w:hint="eastAsia" w:ascii="宋体" w:hAnsi="宋体"/>
                <w:szCs w:val="21"/>
                <w:lang w:eastAsia="zh-CN"/>
              </w:rPr>
              <w:t>比选</w:t>
            </w:r>
            <w:r>
              <w:rPr>
                <w:rFonts w:hint="eastAsia" w:ascii="宋体" w:hAnsi="宋体"/>
                <w:szCs w:val="21"/>
              </w:rPr>
              <w:t>人当场答复，并记录到开标记录表中。异议处理完毕后，汇总开标情况，打印开标记录表。</w:t>
            </w:r>
          </w:p>
          <w:p w14:paraId="47454E70">
            <w:pPr>
              <w:autoSpaceDE w:val="0"/>
              <w:autoSpaceDN w:val="0"/>
              <w:adjustRightInd w:val="0"/>
              <w:snapToGrid w:val="0"/>
              <w:spacing w:line="400" w:lineRule="exact"/>
              <w:ind w:firstLine="420" w:firstLineChars="200"/>
              <w:rPr>
                <w:rFonts w:ascii="宋体" w:hAnsi="宋体"/>
                <w:szCs w:val="21"/>
              </w:rPr>
            </w:pPr>
            <w:r>
              <w:rPr>
                <w:rFonts w:ascii="宋体" w:hAnsi="宋体"/>
                <w:szCs w:val="21"/>
              </w:rPr>
              <w:t>5</w:t>
            </w:r>
            <w:r>
              <w:rPr>
                <w:rFonts w:hint="eastAsia" w:ascii="宋体" w:hAnsi="宋体"/>
                <w:szCs w:val="21"/>
              </w:rPr>
              <w:t xml:space="preserve">. </w:t>
            </w:r>
            <w:r>
              <w:rPr>
                <w:rFonts w:hint="eastAsia" w:ascii="宋体" w:hAnsi="宋体"/>
                <w:szCs w:val="21"/>
                <w:lang w:eastAsia="zh-CN"/>
              </w:rPr>
              <w:t>竞选</w:t>
            </w:r>
            <w:r>
              <w:rPr>
                <w:rFonts w:hint="eastAsia" w:ascii="宋体" w:hAnsi="宋体"/>
                <w:szCs w:val="21"/>
              </w:rPr>
              <w:t>人代表、</w:t>
            </w:r>
            <w:r>
              <w:rPr>
                <w:rFonts w:hint="eastAsia" w:ascii="宋体" w:hAnsi="宋体"/>
                <w:szCs w:val="21"/>
                <w:lang w:eastAsia="zh-CN"/>
              </w:rPr>
              <w:t>比选</w:t>
            </w:r>
            <w:r>
              <w:rPr>
                <w:rFonts w:hint="eastAsia" w:ascii="宋体" w:hAnsi="宋体"/>
                <w:szCs w:val="21"/>
              </w:rPr>
              <w:t>人代表、监标人、主持人、记录人等有关人员在开标记录上签字确认。因其他原因未能签字的，视为默认开标结果。</w:t>
            </w:r>
          </w:p>
          <w:p w14:paraId="418F0800">
            <w:pPr>
              <w:autoSpaceDE w:val="0"/>
              <w:autoSpaceDN w:val="0"/>
              <w:adjustRightInd w:val="0"/>
              <w:snapToGrid w:val="0"/>
              <w:spacing w:line="400" w:lineRule="exact"/>
              <w:ind w:firstLine="420" w:firstLineChars="200"/>
              <w:rPr>
                <w:rFonts w:ascii="宋体" w:hAnsi="宋体"/>
                <w:szCs w:val="21"/>
              </w:rPr>
            </w:pPr>
            <w:r>
              <w:rPr>
                <w:rFonts w:ascii="宋体" w:hAnsi="宋体"/>
                <w:szCs w:val="21"/>
              </w:rPr>
              <w:t>6</w:t>
            </w:r>
            <w:r>
              <w:rPr>
                <w:rFonts w:hint="eastAsia" w:ascii="宋体" w:hAnsi="宋体"/>
                <w:szCs w:val="21"/>
              </w:rPr>
              <w:t>. 开标结束。</w:t>
            </w:r>
          </w:p>
        </w:tc>
      </w:tr>
      <w:tr w14:paraId="0B78A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75072DA">
            <w:pPr>
              <w:snapToGrid w:val="0"/>
              <w:spacing w:line="400" w:lineRule="exact"/>
              <w:jc w:val="center"/>
              <w:rPr>
                <w:rFonts w:ascii="宋体" w:hAnsi="宋体"/>
                <w:kern w:val="0"/>
                <w:szCs w:val="21"/>
              </w:rPr>
            </w:pPr>
            <w:r>
              <w:rPr>
                <w:rFonts w:ascii="宋体" w:hAnsi="宋体"/>
                <w:kern w:val="0"/>
                <w:szCs w:val="21"/>
              </w:rPr>
              <w:t>6.1.1</w:t>
            </w:r>
          </w:p>
        </w:tc>
        <w:tc>
          <w:tcPr>
            <w:tcW w:w="1451" w:type="dxa"/>
            <w:vAlign w:val="center"/>
          </w:tcPr>
          <w:p w14:paraId="530F3FFC">
            <w:pPr>
              <w:snapToGrid w:val="0"/>
              <w:spacing w:line="400" w:lineRule="exact"/>
              <w:jc w:val="center"/>
              <w:rPr>
                <w:rFonts w:ascii="宋体" w:hAnsi="宋体"/>
                <w:kern w:val="0"/>
                <w:szCs w:val="21"/>
              </w:rPr>
            </w:pPr>
            <w:r>
              <w:rPr>
                <w:rFonts w:ascii="宋体" w:hAnsi="宋体"/>
                <w:kern w:val="0"/>
                <w:szCs w:val="21"/>
              </w:rPr>
              <w:t>评标委员会的组建</w:t>
            </w:r>
          </w:p>
        </w:tc>
        <w:tc>
          <w:tcPr>
            <w:tcW w:w="6683" w:type="dxa"/>
            <w:vAlign w:val="center"/>
          </w:tcPr>
          <w:p w14:paraId="376373FD">
            <w:pPr>
              <w:autoSpaceDE w:val="0"/>
              <w:autoSpaceDN w:val="0"/>
              <w:adjustRightInd w:val="0"/>
              <w:snapToGrid w:val="0"/>
              <w:spacing w:line="400" w:lineRule="exact"/>
              <w:ind w:firstLine="436" w:firstLineChars="200"/>
              <w:rPr>
                <w:rFonts w:hint="eastAsia" w:ascii="宋体" w:hAnsi="宋体" w:eastAsia="宋体"/>
                <w:kern w:val="0"/>
                <w:szCs w:val="21"/>
                <w:lang w:eastAsia="zh-CN"/>
              </w:rPr>
            </w:pPr>
            <w:r>
              <w:rPr>
                <w:rFonts w:hint="eastAsia" w:ascii="宋体" w:hAnsi="宋体"/>
                <w:spacing w:val="4"/>
                <w:kern w:val="0"/>
                <w:szCs w:val="21"/>
              </w:rPr>
              <w:t>由</w:t>
            </w:r>
            <w:r>
              <w:rPr>
                <w:rFonts w:hint="eastAsia" w:ascii="宋体" w:hAnsi="宋体"/>
                <w:spacing w:val="4"/>
                <w:kern w:val="0"/>
                <w:szCs w:val="21"/>
                <w:lang w:eastAsia="zh-CN"/>
              </w:rPr>
              <w:t>比选</w:t>
            </w:r>
            <w:r>
              <w:rPr>
                <w:rFonts w:hint="eastAsia" w:ascii="宋体" w:hAnsi="宋体"/>
                <w:spacing w:val="4"/>
                <w:kern w:val="0"/>
                <w:szCs w:val="21"/>
              </w:rPr>
              <w:t>人依法自行组建评标委员会</w:t>
            </w:r>
            <w:r>
              <w:rPr>
                <w:rFonts w:hint="eastAsia" w:ascii="宋体" w:hAnsi="宋体"/>
                <w:spacing w:val="4"/>
                <w:kern w:val="0"/>
                <w:szCs w:val="21"/>
                <w:lang w:eastAsia="zh-CN"/>
              </w:rPr>
              <w:t>。</w:t>
            </w:r>
          </w:p>
        </w:tc>
      </w:tr>
      <w:tr w14:paraId="423C2E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9A8C96C">
            <w:pPr>
              <w:snapToGrid w:val="0"/>
              <w:spacing w:line="400" w:lineRule="exact"/>
              <w:jc w:val="center"/>
              <w:rPr>
                <w:rFonts w:ascii="宋体" w:hAnsi="宋体"/>
                <w:kern w:val="0"/>
                <w:szCs w:val="21"/>
              </w:rPr>
            </w:pPr>
            <w:r>
              <w:rPr>
                <w:rFonts w:ascii="宋体" w:hAnsi="宋体"/>
                <w:kern w:val="0"/>
                <w:szCs w:val="21"/>
              </w:rPr>
              <w:t>7.1</w:t>
            </w:r>
          </w:p>
        </w:tc>
        <w:tc>
          <w:tcPr>
            <w:tcW w:w="1451" w:type="dxa"/>
            <w:vAlign w:val="center"/>
          </w:tcPr>
          <w:p w14:paraId="54C43D0E">
            <w:pPr>
              <w:snapToGrid w:val="0"/>
              <w:spacing w:after="62" w:afterLines="20" w:line="400" w:lineRule="exact"/>
              <w:jc w:val="center"/>
              <w:rPr>
                <w:rFonts w:ascii="宋体" w:hAnsi="宋体"/>
                <w:kern w:val="0"/>
                <w:szCs w:val="21"/>
              </w:rPr>
            </w:pPr>
            <w:r>
              <w:rPr>
                <w:rFonts w:ascii="宋体" w:hAnsi="宋体"/>
                <w:kern w:val="0"/>
                <w:szCs w:val="21"/>
              </w:rPr>
              <w:t>是否授权评标委员会确定中标人</w:t>
            </w:r>
          </w:p>
        </w:tc>
        <w:tc>
          <w:tcPr>
            <w:tcW w:w="6683" w:type="dxa"/>
            <w:vAlign w:val="center"/>
          </w:tcPr>
          <w:p w14:paraId="579CF361">
            <w:pPr>
              <w:snapToGrid w:val="0"/>
              <w:spacing w:line="400" w:lineRule="exact"/>
              <w:ind w:firstLine="420" w:firstLineChars="200"/>
              <w:rPr>
                <w:rFonts w:ascii="宋体" w:hAnsi="宋体"/>
                <w:kern w:val="0"/>
                <w:szCs w:val="21"/>
              </w:rPr>
            </w:pP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由低到高排名前三名为中标候选人。</w:t>
            </w:r>
            <w:r>
              <w:rPr>
                <w:rFonts w:ascii="宋体" w:hAnsi="宋体"/>
                <w:i/>
                <w:kern w:val="0"/>
                <w:szCs w:val="21"/>
              </w:rPr>
              <w:t xml:space="preserve"> </w:t>
            </w:r>
          </w:p>
        </w:tc>
      </w:tr>
      <w:tr w14:paraId="0E602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498C8D0">
            <w:pPr>
              <w:snapToGrid w:val="0"/>
              <w:spacing w:line="400" w:lineRule="exact"/>
              <w:jc w:val="center"/>
              <w:rPr>
                <w:rFonts w:ascii="宋体" w:hAnsi="宋体"/>
                <w:kern w:val="0"/>
                <w:szCs w:val="21"/>
              </w:rPr>
            </w:pPr>
            <w:r>
              <w:rPr>
                <w:rFonts w:hint="eastAsia" w:ascii="宋体" w:hAnsi="宋体"/>
                <w:kern w:val="0"/>
                <w:szCs w:val="21"/>
              </w:rPr>
              <w:t>7.2</w:t>
            </w:r>
          </w:p>
        </w:tc>
        <w:tc>
          <w:tcPr>
            <w:tcW w:w="1451" w:type="dxa"/>
            <w:vAlign w:val="center"/>
          </w:tcPr>
          <w:p w14:paraId="2D0F4AC3">
            <w:pPr>
              <w:snapToGrid w:val="0"/>
              <w:spacing w:after="62" w:afterLines="20" w:line="400" w:lineRule="exact"/>
              <w:jc w:val="center"/>
              <w:rPr>
                <w:rFonts w:ascii="宋体" w:hAnsi="宋体"/>
                <w:kern w:val="0"/>
                <w:szCs w:val="21"/>
              </w:rPr>
            </w:pPr>
            <w:r>
              <w:rPr>
                <w:rFonts w:ascii="宋体" w:hAnsi="宋体"/>
                <w:kern w:val="0"/>
                <w:szCs w:val="21"/>
              </w:rPr>
              <w:t>中标公示</w:t>
            </w:r>
          </w:p>
        </w:tc>
        <w:tc>
          <w:tcPr>
            <w:tcW w:w="6683" w:type="dxa"/>
            <w:vAlign w:val="center"/>
          </w:tcPr>
          <w:p w14:paraId="24CD9B03">
            <w:pPr>
              <w:snapToGrid w:val="0"/>
              <w:spacing w:line="400" w:lineRule="exact"/>
              <w:ind w:firstLine="420" w:firstLineChars="200"/>
              <w:rPr>
                <w:rFonts w:ascii="宋体" w:hAnsi="宋体"/>
                <w:kern w:val="0"/>
                <w:szCs w:val="21"/>
              </w:rPr>
            </w:pPr>
            <w:r>
              <w:rPr>
                <w:rFonts w:hint="eastAsia" w:ascii="宋体" w:hAnsi="宋体" w:cs="宋体"/>
                <w:szCs w:val="21"/>
                <w:lang w:eastAsia="zh-CN"/>
              </w:rPr>
              <w:t>比选</w:t>
            </w:r>
            <w:r>
              <w:rPr>
                <w:rFonts w:hint="eastAsia" w:ascii="宋体" w:hAnsi="宋体" w:cs="宋体"/>
                <w:szCs w:val="21"/>
              </w:rPr>
              <w:t>人在收到评标报告后3日内将评标结果在</w:t>
            </w:r>
            <w:r>
              <w:rPr>
                <w:rFonts w:hint="eastAsia" w:ascii="宋体" w:hAnsi="宋体"/>
                <w:snapToGrid w:val="0"/>
                <w:kern w:val="0"/>
                <w:szCs w:val="21"/>
              </w:rPr>
              <w:t>重庆经开区投资集团官网</w:t>
            </w:r>
            <w:r>
              <w:rPr>
                <w:rFonts w:hint="eastAsia" w:ascii="宋体" w:hAnsi="宋体"/>
                <w:snapToGrid w:val="0"/>
                <w:kern w:val="0"/>
                <w:szCs w:val="21"/>
                <w:u w:val="single"/>
              </w:rPr>
              <w:t>（</w:t>
            </w:r>
            <w:r>
              <w:fldChar w:fldCharType="begin"/>
            </w:r>
            <w:r>
              <w:instrText xml:space="preserve"> HYPERLINK "http://www.cetzig.com/" </w:instrText>
            </w:r>
            <w:r>
              <w:fldChar w:fldCharType="separate"/>
            </w:r>
            <w:r>
              <w:rPr>
                <w:rFonts w:ascii="宋体" w:hAnsi="宋体"/>
                <w:snapToGrid w:val="0"/>
                <w:kern w:val="0"/>
                <w:szCs w:val="21"/>
                <w:u w:val="single"/>
              </w:rPr>
              <w:t>http://www.cetzig.com/</w:t>
            </w:r>
            <w:r>
              <w:rPr>
                <w:rFonts w:ascii="宋体" w:hAnsi="宋体"/>
                <w:snapToGrid w:val="0"/>
                <w:kern w:val="0"/>
                <w:szCs w:val="21"/>
                <w:u w:val="single"/>
              </w:rPr>
              <w:fldChar w:fldCharType="end"/>
            </w:r>
            <w:r>
              <w:rPr>
                <w:rFonts w:hint="eastAsia" w:ascii="宋体" w:hAnsi="宋体"/>
                <w:snapToGrid w:val="0"/>
                <w:kern w:val="0"/>
                <w:szCs w:val="21"/>
                <w:u w:val="single"/>
              </w:rPr>
              <w:t>）</w:t>
            </w:r>
            <w:r>
              <w:rPr>
                <w:rFonts w:hint="eastAsia" w:ascii="宋体" w:hAnsi="宋体" w:cs="宋体"/>
                <w:szCs w:val="21"/>
              </w:rPr>
              <w:t>上进行公示，公示期为3日。</w:t>
            </w:r>
          </w:p>
        </w:tc>
      </w:tr>
      <w:tr w14:paraId="302B7E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78C2E47">
            <w:pPr>
              <w:snapToGrid w:val="0"/>
              <w:spacing w:line="400" w:lineRule="exact"/>
              <w:jc w:val="center"/>
              <w:rPr>
                <w:rFonts w:ascii="宋体" w:hAnsi="宋体"/>
                <w:kern w:val="0"/>
                <w:szCs w:val="21"/>
              </w:rPr>
            </w:pPr>
            <w:r>
              <w:rPr>
                <w:rFonts w:ascii="宋体" w:hAnsi="宋体"/>
                <w:kern w:val="0"/>
                <w:szCs w:val="21"/>
              </w:rPr>
              <w:t>7.3.1</w:t>
            </w:r>
          </w:p>
        </w:tc>
        <w:tc>
          <w:tcPr>
            <w:tcW w:w="1451" w:type="dxa"/>
            <w:vAlign w:val="center"/>
          </w:tcPr>
          <w:p w14:paraId="111A5BE7">
            <w:pPr>
              <w:snapToGrid w:val="0"/>
              <w:spacing w:line="400" w:lineRule="exact"/>
              <w:jc w:val="center"/>
              <w:rPr>
                <w:rFonts w:ascii="宋体" w:hAnsi="宋体"/>
                <w:kern w:val="0"/>
                <w:szCs w:val="21"/>
              </w:rPr>
            </w:pPr>
            <w:r>
              <w:rPr>
                <w:rFonts w:ascii="宋体" w:hAnsi="宋体"/>
                <w:kern w:val="0"/>
                <w:szCs w:val="21"/>
              </w:rPr>
              <w:t>履约担保</w:t>
            </w:r>
          </w:p>
        </w:tc>
        <w:tc>
          <w:tcPr>
            <w:tcW w:w="6683" w:type="dxa"/>
            <w:vAlign w:val="center"/>
          </w:tcPr>
          <w:p w14:paraId="1EA6329A">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1、中标人是否提供履约担保：</w:t>
            </w:r>
            <w:r>
              <w:rPr>
                <w:rFonts w:hint="eastAsia" w:ascii="宋体" w:hAnsi="宋体"/>
                <w:kern w:val="0"/>
                <w:szCs w:val="21"/>
                <w:u w:val="single"/>
              </w:rPr>
              <w:t>提供</w:t>
            </w:r>
            <w:r>
              <w:rPr>
                <w:rFonts w:hint="eastAsia" w:ascii="宋体" w:hAnsi="宋体"/>
                <w:kern w:val="0"/>
                <w:szCs w:val="21"/>
              </w:rPr>
              <w:t>。</w:t>
            </w:r>
          </w:p>
          <w:p w14:paraId="0FBD3154">
            <w:pPr>
              <w:snapToGrid w:val="0"/>
              <w:spacing w:line="400" w:lineRule="exact"/>
              <w:ind w:firstLine="420" w:firstLineChars="200"/>
              <w:rPr>
                <w:rFonts w:ascii="宋体" w:hAnsi="宋体"/>
                <w:kern w:val="0"/>
                <w:szCs w:val="21"/>
              </w:rPr>
            </w:pPr>
            <w:r>
              <w:rPr>
                <w:rFonts w:hint="eastAsia" w:ascii="宋体" w:hAnsi="宋体"/>
                <w:kern w:val="0"/>
                <w:szCs w:val="21"/>
              </w:rPr>
              <w:t>2、中标人提供履约担保的形式、金额及期限：</w:t>
            </w:r>
          </w:p>
          <w:p w14:paraId="4A54ED70">
            <w:pPr>
              <w:snapToGrid w:val="0"/>
              <w:spacing w:line="400" w:lineRule="exact"/>
              <w:ind w:firstLine="420" w:firstLineChars="200"/>
              <w:rPr>
                <w:rFonts w:hint="eastAsia" w:ascii="宋体" w:hAnsi="宋体" w:eastAsia="宋体" w:cs="Times New Roman"/>
                <w:kern w:val="0"/>
                <w:szCs w:val="21"/>
              </w:rPr>
            </w:pPr>
            <w:r>
              <w:rPr>
                <w:rFonts w:hint="eastAsia" w:ascii="宋体" w:hAnsi="宋体"/>
                <w:kern w:val="0"/>
                <w:szCs w:val="21"/>
              </w:rPr>
              <w:t>（1）履约担保的形式：</w:t>
            </w:r>
            <w:r>
              <w:rPr>
                <w:rFonts w:hint="eastAsia" w:ascii="宋体" w:hAnsi="宋体" w:eastAsia="宋体" w:cs="Times New Roman"/>
                <w:kern w:val="0"/>
                <w:szCs w:val="21"/>
              </w:rPr>
              <w:t>现金或履约保函，履约保函包括银行保函、保证保险和担保保函，其示范文本详见第四章合同条款及格式附件。中标人提交的履约保函应严格执行其示范文本，不得对示范文本中的实质性内容进行修改。</w:t>
            </w:r>
          </w:p>
          <w:p w14:paraId="3725C5DE">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（2）具体要求：履约保函的开立人应当是具有相应资格的银行、保险机构、融资担保公司，其信用资质、履约能力、担保能力、赔付流程、安全保密等应符合履约保函业务条件。履约保函应合法合规，符合招</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行政监督部门、行业主管部门和金融监管部门的相关规定，满足比选文件约定要求。中标人对所提交的履约保函的真实性、合法性、有效性负责。</w:t>
            </w:r>
          </w:p>
          <w:p w14:paraId="3F24A9DE">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（3）履约担保的金额：中标合同金额的10%。</w:t>
            </w:r>
          </w:p>
          <w:p w14:paraId="7C9589C7">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（4）履约担保的提交时间：中选人应在收到中选成交通知书后7日内，且签订合同前提交；若未按时提交，发包人有权取消其中选资格，并依法另行确定中选人。</w:t>
            </w:r>
          </w:p>
          <w:p w14:paraId="7E6200A5">
            <w:pPr>
              <w:snapToGrid w:val="0"/>
              <w:spacing w:line="400" w:lineRule="exact"/>
              <w:ind w:firstLine="420" w:firstLineChars="200"/>
              <w:rPr>
                <w:rFonts w:ascii="宋体" w:hAnsi="宋体"/>
                <w:kern w:val="0"/>
                <w:szCs w:val="21"/>
              </w:rPr>
            </w:pPr>
            <w:r>
              <w:rPr>
                <w:rFonts w:hint="eastAsia" w:ascii="宋体" w:hAnsi="宋体" w:eastAsia="宋体" w:cs="Times New Roman"/>
                <w:kern w:val="0"/>
                <w:szCs w:val="21"/>
              </w:rPr>
              <w:t>（5）履约担保的退还时间：履约保证金在整体工程竣工验收后扣除违约金（如有）一次性无息退还。</w:t>
            </w:r>
          </w:p>
        </w:tc>
      </w:tr>
      <w:tr w14:paraId="40C678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BB7C75E">
            <w:pPr>
              <w:snapToGrid w:val="0"/>
              <w:spacing w:line="400" w:lineRule="exact"/>
              <w:jc w:val="center"/>
              <w:rPr>
                <w:rFonts w:ascii="宋体" w:hAnsi="宋体"/>
                <w:kern w:val="0"/>
                <w:szCs w:val="21"/>
              </w:rPr>
            </w:pPr>
            <w:r>
              <w:rPr>
                <w:rFonts w:ascii="宋体" w:hAnsi="宋体"/>
                <w:kern w:val="0"/>
                <w:szCs w:val="21"/>
              </w:rPr>
              <w:t>8.1</w:t>
            </w:r>
          </w:p>
        </w:tc>
        <w:tc>
          <w:tcPr>
            <w:tcW w:w="1451" w:type="dxa"/>
            <w:vAlign w:val="center"/>
          </w:tcPr>
          <w:p w14:paraId="34420AA3">
            <w:pPr>
              <w:snapToGrid w:val="0"/>
              <w:spacing w:line="400" w:lineRule="exact"/>
              <w:jc w:val="center"/>
              <w:rPr>
                <w:rFonts w:ascii="宋体" w:hAnsi="宋体"/>
                <w:kern w:val="0"/>
                <w:szCs w:val="21"/>
              </w:rPr>
            </w:pPr>
            <w:r>
              <w:rPr>
                <w:rFonts w:ascii="宋体" w:hAnsi="宋体"/>
                <w:kern w:val="0"/>
                <w:szCs w:val="21"/>
              </w:rPr>
              <w:t>重新</w:t>
            </w:r>
            <w:r>
              <w:rPr>
                <w:rFonts w:hint="eastAsia" w:ascii="宋体" w:hAnsi="宋体"/>
                <w:kern w:val="0"/>
                <w:szCs w:val="21"/>
                <w:lang w:eastAsia="zh-CN"/>
              </w:rPr>
              <w:t>比选</w:t>
            </w:r>
            <w:r>
              <w:rPr>
                <w:rFonts w:hint="eastAsia" w:ascii="宋体" w:hAnsi="宋体"/>
                <w:kern w:val="0"/>
                <w:szCs w:val="21"/>
              </w:rPr>
              <w:t>的情形</w:t>
            </w:r>
          </w:p>
        </w:tc>
        <w:tc>
          <w:tcPr>
            <w:tcW w:w="6683" w:type="dxa"/>
            <w:vAlign w:val="center"/>
          </w:tcPr>
          <w:p w14:paraId="67CF56A8">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（1）竞选截止时间止，竞选人少于 3 个的；</w:t>
            </w:r>
          </w:p>
          <w:p w14:paraId="183C6518">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（2）经评审委员会评审后否决所有竞选的；</w:t>
            </w:r>
          </w:p>
          <w:p w14:paraId="5FFEF912">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3）经评审委员会评审后部分竞选被否决，导致有效竞选人不足三个的，评审委员会应当否决所有竞选。但是有效竞选人的经济等指标仍然具有市场竞争力，能够满足竞争性比选文件要求的，评审委员会可以继续评标并确定中选候选人；</w:t>
            </w:r>
          </w:p>
          <w:p w14:paraId="53A61FF3">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（4）法律法规规定的其他情形。</w:t>
            </w:r>
          </w:p>
          <w:p w14:paraId="216706ED">
            <w:pPr>
              <w:snapToGrid w:val="0"/>
              <w:spacing w:line="400" w:lineRule="exact"/>
              <w:ind w:firstLine="420" w:firstLineChars="200"/>
              <w:rPr>
                <w:rFonts w:ascii="宋体" w:hAnsi="宋体"/>
                <w:kern w:val="0"/>
                <w:szCs w:val="21"/>
              </w:rPr>
            </w:pPr>
            <w:r>
              <w:rPr>
                <w:rFonts w:hint="eastAsia" w:ascii="宋体" w:hAnsi="宋体" w:eastAsia="宋体" w:cs="Times New Roman"/>
                <w:kern w:val="0"/>
                <w:szCs w:val="21"/>
              </w:rPr>
              <w:t>注：本款只适用于首次比选。</w:t>
            </w:r>
          </w:p>
        </w:tc>
      </w:tr>
      <w:tr w14:paraId="102E5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23A90D1">
            <w:pPr>
              <w:snapToGrid w:val="0"/>
              <w:spacing w:line="400" w:lineRule="exact"/>
              <w:jc w:val="center"/>
              <w:rPr>
                <w:rFonts w:ascii="宋体" w:hAnsi="宋体"/>
                <w:kern w:val="0"/>
                <w:szCs w:val="21"/>
              </w:rPr>
            </w:pPr>
            <w:r>
              <w:rPr>
                <w:rFonts w:ascii="宋体" w:hAnsi="宋体"/>
                <w:kern w:val="0"/>
                <w:szCs w:val="21"/>
              </w:rPr>
              <w:t>8.2</w:t>
            </w:r>
          </w:p>
        </w:tc>
        <w:tc>
          <w:tcPr>
            <w:tcW w:w="1451" w:type="dxa"/>
            <w:vAlign w:val="center"/>
          </w:tcPr>
          <w:p w14:paraId="33B2EE36">
            <w:pPr>
              <w:snapToGrid w:val="0"/>
              <w:spacing w:line="400" w:lineRule="exact"/>
              <w:jc w:val="center"/>
              <w:rPr>
                <w:rFonts w:hint="eastAsia" w:eastAsia="宋体"/>
                <w:lang w:eastAsia="zh-CN"/>
              </w:rPr>
            </w:pPr>
            <w:bookmarkStart w:id="72" w:name="_Toc509218709"/>
            <w:bookmarkStart w:id="73" w:name="_Toc536628250"/>
            <w:bookmarkStart w:id="74" w:name="_Toc13210670"/>
            <w:bookmarkStart w:id="75" w:name="_Toc16930431"/>
            <w:bookmarkStart w:id="76" w:name="_Toc430530434"/>
            <w:r>
              <w:rPr>
                <w:rFonts w:hint="eastAsia" w:ascii="宋体" w:hAnsi="宋体"/>
                <w:kern w:val="0"/>
                <w:szCs w:val="21"/>
              </w:rPr>
              <w:t>重新</w:t>
            </w:r>
            <w:r>
              <w:rPr>
                <w:rFonts w:hint="eastAsia" w:ascii="宋体" w:hAnsi="宋体"/>
                <w:kern w:val="0"/>
                <w:szCs w:val="21"/>
                <w:lang w:eastAsia="zh-CN"/>
              </w:rPr>
              <w:t>比选</w:t>
            </w:r>
            <w:r>
              <w:rPr>
                <w:rFonts w:ascii="宋体" w:hAnsi="宋体"/>
                <w:kern w:val="0"/>
                <w:szCs w:val="21"/>
              </w:rPr>
              <w:t>和不再</w:t>
            </w:r>
            <w:bookmarkEnd w:id="72"/>
            <w:bookmarkEnd w:id="73"/>
            <w:bookmarkEnd w:id="74"/>
            <w:bookmarkEnd w:id="75"/>
            <w:bookmarkEnd w:id="76"/>
            <w:r>
              <w:rPr>
                <w:rFonts w:hint="eastAsia" w:ascii="宋体" w:hAnsi="宋体"/>
                <w:kern w:val="0"/>
                <w:szCs w:val="21"/>
                <w:lang w:eastAsia="zh-CN"/>
              </w:rPr>
              <w:t>比选</w:t>
            </w:r>
          </w:p>
        </w:tc>
        <w:tc>
          <w:tcPr>
            <w:tcW w:w="6683" w:type="dxa"/>
            <w:vAlign w:val="center"/>
          </w:tcPr>
          <w:p w14:paraId="5F776267">
            <w:pPr>
              <w:snapToGrid w:val="0"/>
              <w:spacing w:line="400" w:lineRule="exact"/>
              <w:ind w:firstLine="420" w:firstLineChars="200"/>
              <w:rPr>
                <w:rFonts w:ascii="宋体" w:hAnsi="宋体"/>
                <w:snapToGrid w:val="0"/>
                <w:kern w:val="0"/>
                <w:szCs w:val="21"/>
              </w:rPr>
            </w:pPr>
            <w:r>
              <w:rPr>
                <w:rFonts w:hint="eastAsia" w:ascii="宋体" w:hAnsi="宋体" w:eastAsia="宋体" w:cs="Times New Roman"/>
                <w:kern w:val="0"/>
                <w:szCs w:val="21"/>
              </w:rPr>
              <w:t>重新比选的竞选人仍然少于三个的，按照招标</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法律法规规定的程序开标和评标。重新比选经评审有有效竞选人的，应当依法确定中选候选人；无有效竞选人的，可以不再进行比选。</w:t>
            </w:r>
          </w:p>
        </w:tc>
      </w:tr>
      <w:tr w14:paraId="5096D3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44FC7B9">
            <w:pPr>
              <w:snapToGrid w:val="0"/>
              <w:spacing w:line="400" w:lineRule="exact"/>
              <w:jc w:val="center"/>
              <w:rPr>
                <w:rFonts w:ascii="宋体" w:hAnsi="宋体"/>
                <w:kern w:val="0"/>
                <w:szCs w:val="21"/>
              </w:rPr>
            </w:pPr>
            <w:r>
              <w:rPr>
                <w:rFonts w:ascii="宋体" w:hAnsi="宋体"/>
                <w:kern w:val="0"/>
                <w:szCs w:val="21"/>
              </w:rPr>
              <w:t>9</w:t>
            </w:r>
            <w:r>
              <w:rPr>
                <w:rFonts w:hint="eastAsia" w:ascii="宋体" w:hAnsi="宋体"/>
                <w:kern w:val="0"/>
                <w:szCs w:val="21"/>
              </w:rPr>
              <w:t>.</w:t>
            </w:r>
            <w:r>
              <w:rPr>
                <w:rFonts w:ascii="宋体" w:hAnsi="宋体"/>
                <w:kern w:val="0"/>
                <w:szCs w:val="21"/>
              </w:rPr>
              <w:t>1</w:t>
            </w:r>
          </w:p>
        </w:tc>
        <w:tc>
          <w:tcPr>
            <w:tcW w:w="1451" w:type="dxa"/>
            <w:vAlign w:val="center"/>
          </w:tcPr>
          <w:p w14:paraId="6DEB7F7A">
            <w:pPr>
              <w:snapToGrid w:val="0"/>
              <w:spacing w:line="400" w:lineRule="exact"/>
              <w:jc w:val="center"/>
              <w:rPr>
                <w:rFonts w:ascii="宋体" w:hAnsi="宋体"/>
                <w:kern w:val="0"/>
                <w:szCs w:val="21"/>
              </w:rPr>
            </w:pPr>
            <w:r>
              <w:rPr>
                <w:rFonts w:hint="eastAsia" w:ascii="宋体" w:hAnsi="宋体"/>
                <w:kern w:val="0"/>
                <w:szCs w:val="21"/>
              </w:rPr>
              <w:t>低价风险担保</w:t>
            </w:r>
          </w:p>
        </w:tc>
        <w:tc>
          <w:tcPr>
            <w:tcW w:w="6683" w:type="dxa"/>
            <w:vAlign w:val="center"/>
          </w:tcPr>
          <w:p w14:paraId="4D918C5D">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1、低价风险担保：中标价低于最高限价的85%时提供，如不按时足额提供，视为中标人放弃中标，</w:t>
            </w:r>
            <w:r>
              <w:rPr>
                <w:rFonts w:hint="eastAsia" w:ascii="宋体" w:hAnsi="宋体"/>
                <w:kern w:val="0"/>
                <w:szCs w:val="21"/>
                <w:lang w:eastAsia="zh-CN"/>
              </w:rPr>
              <w:t>比选</w:t>
            </w:r>
            <w:r>
              <w:rPr>
                <w:rFonts w:hint="eastAsia" w:ascii="宋体" w:hAnsi="宋体"/>
                <w:kern w:val="0"/>
                <w:szCs w:val="21"/>
              </w:rPr>
              <w:t>人有权不退还其</w:t>
            </w:r>
            <w:r>
              <w:rPr>
                <w:rFonts w:hint="eastAsia" w:ascii="宋体" w:hAnsi="宋体"/>
                <w:kern w:val="0"/>
                <w:szCs w:val="21"/>
                <w:lang w:eastAsia="zh-CN"/>
              </w:rPr>
              <w:t>竞选</w:t>
            </w:r>
            <w:r>
              <w:rPr>
                <w:rFonts w:hint="eastAsia" w:ascii="宋体" w:hAnsi="宋体"/>
                <w:kern w:val="0"/>
                <w:szCs w:val="21"/>
              </w:rPr>
              <w:t>保证金，</w:t>
            </w:r>
            <w:r>
              <w:rPr>
                <w:rFonts w:hint="eastAsia"/>
              </w:rPr>
              <w:t>并报</w:t>
            </w:r>
            <w:r>
              <w:rPr>
                <w:rFonts w:hint="eastAsia"/>
                <w:lang w:eastAsia="zh-CN"/>
              </w:rPr>
              <w:t>比选竞选</w:t>
            </w:r>
            <w:r>
              <w:rPr>
                <w:rFonts w:hint="eastAsia"/>
              </w:rPr>
              <w:t>行政监督部门按照信用管理办法的规定处理，对中标人的不良行为直接记12分，纳入重点关注名单。</w:t>
            </w:r>
          </w:p>
          <w:p w14:paraId="25CE721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2、中标人提供低价风险担保的形式、金额及期限：</w:t>
            </w:r>
          </w:p>
          <w:p w14:paraId="69236A6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）低价风险担保的形式：现金或银行保函</w:t>
            </w:r>
            <w:r>
              <w:rPr>
                <w:rFonts w:hint="eastAsia"/>
              </w:rPr>
              <w:t>或现金+银行保函的组合；采用银行保函形式的，保函必须为不可撤销且见索即付</w:t>
            </w:r>
            <w:r>
              <w:rPr>
                <w:rFonts w:hint="eastAsia" w:ascii="宋体" w:hAnsi="宋体"/>
                <w:kern w:val="0"/>
                <w:szCs w:val="21"/>
              </w:rPr>
              <w:t>。</w:t>
            </w:r>
          </w:p>
          <w:p w14:paraId="609EB041">
            <w:pPr>
              <w:autoSpaceDE w:val="0"/>
              <w:autoSpaceDN w:val="0"/>
              <w:adjustRightInd w:val="0"/>
              <w:snapToGrid w:val="0"/>
              <w:spacing w:line="400" w:lineRule="exact"/>
              <w:ind w:firstLine="420" w:firstLineChars="200"/>
            </w:pPr>
            <w:r>
              <w:rPr>
                <w:rFonts w:hint="eastAsia" w:ascii="宋体" w:hAnsi="宋体"/>
                <w:kern w:val="0"/>
                <w:szCs w:val="21"/>
              </w:rPr>
              <w:t>（</w:t>
            </w:r>
            <w:r>
              <w:rPr>
                <w:rFonts w:ascii="宋体" w:hAnsi="宋体"/>
                <w:kern w:val="0"/>
                <w:szCs w:val="21"/>
              </w:rPr>
              <w:t>2</w:t>
            </w:r>
            <w:r>
              <w:rPr>
                <w:rFonts w:hint="eastAsia" w:ascii="宋体" w:hAnsi="宋体"/>
                <w:kern w:val="0"/>
                <w:szCs w:val="21"/>
              </w:rPr>
              <w:t>）低价风险担保的金额：（最高限价×</w:t>
            </w:r>
            <w:r>
              <w:rPr>
                <w:rFonts w:ascii="宋体" w:hAnsi="宋体"/>
                <w:kern w:val="0"/>
                <w:szCs w:val="21"/>
              </w:rPr>
              <w:t>85%-</w:t>
            </w:r>
            <w:r>
              <w:rPr>
                <w:rFonts w:hint="eastAsia" w:ascii="宋体" w:hAnsi="宋体"/>
                <w:kern w:val="0"/>
                <w:szCs w:val="21"/>
              </w:rPr>
              <w:t>中标价）×3</w:t>
            </w:r>
            <w:r>
              <w:rPr>
                <w:rStyle w:val="54"/>
                <w:rFonts w:hint="eastAsia"/>
              </w:rPr>
              <w:t>，</w:t>
            </w:r>
            <w:r>
              <w:rPr>
                <w:rStyle w:val="54"/>
              </w:rPr>
              <w:t>且最高不超过最高限价的85%</w:t>
            </w:r>
            <w:r>
              <w:rPr>
                <w:rStyle w:val="54"/>
                <w:rFonts w:hint="eastAsia"/>
              </w:rPr>
              <w:t>，</w:t>
            </w:r>
          </w:p>
          <w:p w14:paraId="7C976EF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）低价风险担保送达</w:t>
            </w:r>
            <w:r>
              <w:rPr>
                <w:rFonts w:hint="eastAsia" w:ascii="宋体" w:hAnsi="宋体"/>
                <w:kern w:val="0"/>
                <w:szCs w:val="21"/>
                <w:lang w:eastAsia="zh-CN"/>
              </w:rPr>
              <w:t>比选</w:t>
            </w:r>
            <w:r>
              <w:rPr>
                <w:rFonts w:hint="eastAsia" w:ascii="宋体" w:hAnsi="宋体"/>
                <w:kern w:val="0"/>
                <w:szCs w:val="21"/>
              </w:rPr>
              <w:t>人的时间：</w:t>
            </w:r>
            <w:r>
              <w:rPr>
                <w:rFonts w:hint="eastAsia"/>
                <w:szCs w:val="21"/>
              </w:rPr>
              <w:t>从</w:t>
            </w:r>
            <w:r>
              <w:rPr>
                <w:rFonts w:hint="eastAsia"/>
                <w:szCs w:val="21"/>
                <w:lang w:eastAsia="zh-CN"/>
              </w:rPr>
              <w:t>比选</w:t>
            </w:r>
            <w:r>
              <w:rPr>
                <w:rFonts w:hint="eastAsia"/>
                <w:szCs w:val="21"/>
              </w:rPr>
              <w:t>人低价风险担保书面通知送达拟中标人之日起</w:t>
            </w:r>
            <w:r>
              <w:rPr>
                <w:rFonts w:hint="eastAsia"/>
                <w:szCs w:val="21"/>
                <w:u w:val="single"/>
              </w:rPr>
              <w:t xml:space="preserve"> </w:t>
            </w:r>
            <w:r>
              <w:rPr>
                <w:szCs w:val="21"/>
                <w:u w:val="single"/>
              </w:rPr>
              <w:t>10</w:t>
            </w:r>
            <w:r>
              <w:rPr>
                <w:rFonts w:hint="eastAsia"/>
                <w:szCs w:val="21"/>
                <w:u w:val="single"/>
              </w:rPr>
              <w:t xml:space="preserve"> </w:t>
            </w:r>
            <w:r>
              <w:rPr>
                <w:rFonts w:hint="eastAsia"/>
                <w:szCs w:val="21"/>
              </w:rPr>
              <w:t>工作日内</w:t>
            </w:r>
            <w:r>
              <w:rPr>
                <w:rFonts w:hint="eastAsia" w:ascii="宋体" w:hAnsi="宋体"/>
                <w:kern w:val="0"/>
                <w:szCs w:val="21"/>
              </w:rPr>
              <w:t>；</w:t>
            </w:r>
          </w:p>
          <w:p w14:paraId="7949EE2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（4）中标人因自身原因未按中标通知书规定的时限与</w:t>
            </w:r>
            <w:r>
              <w:rPr>
                <w:rFonts w:hint="eastAsia" w:ascii="宋体" w:hAnsi="宋体"/>
                <w:kern w:val="0"/>
                <w:szCs w:val="21"/>
                <w:lang w:eastAsia="zh-CN"/>
              </w:rPr>
              <w:t>比选</w:t>
            </w:r>
            <w:r>
              <w:rPr>
                <w:rFonts w:hint="eastAsia" w:ascii="宋体" w:hAnsi="宋体"/>
                <w:kern w:val="0"/>
                <w:szCs w:val="21"/>
              </w:rPr>
              <w:t>人签订合同的，</w:t>
            </w:r>
            <w:r>
              <w:rPr>
                <w:rFonts w:hint="eastAsia" w:ascii="宋体" w:hAnsi="宋体"/>
                <w:kern w:val="0"/>
                <w:szCs w:val="21"/>
                <w:lang w:eastAsia="zh-CN"/>
              </w:rPr>
              <w:t>比选</w:t>
            </w:r>
            <w:r>
              <w:rPr>
                <w:rFonts w:hint="eastAsia" w:ascii="宋体" w:hAnsi="宋体"/>
                <w:kern w:val="0"/>
                <w:szCs w:val="21"/>
              </w:rPr>
              <w:t>人有权扣除其低价风险担保并取消中标资格。</w:t>
            </w:r>
          </w:p>
          <w:p w14:paraId="3FDB0811">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（5）低价风险担保的期限：</w:t>
            </w:r>
            <w:r>
              <w:rPr>
                <w:rFonts w:hint="eastAsia" w:ascii="宋体" w:hAnsi="宋体"/>
                <w:kern w:val="0"/>
                <w:szCs w:val="21"/>
                <w:u w:val="single"/>
              </w:rPr>
              <w:t>自低价风险担保生效之日起至竣工验收合格之日止</w:t>
            </w:r>
            <w:r>
              <w:rPr>
                <w:rFonts w:hint="eastAsia" w:ascii="宋体" w:hAnsi="宋体"/>
                <w:kern w:val="0"/>
                <w:szCs w:val="21"/>
              </w:rPr>
              <w:t>。</w:t>
            </w:r>
          </w:p>
          <w:p w14:paraId="7CDAC8AF">
            <w:pPr>
              <w:widowControl/>
              <w:spacing w:line="400" w:lineRule="exact"/>
              <w:ind w:firstLine="420" w:firstLineChars="200"/>
              <w:rPr>
                <w:rFonts w:ascii="宋体" w:hAnsi="宋体"/>
                <w:kern w:val="0"/>
                <w:szCs w:val="21"/>
              </w:rPr>
            </w:pPr>
            <w:r>
              <w:rPr>
                <w:rFonts w:hint="eastAsia" w:ascii="宋体" w:hAnsi="宋体"/>
                <w:kern w:val="0"/>
                <w:szCs w:val="21"/>
              </w:rPr>
              <w:t>3、低价风险担保的退还时间：见专用合同条款。</w:t>
            </w:r>
          </w:p>
          <w:p w14:paraId="78554322">
            <w:pPr>
              <w:widowControl/>
              <w:spacing w:line="400" w:lineRule="exact"/>
              <w:ind w:firstLine="420" w:firstLineChars="200"/>
            </w:pPr>
            <w:r>
              <w:rPr>
                <w:rFonts w:hint="eastAsia"/>
              </w:rPr>
              <w:t>4、采用经评审最低</w:t>
            </w:r>
            <w:r>
              <w:rPr>
                <w:rFonts w:hint="eastAsia"/>
                <w:lang w:eastAsia="zh-CN"/>
              </w:rPr>
              <w:t>竞选</w:t>
            </w:r>
            <w:r>
              <w:rPr>
                <w:rFonts w:hint="eastAsia"/>
              </w:rPr>
              <w:t>价法的项目，拟中标人或者中标人放弃中标项目，无正当理由不与</w:t>
            </w:r>
            <w:r>
              <w:rPr>
                <w:rFonts w:hint="eastAsia"/>
                <w:lang w:eastAsia="zh-CN"/>
              </w:rPr>
              <w:t>比选</w:t>
            </w:r>
            <w:r>
              <w:rPr>
                <w:rFonts w:hint="eastAsia"/>
              </w:rPr>
              <w:t>人签订合同，在签订合同时向</w:t>
            </w:r>
            <w:r>
              <w:rPr>
                <w:rFonts w:hint="eastAsia"/>
                <w:lang w:eastAsia="zh-CN"/>
              </w:rPr>
              <w:t>比选</w:t>
            </w:r>
            <w:r>
              <w:rPr>
                <w:rFonts w:hint="eastAsia"/>
              </w:rPr>
              <w:t>人提出附加条件或者更改合同实质性内容，或者拒不按照</w:t>
            </w:r>
            <w:r>
              <w:rPr>
                <w:rFonts w:hint="eastAsia"/>
                <w:lang w:eastAsia="zh-CN"/>
              </w:rPr>
              <w:t>比选</w:t>
            </w:r>
            <w:r>
              <w:rPr>
                <w:rFonts w:hint="eastAsia"/>
              </w:rPr>
              <w:t>文件规定提交低价风险担保或履约担保的，取消其中标资格，</w:t>
            </w:r>
            <w:r>
              <w:rPr>
                <w:rFonts w:hint="eastAsia"/>
                <w:lang w:eastAsia="zh-CN"/>
              </w:rPr>
              <w:t>竞选</w:t>
            </w:r>
            <w:r>
              <w:rPr>
                <w:rFonts w:hint="eastAsia"/>
              </w:rPr>
              <w:t>保证金不予退还，给</w:t>
            </w:r>
            <w:r>
              <w:rPr>
                <w:rFonts w:hint="eastAsia"/>
                <w:lang w:eastAsia="zh-CN"/>
              </w:rPr>
              <w:t>比选</w:t>
            </w:r>
            <w:r>
              <w:rPr>
                <w:rFonts w:hint="eastAsia"/>
              </w:rPr>
              <w:t>人造成的损失超过</w:t>
            </w:r>
            <w:r>
              <w:rPr>
                <w:rFonts w:hint="eastAsia"/>
                <w:lang w:eastAsia="zh-CN"/>
              </w:rPr>
              <w:t>竞选</w:t>
            </w:r>
            <w:r>
              <w:rPr>
                <w:rFonts w:hint="eastAsia"/>
              </w:rPr>
              <w:t>保证金数额的，拟中标人或中标人应对超过部分予以赔偿。</w:t>
            </w:r>
          </w:p>
          <w:p w14:paraId="5FECD167">
            <w:pPr>
              <w:widowControl/>
              <w:spacing w:line="400" w:lineRule="exact"/>
              <w:ind w:firstLine="420" w:firstLineChars="200"/>
              <w:rPr>
                <w:rFonts w:ascii="宋体" w:hAnsi="宋体"/>
                <w:kern w:val="0"/>
                <w:szCs w:val="21"/>
              </w:rPr>
            </w:pPr>
            <w:r>
              <w:rPr>
                <w:rFonts w:hint="eastAsia"/>
              </w:rPr>
              <w:t>5、</w:t>
            </w:r>
            <w:r>
              <w:rPr>
                <w:rFonts w:hint="eastAsia"/>
                <w:lang w:eastAsia="zh-CN"/>
              </w:rPr>
              <w:t>竞选</w:t>
            </w:r>
            <w:r>
              <w:rPr>
                <w:rFonts w:hint="eastAsia"/>
              </w:rPr>
              <w:t>总报价低于最高限价85%的，</w:t>
            </w:r>
            <w:r>
              <w:rPr>
                <w:rFonts w:hint="eastAsia"/>
                <w:lang w:eastAsia="zh-CN"/>
              </w:rPr>
              <w:t>竞选</w:t>
            </w:r>
            <w:r>
              <w:rPr>
                <w:rFonts w:hint="eastAsia"/>
              </w:rPr>
              <w:t>人应在编制</w:t>
            </w:r>
            <w:r>
              <w:rPr>
                <w:rFonts w:hint="eastAsia"/>
                <w:lang w:eastAsia="zh-CN"/>
              </w:rPr>
              <w:t>竞选</w:t>
            </w:r>
            <w:r>
              <w:rPr>
                <w:rFonts w:hint="eastAsia"/>
              </w:rPr>
              <w:t>文件时，在</w:t>
            </w:r>
            <w:r>
              <w:rPr>
                <w:rFonts w:hint="eastAsia"/>
                <w:lang w:eastAsia="zh-CN"/>
              </w:rPr>
              <w:t>竞选</w:t>
            </w:r>
            <w:r>
              <w:rPr>
                <w:rFonts w:hint="eastAsia"/>
              </w:rPr>
              <w:t>函部分中递交低价风险担保缴纳承诺书。承诺书格式详见第</w:t>
            </w:r>
            <w:r>
              <w:rPr>
                <w:rFonts w:hint="eastAsia"/>
                <w:lang w:eastAsia="zh-CN"/>
              </w:rPr>
              <w:t>六</w:t>
            </w:r>
            <w:r>
              <w:rPr>
                <w:rFonts w:hint="eastAsia"/>
              </w:rPr>
              <w:t>章</w:t>
            </w:r>
            <w:r>
              <w:rPr>
                <w:rFonts w:hint="eastAsia"/>
                <w:lang w:eastAsia="zh-CN"/>
              </w:rPr>
              <w:t>竞选</w:t>
            </w:r>
            <w:r>
              <w:rPr>
                <w:rFonts w:hint="eastAsia"/>
              </w:rPr>
              <w:t>文件格式。</w:t>
            </w:r>
          </w:p>
        </w:tc>
      </w:tr>
      <w:tr w14:paraId="0232C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23C2A7F">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1</w:t>
            </w:r>
          </w:p>
        </w:tc>
        <w:tc>
          <w:tcPr>
            <w:tcW w:w="1451" w:type="dxa"/>
            <w:vAlign w:val="center"/>
          </w:tcPr>
          <w:p w14:paraId="0AF7B4E6">
            <w:pPr>
              <w:snapToGrid w:val="0"/>
              <w:spacing w:line="400" w:lineRule="exact"/>
              <w:jc w:val="center"/>
              <w:rPr>
                <w:rFonts w:ascii="宋体" w:hAnsi="宋体"/>
                <w:kern w:val="0"/>
                <w:szCs w:val="21"/>
              </w:rPr>
            </w:pPr>
            <w:r>
              <w:rPr>
                <w:rFonts w:hint="eastAsia" w:ascii="宋体" w:hAnsi="宋体"/>
                <w:kern w:val="0"/>
                <w:szCs w:val="21"/>
              </w:rPr>
              <w:t>关于对</w:t>
            </w:r>
            <w:r>
              <w:rPr>
                <w:rFonts w:hint="eastAsia" w:ascii="宋体" w:hAnsi="宋体"/>
                <w:kern w:val="0"/>
                <w:szCs w:val="21"/>
                <w:lang w:eastAsia="zh-CN"/>
              </w:rPr>
              <w:t>比选</w:t>
            </w:r>
            <w:r>
              <w:rPr>
                <w:rFonts w:hint="eastAsia" w:ascii="宋体" w:hAnsi="宋体"/>
                <w:kern w:val="0"/>
                <w:szCs w:val="21"/>
              </w:rPr>
              <w:t>文件及</w:t>
            </w:r>
            <w:r>
              <w:rPr>
                <w:rFonts w:hint="eastAsia" w:ascii="宋体" w:hAnsi="宋体"/>
                <w:kern w:val="0"/>
                <w:szCs w:val="21"/>
                <w:lang w:eastAsia="zh-CN"/>
              </w:rPr>
              <w:t>竞选</w:t>
            </w:r>
            <w:r>
              <w:rPr>
                <w:rFonts w:hint="eastAsia" w:ascii="宋体" w:hAnsi="宋体"/>
                <w:kern w:val="0"/>
                <w:szCs w:val="21"/>
              </w:rPr>
              <w:t>争议的解释</w:t>
            </w:r>
          </w:p>
        </w:tc>
        <w:tc>
          <w:tcPr>
            <w:tcW w:w="6683" w:type="dxa"/>
            <w:vAlign w:val="center"/>
          </w:tcPr>
          <w:p w14:paraId="37B13F7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w:t>
            </w:r>
            <w:r>
              <w:rPr>
                <w:rFonts w:hint="eastAsia" w:ascii="宋体" w:hAnsi="宋体"/>
                <w:kern w:val="0"/>
                <w:szCs w:val="21"/>
                <w:lang w:eastAsia="zh-CN"/>
              </w:rPr>
              <w:t>比选</w:t>
            </w:r>
            <w:r>
              <w:rPr>
                <w:rFonts w:hint="eastAsia" w:ascii="宋体" w:hAnsi="宋体"/>
                <w:kern w:val="0"/>
                <w:szCs w:val="21"/>
              </w:rPr>
              <w:t>文件的评标标准和方法，以及资格审查和否决</w:t>
            </w:r>
            <w:r>
              <w:rPr>
                <w:rFonts w:hint="eastAsia" w:ascii="宋体" w:hAnsi="宋体"/>
                <w:kern w:val="0"/>
                <w:szCs w:val="21"/>
                <w:lang w:eastAsia="zh-CN"/>
              </w:rPr>
              <w:t>竞选</w:t>
            </w:r>
            <w:r>
              <w:rPr>
                <w:rFonts w:hint="eastAsia" w:ascii="宋体" w:hAnsi="宋体"/>
                <w:kern w:val="0"/>
                <w:szCs w:val="21"/>
              </w:rPr>
              <w:t>条款理解有争议的，应当作出不利于</w:t>
            </w:r>
            <w:r>
              <w:rPr>
                <w:rFonts w:hint="eastAsia" w:ascii="宋体" w:hAnsi="宋体"/>
                <w:kern w:val="0"/>
                <w:szCs w:val="21"/>
                <w:lang w:eastAsia="zh-CN"/>
              </w:rPr>
              <w:t>比选</w:t>
            </w:r>
            <w:r>
              <w:rPr>
                <w:rFonts w:hint="eastAsia" w:ascii="宋体" w:hAnsi="宋体"/>
                <w:kern w:val="0"/>
                <w:szCs w:val="21"/>
              </w:rPr>
              <w:t>人的解释，但违背国家利益、社会公共利益的除外。</w:t>
            </w:r>
          </w:p>
          <w:p w14:paraId="482A5E0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w:t>
            </w:r>
            <w:r>
              <w:rPr>
                <w:rFonts w:hint="eastAsia" w:ascii="宋体" w:hAnsi="宋体"/>
                <w:kern w:val="0"/>
                <w:szCs w:val="21"/>
                <w:lang w:eastAsia="zh-CN"/>
              </w:rPr>
              <w:t>竞选</w:t>
            </w:r>
            <w:r>
              <w:rPr>
                <w:rFonts w:hint="eastAsia" w:ascii="宋体" w:hAnsi="宋体"/>
                <w:kern w:val="0"/>
                <w:szCs w:val="21"/>
              </w:rPr>
              <w:t>文件理解有争议的，应当作出不利于提交该</w:t>
            </w:r>
            <w:r>
              <w:rPr>
                <w:rFonts w:hint="eastAsia" w:ascii="宋体" w:hAnsi="宋体"/>
                <w:kern w:val="0"/>
                <w:szCs w:val="21"/>
                <w:lang w:eastAsia="zh-CN"/>
              </w:rPr>
              <w:t>竞选</w:t>
            </w:r>
            <w:r>
              <w:rPr>
                <w:rFonts w:hint="eastAsia" w:ascii="宋体" w:hAnsi="宋体"/>
                <w:kern w:val="0"/>
                <w:szCs w:val="21"/>
              </w:rPr>
              <w:t>文件的</w:t>
            </w:r>
            <w:r>
              <w:rPr>
                <w:rFonts w:hint="eastAsia" w:ascii="宋体" w:hAnsi="宋体"/>
                <w:kern w:val="0"/>
                <w:szCs w:val="21"/>
                <w:lang w:eastAsia="zh-CN"/>
              </w:rPr>
              <w:t>竞选</w:t>
            </w:r>
            <w:r>
              <w:rPr>
                <w:rFonts w:hint="eastAsia" w:ascii="宋体" w:hAnsi="宋体"/>
                <w:kern w:val="0"/>
                <w:szCs w:val="21"/>
              </w:rPr>
              <w:t>人的解释。</w:t>
            </w:r>
          </w:p>
        </w:tc>
      </w:tr>
      <w:tr w14:paraId="1B3697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801BF36">
            <w:pPr>
              <w:snapToGrid w:val="0"/>
              <w:spacing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10.2</w:t>
            </w:r>
          </w:p>
        </w:tc>
        <w:tc>
          <w:tcPr>
            <w:tcW w:w="1451" w:type="dxa"/>
            <w:vAlign w:val="center"/>
          </w:tcPr>
          <w:p w14:paraId="353CBE2E">
            <w:pPr>
              <w:snapToGrid w:val="0"/>
              <w:spacing w:line="400" w:lineRule="exact"/>
              <w:jc w:val="center"/>
              <w:rPr>
                <w:rFonts w:hint="eastAsia" w:ascii="宋体" w:hAnsi="宋体" w:eastAsia="宋体"/>
                <w:kern w:val="0"/>
                <w:szCs w:val="21"/>
                <w:lang w:eastAsia="zh-CN"/>
              </w:rPr>
            </w:pPr>
            <w:r>
              <w:rPr>
                <w:rFonts w:hint="eastAsia" w:ascii="宋体" w:hAnsi="宋体"/>
                <w:kern w:val="0"/>
                <w:szCs w:val="21"/>
                <w:lang w:eastAsia="zh-CN"/>
              </w:rPr>
              <w:t>招标代理服务费</w:t>
            </w:r>
          </w:p>
        </w:tc>
        <w:tc>
          <w:tcPr>
            <w:tcW w:w="6683" w:type="dxa"/>
            <w:vAlign w:val="center"/>
          </w:tcPr>
          <w:p w14:paraId="6F9614D2">
            <w:pPr>
              <w:numPr>
                <w:ilvl w:val="0"/>
                <w:numId w:val="2"/>
              </w:numPr>
              <w:spacing w:line="405" w:lineRule="exact"/>
              <w:ind w:firstLine="420" w:firstLineChars="200"/>
              <w:rPr>
                <w:rFonts w:ascii="宋体" w:hAnsi="宋体" w:cs="宋体"/>
                <w:sz w:val="21"/>
                <w:szCs w:val="21"/>
              </w:rPr>
            </w:pPr>
            <w:r>
              <w:rPr>
                <w:rFonts w:hint="eastAsia" w:ascii="宋体" w:hAnsi="宋体" w:cs="宋体"/>
                <w:sz w:val="21"/>
                <w:szCs w:val="21"/>
              </w:rPr>
              <w:t>招标代理服务费：</w:t>
            </w:r>
            <w:r>
              <w:rPr>
                <w:rFonts w:hint="eastAsia" w:ascii="宋体" w:hAnsi="宋体" w:cs="宋体"/>
                <w:sz w:val="21"/>
                <w:szCs w:val="21"/>
                <w:lang w:eastAsia="zh-CN"/>
              </w:rPr>
              <w:t>暂定</w:t>
            </w:r>
            <w:r>
              <w:rPr>
                <w:rFonts w:hint="eastAsia" w:ascii="宋体" w:hAnsi="宋体" w:cs="宋体"/>
                <w:sz w:val="21"/>
                <w:szCs w:val="21"/>
                <w:lang w:val="en-US" w:eastAsia="zh-CN"/>
              </w:rPr>
              <w:t>8734.64</w:t>
            </w:r>
            <w:r>
              <w:rPr>
                <w:rFonts w:hint="eastAsia" w:ascii="宋体" w:hAnsi="宋体" w:cs="宋体"/>
                <w:sz w:val="21"/>
                <w:szCs w:val="21"/>
              </w:rPr>
              <w:t>元</w:t>
            </w:r>
            <w:r>
              <w:rPr>
                <w:rFonts w:hint="eastAsia" w:ascii="宋体" w:hAnsi="宋体" w:cs="宋体"/>
                <w:sz w:val="21"/>
                <w:szCs w:val="21"/>
                <w:lang w:eastAsia="zh-CN"/>
              </w:rPr>
              <w:t>，后续以中标价作为中标基数计取。</w:t>
            </w:r>
          </w:p>
          <w:p w14:paraId="4E343A88">
            <w:pPr>
              <w:spacing w:line="405" w:lineRule="exact"/>
              <w:ind w:firstLine="412" w:firstLineChars="200"/>
              <w:rPr>
                <w:rFonts w:ascii="宋体" w:hAnsi="宋体" w:cs="宋体"/>
                <w:sz w:val="21"/>
                <w:szCs w:val="21"/>
              </w:rPr>
            </w:pPr>
            <w:r>
              <w:rPr>
                <w:rFonts w:ascii="宋体" w:hAnsi="宋体" w:cs="宋体"/>
                <w:spacing w:val="-2"/>
                <w:sz w:val="21"/>
                <w:szCs w:val="21"/>
              </w:rPr>
              <w:t>2、招标代理服务费支付：</w:t>
            </w:r>
            <w:r>
              <w:rPr>
                <w:rFonts w:hint="eastAsia" w:ascii="宋体" w:hAnsi="宋体" w:cs="宋体"/>
                <w:spacing w:val="-1"/>
                <w:sz w:val="21"/>
                <w:szCs w:val="21"/>
                <w:lang w:eastAsia="zh-CN"/>
              </w:rPr>
              <w:t>由中标单位支付</w:t>
            </w:r>
            <w:r>
              <w:rPr>
                <w:rFonts w:ascii="宋体" w:hAnsi="宋体" w:cs="宋体"/>
                <w:spacing w:val="-1"/>
                <w:sz w:val="21"/>
                <w:szCs w:val="21"/>
              </w:rPr>
              <w:t>。</w:t>
            </w:r>
          </w:p>
          <w:p w14:paraId="4FABC802">
            <w:pPr>
              <w:autoSpaceDE w:val="0"/>
              <w:autoSpaceDN w:val="0"/>
              <w:adjustRightInd w:val="0"/>
              <w:snapToGrid w:val="0"/>
              <w:spacing w:line="400" w:lineRule="exact"/>
              <w:ind w:firstLine="420" w:firstLineChars="200"/>
              <w:rPr>
                <w:rFonts w:hint="eastAsia" w:ascii="宋体" w:hAnsi="宋体"/>
                <w:kern w:val="0"/>
                <w:szCs w:val="21"/>
              </w:rPr>
            </w:pPr>
            <w:r>
              <w:rPr>
                <w:rFonts w:ascii="宋体" w:hAnsi="宋体" w:cs="宋体"/>
                <w:sz w:val="21"/>
                <w:szCs w:val="21"/>
              </w:rPr>
              <w:t>3、招标代理服务费支付时间：中标人在领取中标通知书时，向招标</w:t>
            </w:r>
            <w:r>
              <w:rPr>
                <w:rFonts w:hint="eastAsia" w:ascii="宋体" w:hAnsi="宋体" w:cs="宋体"/>
                <w:sz w:val="21"/>
                <w:szCs w:val="21"/>
                <w:lang w:eastAsia="zh-CN"/>
              </w:rPr>
              <w:t>代理机构</w:t>
            </w:r>
            <w:r>
              <w:rPr>
                <w:rFonts w:ascii="宋体" w:hAnsi="宋体" w:cs="宋体"/>
                <w:sz w:val="21"/>
                <w:szCs w:val="21"/>
              </w:rPr>
              <w:t>一次性支付招标代理服务费。</w:t>
            </w:r>
          </w:p>
        </w:tc>
      </w:tr>
      <w:tr w14:paraId="12D98C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41451C0">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3</w:t>
            </w:r>
          </w:p>
        </w:tc>
        <w:tc>
          <w:tcPr>
            <w:tcW w:w="1451" w:type="dxa"/>
            <w:vAlign w:val="center"/>
          </w:tcPr>
          <w:p w14:paraId="722ECBBB">
            <w:pPr>
              <w:snapToGrid w:val="0"/>
              <w:spacing w:line="400" w:lineRule="exact"/>
              <w:jc w:val="center"/>
              <w:rPr>
                <w:rFonts w:ascii="宋体" w:hAnsi="宋体"/>
                <w:kern w:val="0"/>
                <w:szCs w:val="21"/>
              </w:rPr>
            </w:pPr>
            <w:r>
              <w:rPr>
                <w:rFonts w:hint="eastAsia" w:ascii="宋体" w:hAnsi="宋体"/>
                <w:kern w:val="0"/>
                <w:szCs w:val="21"/>
              </w:rPr>
              <w:t>其他</w:t>
            </w:r>
          </w:p>
        </w:tc>
        <w:tc>
          <w:tcPr>
            <w:tcW w:w="6683" w:type="dxa"/>
            <w:vAlign w:val="center"/>
          </w:tcPr>
          <w:p w14:paraId="2E9A1E38">
            <w:pPr>
              <w:spacing w:line="360" w:lineRule="auto"/>
              <w:ind w:firstLine="422" w:firstLineChars="200"/>
              <w:jc w:val="left"/>
              <w:rPr>
                <w:rFonts w:ascii="宋体" w:hAnsi="宋体"/>
                <w:b/>
                <w:bCs/>
                <w:szCs w:val="21"/>
              </w:rPr>
            </w:pPr>
            <w:r>
              <w:rPr>
                <w:rFonts w:hint="eastAsia" w:ascii="宋体" w:hAnsi="宋体"/>
                <w:b/>
                <w:bCs/>
                <w:kern w:val="0"/>
                <w:szCs w:val="21"/>
              </w:rPr>
              <w:t>1、</w:t>
            </w:r>
            <w:r>
              <w:rPr>
                <w:rFonts w:hint="eastAsia" w:ascii="宋体" w:hAnsi="宋体"/>
                <w:b/>
                <w:bCs/>
                <w:szCs w:val="21"/>
              </w:rPr>
              <w:t>进度款支付：</w:t>
            </w:r>
          </w:p>
          <w:p w14:paraId="2EDD0613">
            <w:pPr>
              <w:spacing w:line="360" w:lineRule="auto"/>
              <w:ind w:firstLine="420" w:firstLineChars="200"/>
              <w:jc w:val="left"/>
              <w:rPr>
                <w:color w:val="auto"/>
              </w:rPr>
            </w:pPr>
            <w:r>
              <w:rPr>
                <w:rFonts w:hint="eastAsia"/>
                <w:color w:val="auto"/>
              </w:rPr>
              <w:t xml:space="preserve">①安全文明施工费：安全文明施工费的拨付仍按《重庆市建设工程安全文明施工费计取及使用管理规定》(渝建发〔2014〕25号）执行。 </w:t>
            </w:r>
          </w:p>
          <w:p w14:paraId="03EF0957">
            <w:pPr>
              <w:spacing w:line="360" w:lineRule="auto"/>
              <w:ind w:firstLine="420" w:firstLineChars="200"/>
              <w:jc w:val="left"/>
              <w:rPr>
                <w:color w:val="auto"/>
              </w:rPr>
            </w:pPr>
            <w:r>
              <w:rPr>
                <w:rFonts w:hint="eastAsia"/>
                <w:color w:val="auto"/>
              </w:rPr>
              <w:t>②</w:t>
            </w:r>
            <w:r>
              <w:rPr>
                <w:rFonts w:hint="eastAsia"/>
                <w:color w:val="auto"/>
                <w:lang w:eastAsia="zh-CN"/>
              </w:rPr>
              <w:t>每期</w:t>
            </w:r>
            <w:r>
              <w:rPr>
                <w:rFonts w:hint="eastAsia" w:ascii="宋体" w:hAnsi="宋体"/>
                <w:iCs/>
                <w:color w:val="auto"/>
                <w:kern w:val="0"/>
                <w:szCs w:val="21"/>
              </w:rPr>
              <w:t>工程竣工验收合格后，累计支付不超过合同建安工程费暂定总金额的80%；待工程竣工结算审计完成，并完成移交给相关管护单位后，支付至合同建安工程费结算金额的97%，其余3%为本工程质保金，工程质保金在缺陷责任期满后28日内无息付清。</w:t>
            </w:r>
            <w:r>
              <w:rPr>
                <w:rFonts w:hint="eastAsia"/>
                <w:color w:val="auto"/>
              </w:rPr>
              <w:t>（不计利息）</w:t>
            </w:r>
          </w:p>
          <w:p w14:paraId="48E33633">
            <w:pPr>
              <w:spacing w:line="360" w:lineRule="auto"/>
              <w:ind w:firstLine="422" w:firstLineChars="200"/>
              <w:jc w:val="left"/>
              <w:rPr>
                <w:rFonts w:hint="eastAsia" w:ascii="宋体" w:hAnsi="宋体" w:eastAsia="宋体" w:cs="Times New Roman"/>
                <w:kern w:val="0"/>
                <w:szCs w:val="21"/>
              </w:rPr>
            </w:pPr>
            <w:r>
              <w:rPr>
                <w:rFonts w:hint="eastAsia" w:ascii="宋体" w:hAnsi="宋体"/>
                <w:b/>
                <w:bCs/>
                <w:kern w:val="0"/>
                <w:szCs w:val="21"/>
                <w:lang w:val="en-US" w:eastAsia="zh-CN"/>
              </w:rPr>
              <w:t>2、</w:t>
            </w:r>
            <w:r>
              <w:rPr>
                <w:rFonts w:hint="eastAsia" w:ascii="宋体" w:hAnsi="宋体"/>
                <w:b/>
                <w:bCs/>
                <w:kern w:val="0"/>
                <w:szCs w:val="21"/>
              </w:rPr>
              <w:t>结算原则：</w:t>
            </w:r>
          </w:p>
          <w:p w14:paraId="4FA318EB">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结算价=∑中标全费用清单综合单价×子项工程量+工程量清单新增或变更等引起的增（减）子项结算价，子项工程量按《重庆市建设工程工程量计算规则》(CQJLGZ－2013)规定的计量规则、招标工程量清单项目特征描述中描述的计量规则并结合本合同相关约定计算的实际合格工程量。结算价不得超过本项目最高限价。</w:t>
            </w:r>
          </w:p>
          <w:p w14:paraId="3EFFD9C5">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全费用清单综合单价中的安全文明施工费、规费、税金</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时均视为已按照本市相关部门的规定计取。结算时中标全费用清单综合单价一律不做调整。</w:t>
            </w:r>
          </w:p>
          <w:p w14:paraId="785231B4">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设计变更及调整、施工过程中出现新增项目（含采购范围以外的项目）价款结算办法：工程设计变更确定后，设计变更涉及工程价款调整的，工程施工中出现新增项目，由中标人在该变更、新增项目启动前14天内向监理单位、采购人提出，经采购人、监理单位审核同意后调整合同价款。调整方法如下：</w:t>
            </w:r>
          </w:p>
          <w:p w14:paraId="0449D01D">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A．工程内容与</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报价的工程量清单中有相同的子项或类似子项，则按</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时的相同子项或类似子项的综合单价执行（类似子项的综合单价由采购人审定, 最终办理结算以采购人结算内审结果为准，若经相关部门结（决）算审查，采购人有权对工程结算内审价款进行调整。）；</w:t>
            </w:r>
          </w:p>
          <w:p w14:paraId="1EC1969E">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B．工程内容如有与工程量清单不同的子项按《建设工程工程量清单计价规范》（GB50500-2013）及相关技术规范、要求编制工程量清单，同时结合《重庆市市政工程计价定额》、《重庆市安装工程计价定额》、《重庆市建设工程费用定额》、《混凝土及砂浆配合比表、施工机械台班定额》及相关配套文件套价，套价原则：</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报价与限价下浮比例进行总价同比例下浮，并报采购人审核，其中（人工、材料价格：按</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价格；</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书中没有的人工、材料价格以采购人认质核定的价格为准）。工程量为依据《市政工程工程量计算规范》（GB50857-2013）以及《重庆市建设工程工程量计算规则》（CQJLGZ－2013）约定的计量规则计算的实际合格工程量。</w:t>
            </w:r>
          </w:p>
          <w:p w14:paraId="03BBFA14">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本工程结算以审核结果为准，若需相关部门结（决）算审查的，采购人将对工程结算审核价款进行调整，最后价格以调整后的为准。审计依据包括本合同以及政府审计相关法律法规及规范性文件。</w:t>
            </w:r>
          </w:p>
          <w:p w14:paraId="04122AB2">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据实结算后不得超过限价，超过限价部分不予结算。</w:t>
            </w:r>
          </w:p>
          <w:p w14:paraId="1F9940DC">
            <w:pPr>
              <w:spacing w:line="360" w:lineRule="auto"/>
              <w:ind w:firstLine="422" w:firstLineChars="200"/>
              <w:jc w:val="left"/>
              <w:rPr>
                <w:rFonts w:ascii="宋体" w:hAnsi="宋体"/>
                <w:color w:val="auto"/>
                <w:kern w:val="0"/>
                <w:szCs w:val="21"/>
              </w:rPr>
            </w:pPr>
            <w:r>
              <w:rPr>
                <w:rFonts w:hint="eastAsia" w:ascii="宋体" w:hAnsi="宋体" w:eastAsia="宋体" w:cs="Times New Roman"/>
                <w:b/>
                <w:bCs/>
                <w:kern w:val="0"/>
                <w:sz w:val="21"/>
                <w:szCs w:val="21"/>
                <w:lang w:val="en-US" w:eastAsia="zh-CN" w:bidi="ar-SA"/>
              </w:rPr>
              <w:t>3、</w:t>
            </w:r>
            <w:r>
              <w:rPr>
                <w:rFonts w:hint="eastAsia" w:ascii="宋体" w:hAnsi="宋体" w:eastAsia="宋体" w:cs="Times New Roman"/>
                <w:b/>
                <w:bCs/>
                <w:kern w:val="0"/>
                <w:szCs w:val="21"/>
                <w:lang w:eastAsia="zh-CN"/>
              </w:rPr>
              <w:t>审计费：</w:t>
            </w:r>
            <w:r>
              <w:rPr>
                <w:rFonts w:hint="eastAsia" w:ascii="宋体" w:hAnsi="宋体"/>
                <w:color w:val="auto"/>
                <w:kern w:val="0"/>
                <w:szCs w:val="21"/>
                <w:lang w:eastAsia="zh-CN"/>
              </w:rPr>
              <w:t>委托方</w:t>
            </w:r>
            <w:r>
              <w:rPr>
                <w:rFonts w:hint="eastAsia" w:ascii="宋体" w:hAnsi="宋体"/>
                <w:color w:val="auto"/>
                <w:kern w:val="0"/>
                <w:szCs w:val="21"/>
              </w:rPr>
              <w:t>只支付基本审计费，所有审减金额的效益费由投标人支付；按规定应由施工单位支付审减效益费的，审减效益费</w:t>
            </w:r>
            <w:r>
              <w:rPr>
                <w:rFonts w:ascii="宋体" w:hAnsi="宋体"/>
                <w:color w:val="auto"/>
                <w:kern w:val="0"/>
                <w:szCs w:val="21"/>
              </w:rPr>
              <w:t>按渝价</w:t>
            </w:r>
            <w:r>
              <w:rPr>
                <w:rFonts w:hint="eastAsia" w:ascii="宋体" w:hAnsi="宋体"/>
                <w:color w:val="auto"/>
                <w:kern w:val="0"/>
                <w:szCs w:val="21"/>
              </w:rPr>
              <w:t>【2013】428号</w:t>
            </w:r>
            <w:r>
              <w:rPr>
                <w:rFonts w:ascii="宋体" w:hAnsi="宋体"/>
                <w:color w:val="auto"/>
                <w:kern w:val="0"/>
                <w:szCs w:val="21"/>
              </w:rPr>
              <w:t>文件中相关规定计算</w:t>
            </w:r>
            <w:r>
              <w:rPr>
                <w:rFonts w:hint="eastAsia" w:ascii="宋体" w:hAnsi="宋体"/>
                <w:color w:val="auto"/>
                <w:kern w:val="0"/>
                <w:szCs w:val="21"/>
              </w:rPr>
              <w:t>。</w:t>
            </w:r>
          </w:p>
          <w:p w14:paraId="7BFA0F8A">
            <w:pPr>
              <w:spacing w:line="360" w:lineRule="auto"/>
              <w:ind w:firstLine="420" w:firstLineChars="200"/>
              <w:jc w:val="left"/>
              <w:rPr>
                <w:rFonts w:hint="eastAsia" w:ascii="宋体" w:hAnsi="宋体" w:eastAsia="宋体" w:cs="Times New Roman"/>
                <w:kern w:val="0"/>
                <w:sz w:val="21"/>
                <w:szCs w:val="21"/>
                <w:lang w:val="en-US" w:eastAsia="zh-CN" w:bidi="ar-SA"/>
              </w:rPr>
            </w:pPr>
            <w:r>
              <w:rPr>
                <w:rFonts w:hint="eastAsia" w:ascii="宋体" w:hAnsi="宋体"/>
                <w:color w:val="auto"/>
                <w:kern w:val="0"/>
                <w:szCs w:val="21"/>
              </w:rPr>
              <w:t>在集团或国家审计机构、财政评审机构的二次审计中，发包人审核结算金额与国家审计机构、财政评审机构审核结算金额相比，审减率在5%以上（含5%）时，承包人同样需支付审减金额的效益费，审减效益费按渝价〔2013〕428号文件附表中相关规定计算，结算审核审减效益费计取基数为本项目的审减额，该审减额应抵消审增金额，审减效益费按照累进制计取，且不按工程类别调整系数。</w:t>
            </w:r>
          </w:p>
          <w:p w14:paraId="64F80F5A">
            <w:pPr>
              <w:pStyle w:val="2"/>
              <w:numPr>
                <w:ilvl w:val="0"/>
                <w:numId w:val="0"/>
              </w:numPr>
              <w:ind w:firstLine="422" w:firstLineChars="200"/>
              <w:rPr>
                <w:rFonts w:hint="default" w:ascii="宋体" w:hAnsi="宋体" w:eastAsia="宋体" w:cs="Times New Roman"/>
                <w:color w:val="auto"/>
                <w:kern w:val="0"/>
                <w:sz w:val="21"/>
                <w:szCs w:val="21"/>
                <w:lang w:val="en-US" w:eastAsia="zh-CN" w:bidi="ar-SA"/>
              </w:rPr>
            </w:pPr>
            <w:r>
              <w:rPr>
                <w:rFonts w:hint="eastAsia" w:ascii="宋体" w:hAnsi="宋体" w:cs="Times New Roman"/>
                <w:b/>
                <w:bCs/>
                <w:color w:val="auto"/>
                <w:kern w:val="0"/>
                <w:sz w:val="21"/>
                <w:szCs w:val="21"/>
                <w:lang w:val="en-US" w:eastAsia="zh-CN" w:bidi="ar-SA"/>
              </w:rPr>
              <w:t>4、</w:t>
            </w:r>
            <w:r>
              <w:rPr>
                <w:rFonts w:hint="eastAsia" w:ascii="宋体" w:hAnsi="宋体" w:eastAsia="宋体" w:cs="Times New Roman"/>
                <w:b/>
                <w:bCs/>
                <w:color w:val="auto"/>
                <w:kern w:val="0"/>
                <w:sz w:val="21"/>
                <w:szCs w:val="21"/>
                <w:lang w:val="en-US" w:eastAsia="zh-CN" w:bidi="ar-SA"/>
              </w:rPr>
              <w:t>其他要求</w:t>
            </w:r>
            <w:r>
              <w:rPr>
                <w:rFonts w:hint="eastAsia" w:ascii="宋体" w:hAnsi="宋体" w:eastAsia="宋体" w:cs="Times New Roman"/>
                <w:color w:val="auto"/>
                <w:kern w:val="0"/>
                <w:sz w:val="21"/>
                <w:szCs w:val="21"/>
                <w:lang w:val="en-US" w:eastAsia="zh-CN" w:bidi="ar-SA"/>
              </w:rPr>
              <w:t>：弃土场回填过程中应符合业主相关管理规定。严禁私自接收外来渣土。若经发现违者罚款10万元每车每次。累计3次业主有权解除合同并追究相关责任。</w:t>
            </w:r>
          </w:p>
          <w:p w14:paraId="6A313C2C">
            <w:pPr>
              <w:ind w:firstLine="422" w:firstLineChars="200"/>
              <w:rPr>
                <w:rFonts w:hint="default"/>
                <w:lang w:val="en-US" w:eastAsia="zh-CN"/>
              </w:rPr>
            </w:pPr>
            <w:r>
              <w:rPr>
                <w:rFonts w:hint="eastAsia" w:ascii="宋体" w:hAnsi="宋体" w:eastAsia="宋体" w:cs="Times New Roman"/>
                <w:b/>
                <w:bCs/>
                <w:color w:val="auto"/>
                <w:kern w:val="0"/>
                <w:sz w:val="21"/>
                <w:szCs w:val="21"/>
                <w:lang w:val="en-US" w:eastAsia="zh-CN" w:bidi="ar-SA"/>
              </w:rPr>
              <w:t>5、特别说明：</w:t>
            </w:r>
            <w:r>
              <w:rPr>
                <w:rFonts w:hint="eastAsia" w:ascii="宋体" w:hAnsi="宋体" w:cs="Times New Roman"/>
                <w:b w:val="0"/>
                <w:bCs w:val="0"/>
                <w:color w:val="auto"/>
                <w:kern w:val="0"/>
                <w:sz w:val="21"/>
                <w:szCs w:val="21"/>
                <w:lang w:val="en-US" w:eastAsia="zh-CN" w:bidi="ar-SA"/>
              </w:rPr>
              <w:t>本项目</w:t>
            </w:r>
            <w:r>
              <w:rPr>
                <w:rFonts w:hint="eastAsia" w:ascii="宋体" w:hAnsi="宋体" w:eastAsia="宋体" w:cs="Times New Roman"/>
                <w:b w:val="0"/>
                <w:bCs w:val="0"/>
                <w:color w:val="auto"/>
                <w:kern w:val="0"/>
                <w:sz w:val="21"/>
                <w:szCs w:val="21"/>
                <w:lang w:val="en-US" w:eastAsia="zh-CN" w:bidi="ar-SA"/>
              </w:rPr>
              <w:t>先</w:t>
            </w:r>
            <w:r>
              <w:rPr>
                <w:rFonts w:hint="eastAsia" w:ascii="宋体" w:hAnsi="宋体" w:eastAsia="宋体" w:cs="Times New Roman"/>
                <w:color w:val="auto"/>
                <w:kern w:val="0"/>
                <w:sz w:val="21"/>
                <w:szCs w:val="21"/>
                <w:lang w:val="en-US" w:eastAsia="zh-CN" w:bidi="ar-SA"/>
              </w:rPr>
              <w:t>行实施一期工程，</w:t>
            </w:r>
            <w:r>
              <w:rPr>
                <w:rFonts w:hint="eastAsia" w:ascii="宋体" w:hAnsi="宋体" w:cs="Times New Roman"/>
                <w:color w:val="auto"/>
                <w:kern w:val="0"/>
                <w:sz w:val="21"/>
                <w:szCs w:val="21"/>
                <w:lang w:val="en-US" w:eastAsia="zh-CN" w:bidi="ar-SA"/>
              </w:rPr>
              <w:t>再行实施</w:t>
            </w:r>
            <w:r>
              <w:rPr>
                <w:rFonts w:hint="eastAsia" w:ascii="宋体" w:hAnsi="宋体" w:eastAsia="宋体" w:cs="Times New Roman"/>
                <w:color w:val="auto"/>
                <w:kern w:val="0"/>
                <w:sz w:val="21"/>
                <w:szCs w:val="21"/>
                <w:lang w:val="en-US" w:eastAsia="zh-CN" w:bidi="ar-SA"/>
              </w:rPr>
              <w:t>二期</w:t>
            </w:r>
            <w:r>
              <w:rPr>
                <w:rFonts w:hint="eastAsia" w:ascii="宋体" w:hAnsi="宋体" w:cs="Times New Roman"/>
                <w:color w:val="auto"/>
                <w:kern w:val="0"/>
                <w:sz w:val="21"/>
                <w:szCs w:val="21"/>
                <w:lang w:val="en-US" w:eastAsia="zh-CN" w:bidi="ar-SA"/>
              </w:rPr>
              <w:t>工程。一期二期</w:t>
            </w:r>
            <w:r>
              <w:rPr>
                <w:rFonts w:hint="eastAsia" w:ascii="宋体" w:hAnsi="宋体" w:eastAsia="宋体" w:cs="Times New Roman"/>
                <w:color w:val="auto"/>
                <w:kern w:val="0"/>
                <w:sz w:val="21"/>
                <w:szCs w:val="21"/>
                <w:lang w:val="en-US" w:eastAsia="zh-CN" w:bidi="ar-SA"/>
              </w:rPr>
              <w:t>工作内容业主单位有权根据项目实际情况调整相关的建设内容及建设进度，投标人不得因为建设内容及进度的变化提出索赔</w:t>
            </w:r>
            <w:r>
              <w:rPr>
                <w:rFonts w:hint="eastAsia" w:ascii="宋体" w:hAnsi="宋体" w:cs="Times New Roman"/>
                <w:color w:val="auto"/>
                <w:kern w:val="0"/>
                <w:sz w:val="21"/>
                <w:szCs w:val="21"/>
                <w:lang w:val="en-US" w:eastAsia="zh-CN" w:bidi="ar-SA"/>
              </w:rPr>
              <w:t>，相关风险及多次进场费用综合考虑在投标报价中</w:t>
            </w:r>
            <w:r>
              <w:rPr>
                <w:rFonts w:hint="eastAsia" w:ascii="宋体" w:hAnsi="宋体" w:eastAsia="宋体" w:cs="Times New Roman"/>
                <w:color w:val="auto"/>
                <w:kern w:val="0"/>
                <w:sz w:val="21"/>
                <w:szCs w:val="21"/>
                <w:lang w:val="en-US" w:eastAsia="zh-CN" w:bidi="ar-SA"/>
              </w:rPr>
              <w:t>。</w:t>
            </w:r>
          </w:p>
        </w:tc>
      </w:tr>
    </w:tbl>
    <w:p w14:paraId="47845ABE">
      <w:pPr>
        <w:pStyle w:val="4"/>
        <w:spacing w:before="0" w:after="0" w:line="20" w:lineRule="exact"/>
        <w:rPr>
          <w:rFonts w:ascii="宋体" w:hAnsi="宋体"/>
          <w:b w:val="0"/>
          <w:snapToGrid w:val="0"/>
        </w:rPr>
      </w:pPr>
      <w:bookmarkStart w:id="77" w:name="_Toc287607746"/>
      <w:bookmarkStart w:id="78" w:name="_Toc430530435"/>
      <w:bookmarkStart w:id="79" w:name="_Toc200513126"/>
      <w:bookmarkStart w:id="80" w:name="_Toc224103317"/>
      <w:bookmarkStart w:id="81" w:name="_Toc277082552"/>
      <w:bookmarkStart w:id="82" w:name="_Toc287620685"/>
    </w:p>
    <w:p w14:paraId="3DF194D0">
      <w:pPr>
        <w:pStyle w:val="4"/>
        <w:spacing w:before="0" w:after="0" w:line="200" w:lineRule="exact"/>
        <w:rPr>
          <w:rFonts w:ascii="宋体" w:hAnsi="宋体"/>
          <w:b w:val="0"/>
          <w:snapToGrid w:val="0"/>
        </w:rPr>
      </w:pPr>
      <w:r>
        <w:rPr>
          <w:rFonts w:ascii="宋体" w:hAnsi="宋体"/>
          <w:b w:val="0"/>
          <w:snapToGrid w:val="0"/>
        </w:rPr>
        <w:br w:type="page"/>
      </w:r>
    </w:p>
    <w:bookmarkEnd w:id="77"/>
    <w:bookmarkEnd w:id="78"/>
    <w:bookmarkEnd w:id="79"/>
    <w:bookmarkEnd w:id="80"/>
    <w:bookmarkEnd w:id="81"/>
    <w:bookmarkEnd w:id="82"/>
    <w:p w14:paraId="05A08B0A">
      <w:pPr>
        <w:rPr>
          <w:snapToGrid w:val="0"/>
        </w:rPr>
      </w:pPr>
      <w:r>
        <w:rPr>
          <w:rFonts w:hint="eastAsia"/>
          <w:snapToGrid w:val="0"/>
          <w:sz w:val="24"/>
          <w:szCs w:val="32"/>
        </w:rPr>
        <w:t>1.  总则</w:t>
      </w:r>
    </w:p>
    <w:p w14:paraId="7B02B69A">
      <w:pPr>
        <w:pStyle w:val="5"/>
        <w:snapToGrid w:val="0"/>
        <w:spacing w:before="0" w:after="0" w:line="360" w:lineRule="auto"/>
        <w:rPr>
          <w:rFonts w:hint="eastAsia" w:ascii="宋体" w:hAnsi="宋体" w:cs="仿宋"/>
          <w:b w:val="0"/>
          <w:snapToGrid w:val="0"/>
          <w:sz w:val="24"/>
          <w:szCs w:val="24"/>
        </w:rPr>
      </w:pPr>
      <w:bookmarkStart w:id="83" w:name="_Toc430530436"/>
      <w:bookmarkStart w:id="84" w:name="_Toc287620686"/>
      <w:bookmarkStart w:id="85" w:name="_Toc277082553"/>
      <w:bookmarkStart w:id="86" w:name="_Toc224103318"/>
      <w:bookmarkStart w:id="87" w:name="_Toc32232"/>
      <w:bookmarkStart w:id="88" w:name="_Toc5468"/>
      <w:bookmarkStart w:id="89" w:name="_Toc200513127"/>
      <w:bookmarkStart w:id="90" w:name="_Toc287607747"/>
      <w:bookmarkStart w:id="91" w:name="_Toc509218711"/>
      <w:bookmarkStart w:id="92" w:name="_Toc32679"/>
      <w:bookmarkStart w:id="93" w:name="_Toc20651"/>
      <w:r>
        <w:rPr>
          <w:rFonts w:hint="eastAsia" w:ascii="宋体" w:hAnsi="宋体" w:cs="仿宋"/>
          <w:b w:val="0"/>
          <w:snapToGrid w:val="0"/>
          <w:sz w:val="24"/>
          <w:szCs w:val="24"/>
        </w:rPr>
        <w:t>1.1  项目概况</w:t>
      </w:r>
      <w:bookmarkEnd w:id="83"/>
      <w:bookmarkEnd w:id="84"/>
      <w:bookmarkEnd w:id="85"/>
      <w:bookmarkEnd w:id="86"/>
      <w:bookmarkEnd w:id="87"/>
      <w:bookmarkEnd w:id="88"/>
      <w:bookmarkEnd w:id="89"/>
      <w:bookmarkEnd w:id="90"/>
      <w:bookmarkEnd w:id="91"/>
      <w:bookmarkEnd w:id="92"/>
      <w:bookmarkEnd w:id="93"/>
    </w:p>
    <w:p w14:paraId="32242616">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1.1.1  根据《中华人民共和国招标</w:t>
      </w:r>
      <w:r>
        <w:rPr>
          <w:rFonts w:hint="eastAsia" w:ascii="宋体" w:hAnsi="宋体" w:cs="仿宋"/>
          <w:snapToGrid w:val="0"/>
          <w:kern w:val="0"/>
          <w:sz w:val="24"/>
          <w:lang w:eastAsia="zh-CN"/>
        </w:rPr>
        <w:t>竞选</w:t>
      </w:r>
      <w:r>
        <w:rPr>
          <w:rFonts w:hint="eastAsia" w:ascii="宋体" w:hAnsi="宋体" w:cs="仿宋"/>
          <w:snapToGrid w:val="0"/>
          <w:kern w:val="0"/>
          <w:sz w:val="24"/>
        </w:rPr>
        <w:t xml:space="preserve">法》等有关法律、法规和规章的规定，本比选项目已具备比选条件，现对本项目进行比选。  </w:t>
      </w:r>
    </w:p>
    <w:p w14:paraId="2FD5E27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1.1.2  本</w:t>
      </w:r>
      <w:r>
        <w:rPr>
          <w:rFonts w:hint="eastAsia" w:ascii="宋体" w:hAnsi="宋体" w:cs="仿宋"/>
          <w:kern w:val="0"/>
          <w:sz w:val="24"/>
        </w:rPr>
        <w:t>比选</w:t>
      </w:r>
      <w:r>
        <w:rPr>
          <w:rFonts w:hint="eastAsia" w:ascii="宋体" w:hAnsi="宋体" w:cs="仿宋"/>
          <w:snapToGrid w:val="0"/>
          <w:kern w:val="0"/>
          <w:sz w:val="24"/>
        </w:rPr>
        <w:t>项目比选人：见竞选人须知前附表。</w:t>
      </w:r>
    </w:p>
    <w:p w14:paraId="3B5D220E">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1.1.3  本</w:t>
      </w:r>
      <w:r>
        <w:rPr>
          <w:rFonts w:hint="eastAsia" w:ascii="宋体" w:hAnsi="宋体" w:cs="仿宋"/>
          <w:kern w:val="0"/>
          <w:sz w:val="24"/>
        </w:rPr>
        <w:t>比选</w:t>
      </w:r>
      <w:r>
        <w:rPr>
          <w:rFonts w:hint="eastAsia" w:ascii="宋体" w:hAnsi="宋体" w:cs="仿宋"/>
          <w:snapToGrid w:val="0"/>
          <w:kern w:val="0"/>
          <w:sz w:val="24"/>
        </w:rPr>
        <w:t>项目比选代理机构：见竞选人须知前附表。</w:t>
      </w:r>
    </w:p>
    <w:p w14:paraId="7EF0497A">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1.1.4  本</w:t>
      </w:r>
      <w:r>
        <w:rPr>
          <w:rFonts w:hint="eastAsia" w:ascii="宋体" w:hAnsi="宋体" w:cs="仿宋"/>
          <w:kern w:val="0"/>
          <w:sz w:val="24"/>
        </w:rPr>
        <w:t>比选</w:t>
      </w:r>
      <w:r>
        <w:rPr>
          <w:rFonts w:hint="eastAsia" w:ascii="宋体" w:hAnsi="宋体" w:cs="仿宋"/>
          <w:snapToGrid w:val="0"/>
          <w:kern w:val="0"/>
          <w:sz w:val="24"/>
        </w:rPr>
        <w:t>项目名称：见竞选人须知前附表。</w:t>
      </w:r>
    </w:p>
    <w:p w14:paraId="633FB7B7">
      <w:pPr>
        <w:autoSpaceDE w:val="0"/>
        <w:autoSpaceDN w:val="0"/>
        <w:adjustRightInd w:val="0"/>
        <w:snapToGrid w:val="0"/>
        <w:spacing w:line="360" w:lineRule="auto"/>
        <w:rPr>
          <w:rFonts w:hint="eastAsia" w:ascii="宋体" w:hAnsi="宋体" w:cs="仿宋"/>
          <w:snapToGrid w:val="0"/>
          <w:kern w:val="0"/>
          <w:sz w:val="24"/>
        </w:rPr>
      </w:pPr>
      <w:bookmarkStart w:id="94" w:name="_Toc287607751"/>
      <w:bookmarkStart w:id="95" w:name="_Toc1894"/>
      <w:bookmarkStart w:id="96" w:name="_Toc200513131"/>
      <w:bookmarkStart w:id="97" w:name="_Toc287620690"/>
      <w:bookmarkStart w:id="98" w:name="_Toc28937"/>
      <w:bookmarkStart w:id="99" w:name="_Toc25977"/>
      <w:bookmarkStart w:id="100" w:name="_Toc11478"/>
      <w:bookmarkStart w:id="101" w:name="_Toc430530440"/>
      <w:bookmarkStart w:id="102" w:name="_Toc277082557"/>
      <w:bookmarkStart w:id="103" w:name="_Toc224103322"/>
      <w:bookmarkStart w:id="104" w:name="_Toc509218715"/>
      <w:r>
        <w:rPr>
          <w:rFonts w:hint="eastAsia" w:ascii="宋体" w:hAnsi="宋体" w:cs="仿宋"/>
          <w:snapToGrid w:val="0"/>
          <w:kern w:val="0"/>
          <w:sz w:val="24"/>
        </w:rPr>
        <w:t>1.2  项目的基本情况</w:t>
      </w:r>
    </w:p>
    <w:p w14:paraId="1E77E4FD">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1.2.1  本次比选项目的基本情况：见竞选人须知前附表。</w:t>
      </w:r>
    </w:p>
    <w:p w14:paraId="78987AE6">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1.2.2  本项目的服务期限：见竞选人须知前附表。</w:t>
      </w:r>
    </w:p>
    <w:p w14:paraId="0CAFC437">
      <w:pPr>
        <w:pStyle w:val="5"/>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1.3  竞选人资格要求</w:t>
      </w:r>
      <w:bookmarkEnd w:id="94"/>
      <w:bookmarkEnd w:id="95"/>
      <w:bookmarkEnd w:id="96"/>
      <w:bookmarkEnd w:id="97"/>
      <w:bookmarkEnd w:id="98"/>
      <w:bookmarkEnd w:id="99"/>
      <w:bookmarkEnd w:id="100"/>
      <w:bookmarkEnd w:id="101"/>
      <w:bookmarkEnd w:id="102"/>
      <w:bookmarkEnd w:id="103"/>
      <w:bookmarkEnd w:id="104"/>
    </w:p>
    <w:p w14:paraId="4E0732CB">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1.4.1 竞选人应具备承担本项目的资质条件、能力和信誉。</w:t>
      </w:r>
    </w:p>
    <w:p w14:paraId="05347429">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（1）资质条件、</w:t>
      </w:r>
      <w:r>
        <w:rPr>
          <w:rFonts w:hint="eastAsia" w:ascii="宋体" w:hAnsi="宋体" w:cs="仿宋"/>
          <w:sz w:val="24"/>
        </w:rPr>
        <w:t>营业执照</w:t>
      </w:r>
      <w:r>
        <w:rPr>
          <w:rFonts w:hint="eastAsia" w:ascii="宋体" w:hAnsi="宋体" w:cs="仿宋"/>
          <w:snapToGrid w:val="0"/>
          <w:kern w:val="0"/>
          <w:sz w:val="24"/>
        </w:rPr>
        <w:t>：见竞选人须知前附表；</w:t>
      </w:r>
    </w:p>
    <w:p w14:paraId="4858F746">
      <w:pPr>
        <w:autoSpaceDE w:val="0"/>
        <w:autoSpaceDN w:val="0"/>
        <w:adjustRightInd w:val="0"/>
        <w:snapToGrid w:val="0"/>
        <w:spacing w:line="360" w:lineRule="auto"/>
        <w:ind w:firstLine="410" w:firstLineChars="171"/>
        <w:rPr>
          <w:rFonts w:hint="eastAsia" w:ascii="宋体" w:hAnsi="宋体" w:cs="仿宋"/>
        </w:rPr>
      </w:pPr>
      <w:r>
        <w:rPr>
          <w:rFonts w:hint="eastAsia" w:ascii="宋体" w:hAnsi="宋体" w:cs="仿宋"/>
          <w:snapToGrid w:val="0"/>
          <w:kern w:val="0"/>
          <w:sz w:val="24"/>
        </w:rPr>
        <w:t>（2）财务要求：见竞选人须知前附表；</w:t>
      </w:r>
    </w:p>
    <w:p w14:paraId="181322FB">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（3）</w:t>
      </w:r>
      <w:r>
        <w:rPr>
          <w:rFonts w:hint="eastAsia" w:ascii="宋体" w:hAnsi="宋体" w:cs="仿宋"/>
          <w:sz w:val="24"/>
        </w:rPr>
        <w:t>竞选</w:t>
      </w:r>
      <w:r>
        <w:rPr>
          <w:rFonts w:hint="eastAsia" w:ascii="宋体" w:hAnsi="宋体" w:cs="仿宋"/>
          <w:snapToGrid w:val="0"/>
          <w:kern w:val="0"/>
          <w:sz w:val="24"/>
        </w:rPr>
        <w:t>截止日</w:t>
      </w:r>
      <w:r>
        <w:rPr>
          <w:rFonts w:hint="eastAsia" w:ascii="宋体" w:hAnsi="宋体" w:cs="仿宋"/>
          <w:sz w:val="24"/>
        </w:rPr>
        <w:t>竞选</w:t>
      </w:r>
      <w:r>
        <w:rPr>
          <w:rFonts w:hint="eastAsia" w:ascii="宋体" w:hAnsi="宋体" w:cs="仿宋"/>
          <w:snapToGrid w:val="0"/>
          <w:kern w:val="0"/>
          <w:sz w:val="24"/>
        </w:rPr>
        <w:t>资格情况：见竞选人须知前附表；</w:t>
      </w:r>
    </w:p>
    <w:p w14:paraId="3131B5E6">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1.4.2  不允许联合体</w:t>
      </w:r>
      <w:r>
        <w:rPr>
          <w:rFonts w:hint="eastAsia" w:ascii="宋体" w:hAnsi="宋体" w:cs="仿宋"/>
          <w:snapToGrid w:val="0"/>
          <w:kern w:val="0"/>
          <w:sz w:val="24"/>
          <w:lang w:eastAsia="zh-CN"/>
        </w:rPr>
        <w:t>竞选</w:t>
      </w:r>
      <w:r>
        <w:rPr>
          <w:rFonts w:hint="eastAsia" w:ascii="宋体" w:hAnsi="宋体" w:cs="仿宋"/>
          <w:snapToGrid w:val="0"/>
          <w:kern w:val="0"/>
          <w:sz w:val="24"/>
        </w:rPr>
        <w:t>。</w:t>
      </w:r>
    </w:p>
    <w:p w14:paraId="5B1C13AB">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1.4.3  竞选人不得存在下列情形之一：</w:t>
      </w:r>
    </w:p>
    <w:p w14:paraId="5F2B5C2A">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position w:val="-2"/>
          <w:sz w:val="24"/>
        </w:rPr>
        <w:t>（1）与比选人存在利害关系可能影响比选公正性的法人、其他组织或者个人；</w:t>
      </w:r>
    </w:p>
    <w:p w14:paraId="1D7B9751">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（2）为本</w:t>
      </w:r>
      <w:r>
        <w:rPr>
          <w:rFonts w:hint="eastAsia" w:ascii="宋体" w:hAnsi="宋体" w:cs="仿宋"/>
          <w:kern w:val="0"/>
          <w:sz w:val="24"/>
        </w:rPr>
        <w:t>比选</w:t>
      </w:r>
      <w:r>
        <w:rPr>
          <w:rFonts w:hint="eastAsia" w:ascii="宋体" w:hAnsi="宋体" w:cs="仿宋"/>
          <w:snapToGrid w:val="0"/>
          <w:kern w:val="0"/>
          <w:sz w:val="24"/>
        </w:rPr>
        <w:t>项目提供比选代理服务的；</w:t>
      </w:r>
    </w:p>
    <w:p w14:paraId="2968D306">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（3）被责令停产停业、暂扣或者吊销许可证、暂扣或者吊销执照；</w:t>
      </w:r>
    </w:p>
    <w:p w14:paraId="3574436E">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（4）被国家、重庆市（含市或任意区县）有关行政部门处以暂停</w:t>
      </w:r>
      <w:r>
        <w:rPr>
          <w:rFonts w:hint="eastAsia" w:ascii="宋体" w:hAnsi="宋体" w:cs="仿宋"/>
          <w:snapToGrid w:val="0"/>
          <w:kern w:val="0"/>
          <w:sz w:val="24"/>
          <w:lang w:eastAsia="zh-CN"/>
        </w:rPr>
        <w:t>竞选</w:t>
      </w:r>
      <w:r>
        <w:rPr>
          <w:rFonts w:hint="eastAsia" w:ascii="宋体" w:hAnsi="宋体" w:cs="仿宋"/>
          <w:snapToGrid w:val="0"/>
          <w:kern w:val="0"/>
          <w:sz w:val="24"/>
        </w:rPr>
        <w:t>资格行政处罚，且在处罚期限内的；</w:t>
      </w:r>
    </w:p>
    <w:p w14:paraId="484B99EB">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（5）进入清算程序，或被宣告破产，或其他丧失履约能力的情形；</w:t>
      </w:r>
    </w:p>
    <w:p w14:paraId="175CA6BD">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（6）</w:t>
      </w:r>
      <w:r>
        <w:rPr>
          <w:rFonts w:hint="eastAsia" w:ascii="宋体" w:hAnsi="宋体" w:cs="仿宋"/>
          <w:sz w:val="24"/>
        </w:rPr>
        <w:t>单位负责人为同一人或者存在控股、管理关系的不同单位，不得在同一标段中同时</w:t>
      </w:r>
      <w:r>
        <w:rPr>
          <w:rFonts w:hint="eastAsia" w:ascii="宋体" w:hAnsi="宋体" w:cs="仿宋"/>
          <w:sz w:val="24"/>
          <w:lang w:eastAsia="zh-CN"/>
        </w:rPr>
        <w:t>竞选</w:t>
      </w:r>
      <w:r>
        <w:rPr>
          <w:rFonts w:hint="eastAsia" w:ascii="宋体" w:hAnsi="宋体" w:cs="仿宋"/>
          <w:snapToGrid w:val="0"/>
          <w:kern w:val="0"/>
          <w:sz w:val="24"/>
        </w:rPr>
        <w:t>。</w:t>
      </w:r>
    </w:p>
    <w:p w14:paraId="58755662">
      <w:pPr>
        <w:pStyle w:val="5"/>
        <w:snapToGrid w:val="0"/>
        <w:spacing w:before="0" w:after="0" w:line="360" w:lineRule="auto"/>
        <w:rPr>
          <w:rFonts w:hint="eastAsia" w:ascii="宋体" w:hAnsi="宋体" w:cs="仿宋"/>
          <w:b w:val="0"/>
          <w:snapToGrid w:val="0"/>
          <w:sz w:val="24"/>
          <w:szCs w:val="24"/>
        </w:rPr>
      </w:pPr>
      <w:bookmarkStart w:id="105" w:name="_Toc509218716"/>
      <w:bookmarkStart w:id="106" w:name="_Toc3420"/>
      <w:bookmarkStart w:id="107" w:name="_Toc224103323"/>
      <w:bookmarkStart w:id="108" w:name="_Toc20662"/>
      <w:bookmarkStart w:id="109" w:name="_Toc287607752"/>
      <w:bookmarkStart w:id="110" w:name="_Toc277082558"/>
      <w:bookmarkStart w:id="111" w:name="_Toc22728"/>
      <w:bookmarkStart w:id="112" w:name="_Toc24097"/>
      <w:bookmarkStart w:id="113" w:name="_Toc200513132"/>
      <w:bookmarkStart w:id="114" w:name="_Toc430530441"/>
      <w:bookmarkStart w:id="115" w:name="_Toc287620691"/>
      <w:r>
        <w:rPr>
          <w:rFonts w:hint="eastAsia" w:ascii="宋体" w:hAnsi="宋体" w:cs="仿宋"/>
          <w:b w:val="0"/>
          <w:snapToGrid w:val="0"/>
          <w:sz w:val="24"/>
          <w:szCs w:val="24"/>
        </w:rPr>
        <w:t>1.5  费用承担</w:t>
      </w:r>
      <w:bookmarkEnd w:id="105"/>
      <w:bookmarkEnd w:id="106"/>
      <w:bookmarkEnd w:id="107"/>
      <w:bookmarkEnd w:id="108"/>
      <w:bookmarkEnd w:id="109"/>
      <w:bookmarkEnd w:id="110"/>
      <w:bookmarkEnd w:id="111"/>
      <w:bookmarkEnd w:id="112"/>
      <w:bookmarkEnd w:id="113"/>
      <w:bookmarkEnd w:id="114"/>
      <w:bookmarkEnd w:id="115"/>
    </w:p>
    <w:p w14:paraId="287FD082">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竞选人准备和参加</w:t>
      </w:r>
      <w:r>
        <w:rPr>
          <w:rFonts w:hint="eastAsia" w:ascii="宋体" w:hAnsi="宋体" w:cs="仿宋"/>
          <w:sz w:val="24"/>
        </w:rPr>
        <w:t>竞选</w:t>
      </w:r>
      <w:r>
        <w:rPr>
          <w:rFonts w:hint="eastAsia" w:ascii="宋体" w:hAnsi="宋体" w:cs="仿宋"/>
          <w:snapToGrid w:val="0"/>
          <w:kern w:val="0"/>
          <w:sz w:val="24"/>
        </w:rPr>
        <w:t>活动发生的费用自理。</w:t>
      </w:r>
    </w:p>
    <w:p w14:paraId="4A6EDC13">
      <w:pPr>
        <w:pStyle w:val="5"/>
        <w:snapToGrid w:val="0"/>
        <w:spacing w:before="0" w:after="0" w:line="360" w:lineRule="auto"/>
        <w:rPr>
          <w:rFonts w:hint="eastAsia" w:ascii="宋体" w:hAnsi="宋体" w:cs="仿宋"/>
          <w:b w:val="0"/>
          <w:snapToGrid w:val="0"/>
          <w:sz w:val="24"/>
          <w:szCs w:val="24"/>
        </w:rPr>
      </w:pPr>
      <w:bookmarkStart w:id="116" w:name="_Toc509218717"/>
      <w:bookmarkStart w:id="117" w:name="_Toc26130"/>
      <w:bookmarkStart w:id="118" w:name="_Toc200513133"/>
      <w:bookmarkStart w:id="119" w:name="_Toc277082559"/>
      <w:bookmarkStart w:id="120" w:name="_Toc224103324"/>
      <w:bookmarkStart w:id="121" w:name="_Toc12783"/>
      <w:bookmarkStart w:id="122" w:name="_Toc27882"/>
      <w:bookmarkStart w:id="123" w:name="_Toc18347"/>
      <w:bookmarkStart w:id="124" w:name="_Toc287620692"/>
      <w:bookmarkStart w:id="125" w:name="_Toc287607753"/>
      <w:bookmarkStart w:id="126" w:name="_Toc430530442"/>
      <w:r>
        <w:rPr>
          <w:rFonts w:hint="eastAsia" w:ascii="宋体" w:hAnsi="宋体" w:cs="仿宋"/>
          <w:b w:val="0"/>
          <w:snapToGrid w:val="0"/>
          <w:sz w:val="24"/>
          <w:szCs w:val="24"/>
        </w:rPr>
        <w:t>1.6  保密</w:t>
      </w:r>
      <w:bookmarkEnd w:id="116"/>
      <w:bookmarkEnd w:id="117"/>
      <w:bookmarkEnd w:id="118"/>
      <w:bookmarkEnd w:id="119"/>
      <w:bookmarkEnd w:id="120"/>
      <w:bookmarkEnd w:id="121"/>
      <w:bookmarkEnd w:id="122"/>
      <w:bookmarkEnd w:id="123"/>
      <w:bookmarkEnd w:id="124"/>
      <w:bookmarkEnd w:id="125"/>
      <w:bookmarkEnd w:id="126"/>
    </w:p>
    <w:p w14:paraId="19FD9E5F">
      <w:pPr>
        <w:autoSpaceDE w:val="0"/>
        <w:autoSpaceDN w:val="0"/>
        <w:adjustRightInd w:val="0"/>
        <w:snapToGrid w:val="0"/>
        <w:spacing w:line="360" w:lineRule="auto"/>
        <w:ind w:firstLine="420"/>
        <w:rPr>
          <w:rFonts w:hint="eastAsia" w:ascii="宋体" w:hAnsi="宋体" w:cs="仿宋"/>
          <w:snapToGrid w:val="0"/>
          <w:kern w:val="0"/>
          <w:sz w:val="24"/>
        </w:rPr>
      </w:pPr>
      <w:r>
        <w:rPr>
          <w:rFonts w:hint="eastAsia" w:ascii="宋体" w:hAnsi="宋体" w:cs="仿宋"/>
          <w:snapToGrid w:val="0"/>
          <w:kern w:val="0"/>
          <w:sz w:val="24"/>
        </w:rPr>
        <w:t>参与招标</w:t>
      </w:r>
      <w:r>
        <w:rPr>
          <w:rFonts w:hint="eastAsia" w:ascii="宋体" w:hAnsi="宋体" w:cs="仿宋"/>
          <w:snapToGrid w:val="0"/>
          <w:kern w:val="0"/>
          <w:sz w:val="24"/>
          <w:lang w:eastAsia="zh-CN"/>
        </w:rPr>
        <w:t>竞选</w:t>
      </w:r>
      <w:r>
        <w:rPr>
          <w:rFonts w:hint="eastAsia" w:ascii="宋体" w:hAnsi="宋体" w:cs="仿宋"/>
          <w:snapToGrid w:val="0"/>
          <w:kern w:val="0"/>
          <w:sz w:val="24"/>
        </w:rPr>
        <w:t>活动的各方应对竞争性比选文件和竞选文件中的商业和技术等秘密保密，违者应对由此造成的后果承担法律责任。</w:t>
      </w:r>
    </w:p>
    <w:p w14:paraId="31B15158">
      <w:pPr>
        <w:pStyle w:val="5"/>
        <w:snapToGrid w:val="0"/>
        <w:spacing w:before="0" w:after="0" w:line="360" w:lineRule="auto"/>
        <w:rPr>
          <w:rFonts w:hint="eastAsia" w:ascii="宋体" w:hAnsi="宋体" w:cs="仿宋"/>
          <w:b w:val="0"/>
          <w:snapToGrid w:val="0"/>
          <w:sz w:val="24"/>
          <w:szCs w:val="24"/>
        </w:rPr>
      </w:pPr>
      <w:bookmarkStart w:id="127" w:name="_Toc6224"/>
      <w:bookmarkStart w:id="128" w:name="_Toc509218718"/>
      <w:bookmarkStart w:id="129" w:name="_Toc287620693"/>
      <w:bookmarkStart w:id="130" w:name="_Toc430530443"/>
      <w:bookmarkStart w:id="131" w:name="_Toc200513134"/>
      <w:bookmarkStart w:id="132" w:name="_Toc287607754"/>
      <w:bookmarkStart w:id="133" w:name="_Toc1222"/>
      <w:bookmarkStart w:id="134" w:name="_Toc15588"/>
      <w:bookmarkStart w:id="135" w:name="_Toc224103325"/>
      <w:bookmarkStart w:id="136" w:name="_Toc13710"/>
      <w:bookmarkStart w:id="137" w:name="_Toc277082560"/>
      <w:r>
        <w:rPr>
          <w:rFonts w:hint="eastAsia" w:ascii="宋体" w:hAnsi="宋体" w:cs="仿宋"/>
          <w:b w:val="0"/>
          <w:snapToGrid w:val="0"/>
          <w:sz w:val="24"/>
          <w:szCs w:val="24"/>
        </w:rPr>
        <w:t>1.7  语言文字</w:t>
      </w:r>
      <w:bookmarkEnd w:id="127"/>
      <w:bookmarkEnd w:id="128"/>
      <w:bookmarkEnd w:id="129"/>
      <w:bookmarkEnd w:id="130"/>
      <w:bookmarkEnd w:id="131"/>
      <w:bookmarkEnd w:id="132"/>
      <w:bookmarkEnd w:id="133"/>
      <w:bookmarkEnd w:id="134"/>
      <w:bookmarkEnd w:id="135"/>
      <w:bookmarkEnd w:id="136"/>
      <w:bookmarkEnd w:id="137"/>
    </w:p>
    <w:p w14:paraId="7A8A6499">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除专用术语外，与招标</w:t>
      </w:r>
      <w:r>
        <w:rPr>
          <w:rFonts w:hint="eastAsia" w:ascii="宋体" w:hAnsi="宋体" w:cs="仿宋"/>
          <w:snapToGrid w:val="0"/>
          <w:kern w:val="0"/>
          <w:sz w:val="24"/>
          <w:lang w:eastAsia="zh-CN"/>
        </w:rPr>
        <w:t>竞选</w:t>
      </w:r>
      <w:r>
        <w:rPr>
          <w:rFonts w:hint="eastAsia" w:ascii="宋体" w:hAnsi="宋体" w:cs="仿宋"/>
          <w:snapToGrid w:val="0"/>
          <w:kern w:val="0"/>
          <w:sz w:val="24"/>
        </w:rPr>
        <w:t>有关的语言均使用中文。必要时专用术语应附有中文注释。</w:t>
      </w:r>
    </w:p>
    <w:p w14:paraId="2A42344D">
      <w:pPr>
        <w:pStyle w:val="5"/>
        <w:snapToGrid w:val="0"/>
        <w:spacing w:before="0" w:after="0" w:line="360" w:lineRule="auto"/>
        <w:rPr>
          <w:rFonts w:hint="eastAsia" w:ascii="宋体" w:hAnsi="宋体" w:cs="仿宋"/>
          <w:b w:val="0"/>
          <w:snapToGrid w:val="0"/>
          <w:sz w:val="24"/>
          <w:szCs w:val="24"/>
        </w:rPr>
      </w:pPr>
      <w:bookmarkStart w:id="138" w:name="_Toc7916"/>
      <w:bookmarkStart w:id="139" w:name="_Toc287620694"/>
      <w:bookmarkStart w:id="140" w:name="_Toc200513135"/>
      <w:bookmarkStart w:id="141" w:name="_Toc277082561"/>
      <w:bookmarkStart w:id="142" w:name="_Toc430530444"/>
      <w:bookmarkStart w:id="143" w:name="_Toc509218719"/>
      <w:bookmarkStart w:id="144" w:name="_Toc13374"/>
      <w:bookmarkStart w:id="145" w:name="_Toc287607755"/>
      <w:bookmarkStart w:id="146" w:name="_Toc24420"/>
      <w:bookmarkStart w:id="147" w:name="_Toc4251"/>
      <w:bookmarkStart w:id="148" w:name="_Toc224103326"/>
      <w:r>
        <w:rPr>
          <w:rFonts w:hint="eastAsia" w:ascii="宋体" w:hAnsi="宋体" w:cs="仿宋"/>
          <w:b w:val="0"/>
          <w:snapToGrid w:val="0"/>
          <w:sz w:val="24"/>
          <w:szCs w:val="24"/>
        </w:rPr>
        <w:t>1.8  计量单位</w:t>
      </w:r>
      <w:bookmarkEnd w:id="138"/>
      <w:bookmarkEnd w:id="139"/>
      <w:bookmarkEnd w:id="140"/>
      <w:bookmarkEnd w:id="141"/>
      <w:bookmarkEnd w:id="142"/>
      <w:bookmarkEnd w:id="143"/>
      <w:bookmarkEnd w:id="144"/>
      <w:bookmarkEnd w:id="145"/>
      <w:bookmarkEnd w:id="146"/>
      <w:bookmarkEnd w:id="147"/>
      <w:bookmarkEnd w:id="148"/>
    </w:p>
    <w:p w14:paraId="48DD250B">
      <w:pPr>
        <w:autoSpaceDE w:val="0"/>
        <w:autoSpaceDN w:val="0"/>
        <w:adjustRightInd w:val="0"/>
        <w:snapToGrid w:val="0"/>
        <w:spacing w:line="360" w:lineRule="auto"/>
        <w:ind w:firstLine="484" w:firstLineChars="202"/>
        <w:rPr>
          <w:rFonts w:hint="eastAsia" w:ascii="宋体" w:hAnsi="宋体" w:cs="仿宋"/>
          <w:snapToGrid w:val="0"/>
          <w:kern w:val="0"/>
          <w:sz w:val="24"/>
        </w:rPr>
      </w:pPr>
      <w:r>
        <w:rPr>
          <w:rFonts w:hint="eastAsia" w:ascii="宋体" w:hAnsi="宋体" w:cs="仿宋"/>
          <w:snapToGrid w:val="0"/>
          <w:kern w:val="0"/>
          <w:sz w:val="24"/>
        </w:rPr>
        <w:t>所有计量均采用中华人民共和国法定计量单位。</w:t>
      </w:r>
    </w:p>
    <w:p w14:paraId="66E3043D">
      <w:pPr>
        <w:pStyle w:val="5"/>
        <w:snapToGrid w:val="0"/>
        <w:spacing w:before="0" w:after="0" w:line="360" w:lineRule="auto"/>
        <w:rPr>
          <w:rFonts w:hint="eastAsia" w:ascii="宋体" w:hAnsi="宋体" w:cs="仿宋"/>
          <w:b w:val="0"/>
          <w:snapToGrid w:val="0"/>
          <w:sz w:val="24"/>
          <w:szCs w:val="24"/>
        </w:rPr>
      </w:pPr>
      <w:bookmarkStart w:id="149" w:name="_Toc27730"/>
      <w:bookmarkStart w:id="150" w:name="_Toc200513136"/>
      <w:bookmarkStart w:id="151" w:name="_Toc24741"/>
      <w:bookmarkStart w:id="152" w:name="_Toc224103327"/>
      <w:bookmarkStart w:id="153" w:name="_Toc19275"/>
      <w:bookmarkStart w:id="154" w:name="_Toc277082562"/>
      <w:bookmarkStart w:id="155" w:name="_Toc287607756"/>
      <w:bookmarkStart w:id="156" w:name="_Toc287620695"/>
      <w:bookmarkStart w:id="157" w:name="_Toc28003"/>
      <w:bookmarkStart w:id="158" w:name="_Toc430530445"/>
      <w:bookmarkStart w:id="159" w:name="_Toc509218720"/>
      <w:r>
        <w:rPr>
          <w:rFonts w:hint="eastAsia" w:ascii="宋体" w:hAnsi="宋体" w:cs="仿宋"/>
          <w:b w:val="0"/>
          <w:snapToGrid w:val="0"/>
          <w:sz w:val="24"/>
          <w:szCs w:val="24"/>
        </w:rPr>
        <w:t>1.9  踏勘现场</w:t>
      </w:r>
      <w:bookmarkEnd w:id="149"/>
      <w:bookmarkEnd w:id="150"/>
      <w:bookmarkEnd w:id="151"/>
      <w:bookmarkEnd w:id="152"/>
      <w:bookmarkEnd w:id="153"/>
      <w:bookmarkEnd w:id="154"/>
      <w:bookmarkEnd w:id="155"/>
      <w:bookmarkEnd w:id="156"/>
      <w:bookmarkEnd w:id="157"/>
      <w:bookmarkEnd w:id="158"/>
      <w:bookmarkEnd w:id="159"/>
    </w:p>
    <w:p w14:paraId="2E2691EC">
      <w:pPr>
        <w:autoSpaceDE w:val="0"/>
        <w:autoSpaceDN w:val="0"/>
        <w:adjustRightInd w:val="0"/>
        <w:snapToGrid w:val="0"/>
        <w:spacing w:line="360" w:lineRule="auto"/>
        <w:ind w:firstLine="420"/>
        <w:rPr>
          <w:rFonts w:hint="eastAsia" w:ascii="宋体" w:hAnsi="宋体" w:cs="仿宋"/>
          <w:snapToGrid w:val="0"/>
          <w:kern w:val="0"/>
          <w:sz w:val="24"/>
        </w:rPr>
      </w:pPr>
      <w:r>
        <w:rPr>
          <w:rFonts w:hint="eastAsia" w:ascii="宋体" w:hAnsi="宋体" w:cs="仿宋"/>
          <w:snapToGrid w:val="0"/>
          <w:kern w:val="0"/>
          <w:sz w:val="24"/>
        </w:rPr>
        <w:t>不组织，由竞选人自行踏勘，其费用和责任均由竞选人自行承担。</w:t>
      </w:r>
    </w:p>
    <w:p w14:paraId="18B8C495">
      <w:pPr>
        <w:pStyle w:val="5"/>
        <w:snapToGrid w:val="0"/>
        <w:spacing w:before="0" w:after="0" w:line="360" w:lineRule="auto"/>
        <w:rPr>
          <w:rFonts w:hint="eastAsia" w:ascii="宋体" w:hAnsi="宋体" w:cs="仿宋"/>
          <w:b w:val="0"/>
          <w:snapToGrid w:val="0"/>
          <w:sz w:val="24"/>
          <w:szCs w:val="24"/>
        </w:rPr>
      </w:pPr>
      <w:bookmarkStart w:id="160" w:name="_Toc277082563"/>
      <w:bookmarkStart w:id="161" w:name="_Toc287620696"/>
      <w:bookmarkStart w:id="162" w:name="_Toc14198"/>
      <w:bookmarkStart w:id="163" w:name="_Toc32057"/>
      <w:bookmarkStart w:id="164" w:name="_Toc200513137"/>
      <w:bookmarkStart w:id="165" w:name="_Toc430530446"/>
      <w:bookmarkStart w:id="166" w:name="_Toc9465"/>
      <w:bookmarkStart w:id="167" w:name="_Toc224103328"/>
      <w:bookmarkStart w:id="168" w:name="_Toc21543"/>
      <w:bookmarkStart w:id="169" w:name="_Toc287607757"/>
      <w:bookmarkStart w:id="170" w:name="_Toc509218721"/>
      <w:r>
        <w:rPr>
          <w:rFonts w:hint="eastAsia" w:ascii="宋体" w:hAnsi="宋体" w:cs="仿宋"/>
          <w:b w:val="0"/>
          <w:snapToGrid w:val="0"/>
          <w:sz w:val="24"/>
          <w:szCs w:val="24"/>
        </w:rPr>
        <w:t xml:space="preserve">1.10  </w:t>
      </w:r>
      <w:r>
        <w:rPr>
          <w:rFonts w:hint="eastAsia" w:ascii="宋体" w:hAnsi="宋体" w:cs="仿宋"/>
          <w:b w:val="0"/>
          <w:snapToGrid w:val="0"/>
          <w:sz w:val="24"/>
          <w:szCs w:val="24"/>
          <w:lang w:eastAsia="zh-CN"/>
        </w:rPr>
        <w:t>竞选</w:t>
      </w:r>
      <w:r>
        <w:rPr>
          <w:rFonts w:hint="eastAsia" w:ascii="宋体" w:hAnsi="宋体" w:cs="仿宋"/>
          <w:b w:val="0"/>
          <w:snapToGrid w:val="0"/>
          <w:sz w:val="24"/>
          <w:szCs w:val="24"/>
        </w:rPr>
        <w:t>预备会</w:t>
      </w:r>
      <w:bookmarkEnd w:id="160"/>
      <w:bookmarkEnd w:id="161"/>
      <w:bookmarkEnd w:id="162"/>
      <w:bookmarkEnd w:id="163"/>
      <w:bookmarkEnd w:id="164"/>
      <w:bookmarkEnd w:id="165"/>
      <w:bookmarkEnd w:id="166"/>
      <w:bookmarkEnd w:id="167"/>
      <w:bookmarkEnd w:id="168"/>
      <w:bookmarkEnd w:id="169"/>
      <w:bookmarkEnd w:id="170"/>
    </w:p>
    <w:p w14:paraId="035A444D">
      <w:pPr>
        <w:autoSpaceDE w:val="0"/>
        <w:autoSpaceDN w:val="0"/>
        <w:adjustRightInd w:val="0"/>
        <w:snapToGrid w:val="0"/>
        <w:spacing w:line="360" w:lineRule="auto"/>
        <w:ind w:firstLine="484" w:firstLineChars="202"/>
        <w:rPr>
          <w:rFonts w:hint="eastAsia" w:ascii="宋体" w:hAnsi="宋体" w:cs="仿宋"/>
          <w:snapToGrid w:val="0"/>
          <w:kern w:val="0"/>
          <w:sz w:val="24"/>
        </w:rPr>
      </w:pPr>
      <w:r>
        <w:rPr>
          <w:rFonts w:hint="eastAsia" w:ascii="宋体" w:hAnsi="宋体" w:cs="仿宋"/>
          <w:snapToGrid w:val="0"/>
          <w:kern w:val="0"/>
          <w:sz w:val="24"/>
        </w:rPr>
        <w:t>不召开</w:t>
      </w:r>
      <w:r>
        <w:rPr>
          <w:rFonts w:hint="eastAsia" w:ascii="宋体" w:hAnsi="宋体" w:cs="仿宋"/>
          <w:snapToGrid w:val="0"/>
          <w:kern w:val="0"/>
          <w:position w:val="-2"/>
          <w:sz w:val="24"/>
        </w:rPr>
        <w:t>。</w:t>
      </w:r>
    </w:p>
    <w:p w14:paraId="38FAEBFB">
      <w:pPr>
        <w:pStyle w:val="5"/>
        <w:snapToGrid w:val="0"/>
        <w:spacing w:before="0" w:after="0" w:line="360" w:lineRule="auto"/>
        <w:ind w:firstLine="480" w:firstLineChars="200"/>
        <w:rPr>
          <w:rFonts w:hint="eastAsia" w:ascii="宋体" w:hAnsi="宋体" w:cs="仿宋"/>
          <w:b w:val="0"/>
          <w:snapToGrid w:val="0"/>
          <w:sz w:val="24"/>
          <w:szCs w:val="24"/>
        </w:rPr>
      </w:pPr>
      <w:bookmarkStart w:id="171" w:name="_Toc224103329"/>
      <w:bookmarkStart w:id="172" w:name="_Toc287607758"/>
      <w:bookmarkStart w:id="173" w:name="_Toc430530447"/>
      <w:bookmarkStart w:id="174" w:name="_Toc287620697"/>
      <w:bookmarkStart w:id="175" w:name="_Toc3376"/>
      <w:bookmarkStart w:id="176" w:name="_Toc3036"/>
      <w:bookmarkStart w:id="177" w:name="_Toc277082564"/>
      <w:bookmarkStart w:id="178" w:name="_Toc16173"/>
      <w:bookmarkStart w:id="179" w:name="_Toc200513138"/>
      <w:bookmarkStart w:id="180" w:name="_Toc30448"/>
      <w:bookmarkStart w:id="181" w:name="_Toc509218722"/>
      <w:r>
        <w:rPr>
          <w:rFonts w:hint="eastAsia" w:ascii="宋体" w:hAnsi="宋体" w:cs="仿宋"/>
          <w:b w:val="0"/>
          <w:snapToGrid w:val="0"/>
          <w:sz w:val="24"/>
          <w:szCs w:val="24"/>
        </w:rPr>
        <w:t>1.11  分包</w:t>
      </w:r>
      <w:bookmarkEnd w:id="171"/>
      <w:bookmarkEnd w:id="172"/>
      <w:bookmarkEnd w:id="173"/>
      <w:bookmarkEnd w:id="174"/>
      <w:bookmarkEnd w:id="175"/>
      <w:bookmarkEnd w:id="176"/>
      <w:bookmarkEnd w:id="177"/>
      <w:bookmarkEnd w:id="178"/>
      <w:bookmarkEnd w:id="179"/>
      <w:bookmarkEnd w:id="180"/>
      <w:bookmarkEnd w:id="181"/>
    </w:p>
    <w:p w14:paraId="0D3BC3E5">
      <w:pPr>
        <w:autoSpaceDE w:val="0"/>
        <w:autoSpaceDN w:val="0"/>
        <w:adjustRightInd w:val="0"/>
        <w:snapToGrid w:val="0"/>
        <w:spacing w:line="360" w:lineRule="auto"/>
        <w:ind w:firstLine="426"/>
        <w:rPr>
          <w:rFonts w:hint="eastAsia" w:ascii="宋体" w:hAnsi="宋体" w:cs="仿宋"/>
          <w:snapToGrid w:val="0"/>
          <w:kern w:val="0"/>
          <w:sz w:val="24"/>
        </w:rPr>
      </w:pPr>
      <w:r>
        <w:rPr>
          <w:rFonts w:hint="eastAsia" w:ascii="宋体" w:hAnsi="宋体" w:cs="仿宋"/>
          <w:snapToGrid w:val="0"/>
          <w:kern w:val="0"/>
          <w:sz w:val="24"/>
        </w:rPr>
        <w:t>不允许。</w:t>
      </w:r>
    </w:p>
    <w:p w14:paraId="48D6D526">
      <w:pPr>
        <w:pStyle w:val="5"/>
        <w:snapToGrid w:val="0"/>
        <w:spacing w:before="0" w:after="0" w:line="360" w:lineRule="auto"/>
        <w:ind w:firstLine="480" w:firstLineChars="200"/>
        <w:rPr>
          <w:rFonts w:hint="eastAsia" w:ascii="宋体" w:hAnsi="宋体" w:cs="仿宋"/>
          <w:b w:val="0"/>
          <w:snapToGrid w:val="0"/>
          <w:sz w:val="24"/>
          <w:szCs w:val="24"/>
        </w:rPr>
      </w:pPr>
      <w:bookmarkStart w:id="182" w:name="_Toc12736"/>
      <w:bookmarkStart w:id="183" w:name="_Toc7209"/>
      <w:bookmarkStart w:id="184" w:name="_Toc224103330"/>
      <w:bookmarkStart w:id="185" w:name="_Toc430530448"/>
      <w:bookmarkStart w:id="186" w:name="_Toc32723"/>
      <w:bookmarkStart w:id="187" w:name="_Toc509218723"/>
      <w:bookmarkStart w:id="188" w:name="_Toc287620698"/>
      <w:bookmarkStart w:id="189" w:name="_Toc200513139"/>
      <w:bookmarkStart w:id="190" w:name="_Toc5536"/>
      <w:bookmarkStart w:id="191" w:name="_Toc287607759"/>
      <w:bookmarkStart w:id="192" w:name="_Toc277082565"/>
      <w:r>
        <w:rPr>
          <w:rFonts w:hint="eastAsia" w:ascii="宋体" w:hAnsi="宋体" w:cs="仿宋"/>
          <w:b w:val="0"/>
          <w:snapToGrid w:val="0"/>
          <w:sz w:val="24"/>
          <w:szCs w:val="24"/>
        </w:rPr>
        <w:t>1.12  偏离</w:t>
      </w:r>
      <w:bookmarkEnd w:id="182"/>
      <w:bookmarkEnd w:id="183"/>
      <w:bookmarkEnd w:id="184"/>
      <w:bookmarkEnd w:id="185"/>
      <w:bookmarkEnd w:id="186"/>
      <w:bookmarkEnd w:id="187"/>
      <w:bookmarkEnd w:id="188"/>
      <w:bookmarkEnd w:id="189"/>
      <w:bookmarkEnd w:id="190"/>
      <w:bookmarkEnd w:id="191"/>
      <w:bookmarkEnd w:id="192"/>
    </w:p>
    <w:p w14:paraId="74BBEC0B">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竞选人须知前附表允许竞选文件偏离竞争性比选文件某些要求的，偏离应当符合竞争性比选文件规定的偏离范围和幅度。</w:t>
      </w:r>
    </w:p>
    <w:p w14:paraId="685B48A5">
      <w:pPr>
        <w:pStyle w:val="4"/>
        <w:spacing w:before="0" w:after="156" w:afterLines="50" w:line="360" w:lineRule="auto"/>
        <w:rPr>
          <w:rFonts w:hint="eastAsia" w:ascii="宋体" w:hAnsi="宋体" w:cs="仿宋"/>
          <w:b w:val="0"/>
          <w:snapToGrid w:val="0"/>
          <w:sz w:val="24"/>
          <w:szCs w:val="24"/>
        </w:rPr>
      </w:pPr>
      <w:bookmarkStart w:id="193" w:name="_Toc287607760"/>
      <w:bookmarkStart w:id="194" w:name="_Toc200513140"/>
      <w:bookmarkStart w:id="195" w:name="_Toc287620699"/>
      <w:bookmarkStart w:id="196" w:name="_Toc509218724"/>
      <w:bookmarkStart w:id="197" w:name="_Toc430530449"/>
      <w:bookmarkStart w:id="198" w:name="_Toc7935"/>
      <w:bookmarkStart w:id="199" w:name="_Toc277082566"/>
      <w:bookmarkStart w:id="200" w:name="_Toc11902"/>
      <w:bookmarkStart w:id="201" w:name="_Toc224103331"/>
      <w:bookmarkStart w:id="202" w:name="_Toc175920926"/>
      <w:bookmarkStart w:id="203" w:name="_Toc23940"/>
      <w:bookmarkStart w:id="204" w:name="_Toc175920961"/>
      <w:bookmarkStart w:id="205" w:name="_Toc181626266"/>
      <w:bookmarkStart w:id="206" w:name="_Toc181626924"/>
      <w:bookmarkStart w:id="207" w:name="_Toc179644334"/>
      <w:bookmarkStart w:id="208" w:name="_Toc174636036"/>
      <w:bookmarkStart w:id="209" w:name="_Toc174459491"/>
      <w:r>
        <w:rPr>
          <w:rFonts w:hint="eastAsia" w:ascii="宋体" w:hAnsi="宋体" w:cs="仿宋"/>
          <w:b w:val="0"/>
          <w:snapToGrid w:val="0"/>
          <w:sz w:val="24"/>
          <w:szCs w:val="24"/>
        </w:rPr>
        <w:t xml:space="preserve">2.  </w:t>
      </w:r>
      <w:bookmarkEnd w:id="193"/>
      <w:bookmarkEnd w:id="194"/>
      <w:bookmarkEnd w:id="195"/>
      <w:bookmarkEnd w:id="196"/>
      <w:bookmarkEnd w:id="197"/>
      <w:bookmarkEnd w:id="198"/>
      <w:bookmarkEnd w:id="199"/>
      <w:bookmarkEnd w:id="200"/>
      <w:bookmarkEnd w:id="201"/>
      <w:r>
        <w:rPr>
          <w:rFonts w:hint="eastAsia" w:ascii="宋体" w:hAnsi="宋体" w:cs="仿宋"/>
          <w:b w:val="0"/>
          <w:snapToGrid w:val="0"/>
          <w:sz w:val="24"/>
          <w:szCs w:val="24"/>
        </w:rPr>
        <w:t>竞争性比选文件</w:t>
      </w:r>
      <w:bookmarkEnd w:id="202"/>
      <w:bookmarkEnd w:id="203"/>
      <w:bookmarkEnd w:id="204"/>
      <w:bookmarkEnd w:id="205"/>
      <w:bookmarkEnd w:id="206"/>
      <w:bookmarkEnd w:id="207"/>
      <w:bookmarkEnd w:id="208"/>
      <w:bookmarkEnd w:id="209"/>
    </w:p>
    <w:p w14:paraId="10FEDC74">
      <w:pPr>
        <w:pStyle w:val="5"/>
        <w:snapToGrid w:val="0"/>
        <w:spacing w:before="0" w:after="0" w:line="360" w:lineRule="auto"/>
        <w:rPr>
          <w:rFonts w:hint="eastAsia" w:ascii="宋体" w:hAnsi="宋体" w:cs="仿宋"/>
          <w:b w:val="0"/>
          <w:snapToGrid w:val="0"/>
          <w:sz w:val="24"/>
          <w:szCs w:val="24"/>
        </w:rPr>
      </w:pPr>
      <w:bookmarkStart w:id="210" w:name="_Toc15699"/>
      <w:bookmarkStart w:id="211" w:name="_Toc31696"/>
      <w:bookmarkStart w:id="212" w:name="_Toc11596"/>
      <w:bookmarkStart w:id="213" w:name="_Toc277082567"/>
      <w:bookmarkStart w:id="214" w:name="_Toc200513141"/>
      <w:bookmarkStart w:id="215" w:name="_Toc287620700"/>
      <w:bookmarkStart w:id="216" w:name="_Toc287607761"/>
      <w:bookmarkStart w:id="217" w:name="_Toc430530450"/>
      <w:bookmarkStart w:id="218" w:name="_Toc3000"/>
      <w:bookmarkStart w:id="219" w:name="_Toc224103332"/>
      <w:bookmarkStart w:id="220" w:name="_Toc509218725"/>
      <w:r>
        <w:rPr>
          <w:rFonts w:hint="eastAsia" w:ascii="宋体" w:hAnsi="宋体" w:cs="仿宋"/>
          <w:b w:val="0"/>
          <w:snapToGrid w:val="0"/>
          <w:sz w:val="24"/>
          <w:szCs w:val="24"/>
        </w:rPr>
        <w:t>2.1  竞争性比选文件的组成</w:t>
      </w:r>
      <w:bookmarkEnd w:id="210"/>
      <w:bookmarkEnd w:id="211"/>
      <w:bookmarkEnd w:id="212"/>
      <w:bookmarkEnd w:id="213"/>
      <w:bookmarkEnd w:id="214"/>
      <w:bookmarkEnd w:id="215"/>
      <w:bookmarkEnd w:id="216"/>
      <w:bookmarkEnd w:id="217"/>
      <w:bookmarkEnd w:id="218"/>
      <w:bookmarkEnd w:id="219"/>
      <w:bookmarkEnd w:id="220"/>
    </w:p>
    <w:p w14:paraId="1C5C00F2">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本竞争性比选文件包括：</w:t>
      </w:r>
    </w:p>
    <w:p w14:paraId="109CFD3D">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（1）比选公告；</w:t>
      </w:r>
    </w:p>
    <w:p w14:paraId="71ABBEE9">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（2）竞选人须知；</w:t>
      </w:r>
    </w:p>
    <w:p w14:paraId="64C7E1DC">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（3）评标办法；</w:t>
      </w:r>
    </w:p>
    <w:p w14:paraId="6330A071">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（4）合同条款及格式；</w:t>
      </w:r>
    </w:p>
    <w:p w14:paraId="5B8801FD">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（5）竞选文件格式；</w:t>
      </w:r>
    </w:p>
    <w:p w14:paraId="0BC1392E">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（6）竞选人须知前附表规定的其他材料。</w:t>
      </w:r>
    </w:p>
    <w:p w14:paraId="0EBB4D44">
      <w:pPr>
        <w:autoSpaceDE w:val="0"/>
        <w:autoSpaceDN w:val="0"/>
        <w:adjustRightInd w:val="0"/>
        <w:snapToGrid w:val="0"/>
        <w:spacing w:line="360" w:lineRule="auto"/>
        <w:ind w:firstLine="420"/>
        <w:rPr>
          <w:rFonts w:hint="eastAsia" w:ascii="宋体" w:hAnsi="宋体" w:cs="仿宋"/>
          <w:snapToGrid w:val="0"/>
          <w:kern w:val="0"/>
          <w:sz w:val="24"/>
        </w:rPr>
      </w:pPr>
      <w:r>
        <w:rPr>
          <w:rFonts w:hint="eastAsia" w:ascii="宋体" w:hAnsi="宋体" w:cs="仿宋"/>
          <w:snapToGrid w:val="0"/>
          <w:kern w:val="0"/>
          <w:sz w:val="24"/>
        </w:rPr>
        <w:t>根据本章第1.10款、第2.2款和第2.3款对竞争性比选文件所作的澄清、修改，构成竞争性比选文件的组成部分。</w:t>
      </w:r>
    </w:p>
    <w:p w14:paraId="428FDBFB">
      <w:pPr>
        <w:pStyle w:val="5"/>
        <w:snapToGrid w:val="0"/>
        <w:spacing w:before="0" w:after="0" w:line="360" w:lineRule="auto"/>
        <w:rPr>
          <w:rFonts w:hint="eastAsia" w:ascii="宋体" w:hAnsi="宋体" w:cs="仿宋"/>
          <w:b w:val="0"/>
          <w:snapToGrid w:val="0"/>
          <w:sz w:val="24"/>
          <w:szCs w:val="24"/>
        </w:rPr>
      </w:pPr>
      <w:bookmarkStart w:id="221" w:name="_Toc19839"/>
      <w:bookmarkStart w:id="222" w:name="_Toc509218726"/>
      <w:bookmarkStart w:id="223" w:name="_Toc20843"/>
      <w:bookmarkStart w:id="224" w:name="_Toc23750"/>
      <w:bookmarkStart w:id="225" w:name="_Toc9782"/>
      <w:bookmarkStart w:id="226" w:name="_Toc430530451"/>
      <w:r>
        <w:rPr>
          <w:rFonts w:hint="eastAsia" w:ascii="宋体" w:hAnsi="宋体" w:cs="仿宋"/>
          <w:b w:val="0"/>
          <w:snapToGrid w:val="0"/>
          <w:sz w:val="24"/>
          <w:szCs w:val="24"/>
        </w:rPr>
        <w:t>2.2  竞争性比选文件的澄清</w:t>
      </w:r>
      <w:bookmarkEnd w:id="221"/>
      <w:bookmarkEnd w:id="222"/>
      <w:bookmarkEnd w:id="223"/>
      <w:bookmarkEnd w:id="224"/>
      <w:bookmarkEnd w:id="225"/>
      <w:bookmarkEnd w:id="226"/>
    </w:p>
    <w:p w14:paraId="23F70174">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详见竞选人须知前附表的要求。</w:t>
      </w:r>
    </w:p>
    <w:p w14:paraId="55FF8DBD">
      <w:pPr>
        <w:pStyle w:val="5"/>
        <w:snapToGrid w:val="0"/>
        <w:spacing w:before="0" w:after="0" w:line="360" w:lineRule="auto"/>
        <w:rPr>
          <w:rFonts w:hint="eastAsia" w:ascii="宋体" w:hAnsi="宋体" w:cs="仿宋"/>
          <w:b w:val="0"/>
          <w:snapToGrid w:val="0"/>
          <w:sz w:val="24"/>
          <w:szCs w:val="24"/>
        </w:rPr>
      </w:pPr>
      <w:bookmarkStart w:id="227" w:name="_Toc287607763"/>
      <w:bookmarkStart w:id="228" w:name="_Toc32172"/>
      <w:bookmarkStart w:id="229" w:name="_Toc224103334"/>
      <w:bookmarkStart w:id="230" w:name="_Toc14796"/>
      <w:bookmarkStart w:id="231" w:name="_Toc200513143"/>
      <w:bookmarkStart w:id="232" w:name="_Toc277082569"/>
      <w:bookmarkStart w:id="233" w:name="_Toc509218727"/>
      <w:bookmarkStart w:id="234" w:name="_Toc430530452"/>
      <w:bookmarkStart w:id="235" w:name="_Toc16464"/>
      <w:bookmarkStart w:id="236" w:name="_Toc27922"/>
      <w:bookmarkStart w:id="237" w:name="_Toc287620702"/>
      <w:r>
        <w:rPr>
          <w:rFonts w:hint="eastAsia" w:ascii="宋体" w:hAnsi="宋体" w:cs="仿宋"/>
          <w:b w:val="0"/>
          <w:snapToGrid w:val="0"/>
          <w:sz w:val="24"/>
          <w:szCs w:val="24"/>
        </w:rPr>
        <w:t>2.3  竞争性比选文件的修改</w:t>
      </w:r>
      <w:bookmarkEnd w:id="227"/>
      <w:bookmarkEnd w:id="228"/>
      <w:bookmarkEnd w:id="229"/>
      <w:bookmarkEnd w:id="230"/>
      <w:bookmarkEnd w:id="231"/>
      <w:bookmarkEnd w:id="232"/>
      <w:bookmarkEnd w:id="233"/>
      <w:bookmarkEnd w:id="234"/>
      <w:bookmarkEnd w:id="235"/>
      <w:bookmarkEnd w:id="236"/>
      <w:bookmarkEnd w:id="237"/>
    </w:p>
    <w:p w14:paraId="47ED7A41">
      <w:pPr>
        <w:autoSpaceDE w:val="0"/>
        <w:autoSpaceDN w:val="0"/>
        <w:adjustRightInd w:val="0"/>
        <w:snapToGrid w:val="0"/>
        <w:spacing w:line="360" w:lineRule="auto"/>
        <w:ind w:firstLine="420"/>
        <w:rPr>
          <w:rFonts w:hint="eastAsia" w:ascii="宋体" w:hAnsi="宋体" w:cs="仿宋"/>
          <w:snapToGrid w:val="0"/>
          <w:sz w:val="24"/>
        </w:rPr>
      </w:pPr>
      <w:bookmarkStart w:id="238" w:name="_Toc200513144"/>
      <w:bookmarkStart w:id="239" w:name="_Toc287620703"/>
      <w:bookmarkStart w:id="240" w:name="_Toc287607764"/>
      <w:bookmarkStart w:id="241" w:name="_Toc277082570"/>
      <w:bookmarkStart w:id="242" w:name="_Toc224103335"/>
      <w:r>
        <w:rPr>
          <w:rFonts w:hint="eastAsia" w:ascii="宋体" w:hAnsi="宋体" w:cs="仿宋"/>
          <w:snapToGrid w:val="0"/>
          <w:sz w:val="24"/>
        </w:rPr>
        <w:t>按照本章第2.2款竞争性比选文件的澄清相关内容及方式执行。</w:t>
      </w:r>
    </w:p>
    <w:p w14:paraId="7C77ED58">
      <w:pPr>
        <w:pStyle w:val="4"/>
        <w:spacing w:before="0" w:after="156" w:afterLines="50" w:line="360" w:lineRule="auto"/>
        <w:rPr>
          <w:rFonts w:hint="eastAsia" w:ascii="宋体" w:hAnsi="宋体" w:cs="仿宋"/>
          <w:b w:val="0"/>
          <w:snapToGrid w:val="0"/>
          <w:sz w:val="24"/>
          <w:szCs w:val="24"/>
        </w:rPr>
      </w:pPr>
      <w:bookmarkStart w:id="243" w:name="_Toc509218728"/>
      <w:bookmarkStart w:id="244" w:name="_Toc14543"/>
      <w:bookmarkStart w:id="245" w:name="_Toc7868"/>
      <w:bookmarkStart w:id="246" w:name="_Toc24060"/>
      <w:bookmarkStart w:id="247" w:name="_Toc430530453"/>
      <w:bookmarkStart w:id="248" w:name="_Toc181626267"/>
      <w:bookmarkStart w:id="249" w:name="_Toc179644335"/>
      <w:bookmarkStart w:id="250" w:name="_Toc175920962"/>
      <w:bookmarkStart w:id="251" w:name="_Toc181626925"/>
      <w:bookmarkStart w:id="252" w:name="_Toc175920927"/>
      <w:bookmarkStart w:id="253" w:name="_Toc174636037"/>
      <w:bookmarkStart w:id="254" w:name="_Toc174459492"/>
      <w:r>
        <w:rPr>
          <w:rFonts w:hint="eastAsia" w:ascii="宋体" w:hAnsi="宋体" w:cs="仿宋"/>
          <w:b w:val="0"/>
          <w:snapToGrid w:val="0"/>
          <w:sz w:val="24"/>
          <w:szCs w:val="24"/>
        </w:rPr>
        <w:t xml:space="preserve">3.  </w:t>
      </w:r>
      <w:bookmarkEnd w:id="238"/>
      <w:bookmarkEnd w:id="239"/>
      <w:bookmarkEnd w:id="240"/>
      <w:bookmarkEnd w:id="241"/>
      <w:bookmarkEnd w:id="242"/>
      <w:bookmarkEnd w:id="243"/>
      <w:bookmarkEnd w:id="244"/>
      <w:bookmarkEnd w:id="245"/>
      <w:bookmarkEnd w:id="246"/>
      <w:bookmarkEnd w:id="247"/>
      <w:r>
        <w:rPr>
          <w:rFonts w:hint="eastAsia" w:ascii="宋体" w:hAnsi="宋体" w:cs="仿宋"/>
          <w:b w:val="0"/>
          <w:snapToGrid w:val="0"/>
          <w:sz w:val="24"/>
          <w:szCs w:val="24"/>
        </w:rPr>
        <w:t>竞选文件</w:t>
      </w:r>
      <w:bookmarkEnd w:id="248"/>
      <w:bookmarkEnd w:id="249"/>
      <w:bookmarkEnd w:id="250"/>
      <w:bookmarkEnd w:id="251"/>
      <w:bookmarkEnd w:id="252"/>
      <w:bookmarkEnd w:id="253"/>
      <w:bookmarkEnd w:id="254"/>
    </w:p>
    <w:p w14:paraId="1FD95217">
      <w:pPr>
        <w:pStyle w:val="5"/>
        <w:snapToGrid w:val="0"/>
        <w:spacing w:before="0" w:after="0" w:line="360" w:lineRule="auto"/>
        <w:rPr>
          <w:rFonts w:hint="eastAsia" w:ascii="宋体" w:hAnsi="宋体" w:cs="仿宋"/>
          <w:b w:val="0"/>
          <w:snapToGrid w:val="0"/>
          <w:sz w:val="24"/>
          <w:szCs w:val="24"/>
        </w:rPr>
      </w:pPr>
      <w:bookmarkStart w:id="255" w:name="_Toc430530454"/>
      <w:bookmarkStart w:id="256" w:name="_Toc277082571"/>
      <w:bookmarkStart w:id="257" w:name="_Toc287607765"/>
      <w:bookmarkStart w:id="258" w:name="_Toc200513145"/>
      <w:bookmarkStart w:id="259" w:name="_Toc8482"/>
      <w:bookmarkStart w:id="260" w:name="_Toc12682"/>
      <w:bookmarkStart w:id="261" w:name="_Toc8671"/>
      <w:bookmarkStart w:id="262" w:name="_Toc287620704"/>
      <w:bookmarkStart w:id="263" w:name="_Toc16644"/>
      <w:bookmarkStart w:id="264" w:name="_Toc509218729"/>
      <w:bookmarkStart w:id="265" w:name="_Toc224103336"/>
      <w:r>
        <w:rPr>
          <w:rFonts w:hint="eastAsia" w:ascii="宋体" w:hAnsi="宋体" w:cs="仿宋"/>
          <w:b w:val="0"/>
          <w:snapToGrid w:val="0"/>
          <w:sz w:val="24"/>
          <w:szCs w:val="24"/>
        </w:rPr>
        <w:t>3.1  竞选文件的组成</w:t>
      </w:r>
      <w:bookmarkEnd w:id="255"/>
      <w:bookmarkEnd w:id="256"/>
      <w:bookmarkEnd w:id="257"/>
      <w:bookmarkEnd w:id="258"/>
      <w:bookmarkEnd w:id="259"/>
      <w:bookmarkEnd w:id="260"/>
      <w:bookmarkEnd w:id="261"/>
      <w:bookmarkEnd w:id="262"/>
      <w:bookmarkEnd w:id="263"/>
      <w:bookmarkEnd w:id="264"/>
      <w:bookmarkEnd w:id="265"/>
    </w:p>
    <w:p w14:paraId="6F2EFF6A">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3.1.1 竞选文件应包括下列内容：</w:t>
      </w:r>
    </w:p>
    <w:p w14:paraId="79097526">
      <w:pPr>
        <w:spacing w:line="360" w:lineRule="auto"/>
        <w:ind w:firstLine="480" w:firstLineChars="200"/>
        <w:rPr>
          <w:rFonts w:hint="eastAsia" w:ascii="宋体" w:hAnsi="宋体" w:cs="仿宋"/>
          <w:sz w:val="24"/>
        </w:rPr>
      </w:pPr>
      <w:r>
        <w:rPr>
          <w:rFonts w:hint="eastAsia" w:ascii="宋体" w:hAnsi="宋体" w:cs="仿宋"/>
          <w:sz w:val="24"/>
        </w:rPr>
        <w:t>（1）竞选函及竞选函附录；</w:t>
      </w:r>
    </w:p>
    <w:p w14:paraId="7AE02584">
      <w:pPr>
        <w:spacing w:line="360" w:lineRule="auto"/>
        <w:ind w:firstLine="480" w:firstLineChars="200"/>
        <w:rPr>
          <w:rFonts w:hint="eastAsia" w:ascii="宋体" w:hAnsi="宋体" w:cs="仿宋"/>
          <w:sz w:val="24"/>
        </w:rPr>
      </w:pPr>
      <w:r>
        <w:rPr>
          <w:rFonts w:hint="eastAsia" w:ascii="宋体" w:hAnsi="宋体" w:cs="仿宋"/>
          <w:sz w:val="24"/>
        </w:rPr>
        <w:t>（2）法定代表人身份证明或附有法定代表人身份证明的授权委托书；</w:t>
      </w:r>
    </w:p>
    <w:p w14:paraId="040C3CC2">
      <w:pPr>
        <w:spacing w:line="360" w:lineRule="auto"/>
        <w:ind w:firstLine="480" w:firstLineChars="200"/>
        <w:rPr>
          <w:rFonts w:hint="eastAsia" w:ascii="宋体" w:hAnsi="宋体" w:cs="仿宋"/>
          <w:sz w:val="24"/>
        </w:rPr>
      </w:pPr>
      <w:r>
        <w:rPr>
          <w:rFonts w:hint="eastAsia" w:ascii="宋体" w:hAnsi="宋体" w:cs="仿宋"/>
          <w:sz w:val="24"/>
        </w:rPr>
        <w:t>（3）资格审查资料；</w:t>
      </w:r>
    </w:p>
    <w:p w14:paraId="64837F12">
      <w:pPr>
        <w:spacing w:line="360" w:lineRule="auto"/>
        <w:ind w:firstLine="480" w:firstLineChars="200"/>
        <w:rPr>
          <w:rFonts w:hint="eastAsia" w:ascii="宋体" w:hAnsi="宋体" w:cs="仿宋"/>
          <w:sz w:val="24"/>
        </w:rPr>
      </w:pPr>
      <w:r>
        <w:rPr>
          <w:rFonts w:hint="eastAsia" w:ascii="宋体" w:hAnsi="宋体" w:cs="仿宋"/>
          <w:sz w:val="24"/>
        </w:rPr>
        <w:t>（4）竞选人须知前附表规定的其他材料。</w:t>
      </w:r>
    </w:p>
    <w:p w14:paraId="23AEAFE8">
      <w:pPr>
        <w:pStyle w:val="5"/>
        <w:snapToGrid w:val="0"/>
        <w:spacing w:before="0" w:after="0" w:line="360" w:lineRule="auto"/>
        <w:rPr>
          <w:rFonts w:hint="eastAsia" w:ascii="宋体" w:hAnsi="宋体" w:cs="仿宋"/>
          <w:b w:val="0"/>
          <w:snapToGrid w:val="0"/>
          <w:sz w:val="24"/>
          <w:szCs w:val="24"/>
        </w:rPr>
      </w:pPr>
      <w:bookmarkStart w:id="266" w:name="_Toc200513146"/>
      <w:bookmarkStart w:id="267" w:name="_Toc287607766"/>
      <w:bookmarkStart w:id="268" w:name="_Toc430530455"/>
      <w:bookmarkStart w:id="269" w:name="_Toc224103337"/>
      <w:bookmarkStart w:id="270" w:name="_Toc15941"/>
      <w:bookmarkStart w:id="271" w:name="_Toc509218730"/>
      <w:bookmarkStart w:id="272" w:name="_Toc287620705"/>
      <w:bookmarkStart w:id="273" w:name="_Toc277082572"/>
      <w:bookmarkStart w:id="274" w:name="_Toc12918"/>
      <w:bookmarkStart w:id="275" w:name="_Toc4658"/>
      <w:bookmarkStart w:id="276" w:name="_Toc11028"/>
      <w:r>
        <w:rPr>
          <w:rFonts w:hint="eastAsia" w:ascii="宋体" w:hAnsi="宋体" w:cs="仿宋"/>
          <w:b w:val="0"/>
          <w:snapToGrid w:val="0"/>
          <w:sz w:val="24"/>
          <w:szCs w:val="24"/>
        </w:rPr>
        <w:t xml:space="preserve">3.2  </w:t>
      </w:r>
      <w:bookmarkEnd w:id="266"/>
      <w:bookmarkEnd w:id="267"/>
      <w:bookmarkEnd w:id="268"/>
      <w:bookmarkEnd w:id="269"/>
      <w:bookmarkEnd w:id="270"/>
      <w:bookmarkEnd w:id="271"/>
      <w:bookmarkEnd w:id="272"/>
      <w:bookmarkEnd w:id="273"/>
      <w:bookmarkEnd w:id="274"/>
      <w:bookmarkEnd w:id="275"/>
      <w:bookmarkEnd w:id="276"/>
      <w:r>
        <w:rPr>
          <w:rFonts w:hint="eastAsia" w:ascii="宋体" w:hAnsi="宋体" w:cs="仿宋"/>
          <w:b w:val="0"/>
          <w:snapToGrid w:val="0"/>
          <w:sz w:val="24"/>
          <w:szCs w:val="24"/>
        </w:rPr>
        <w:t>竞选报价</w:t>
      </w:r>
    </w:p>
    <w:p w14:paraId="7F9F0D00">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见竞选人须知前附表。</w:t>
      </w:r>
    </w:p>
    <w:p w14:paraId="13C2C246">
      <w:pPr>
        <w:pStyle w:val="5"/>
        <w:snapToGrid w:val="0"/>
        <w:spacing w:before="0" w:after="0" w:line="360" w:lineRule="auto"/>
        <w:rPr>
          <w:rFonts w:hint="eastAsia" w:ascii="宋体" w:hAnsi="宋体" w:cs="仿宋"/>
          <w:b w:val="0"/>
          <w:snapToGrid w:val="0"/>
          <w:sz w:val="24"/>
          <w:szCs w:val="24"/>
        </w:rPr>
      </w:pPr>
      <w:bookmarkStart w:id="277" w:name="_Toc4304"/>
      <w:bookmarkStart w:id="278" w:name="_Toc509218731"/>
      <w:bookmarkStart w:id="279" w:name="_Toc430530456"/>
      <w:bookmarkStart w:id="280" w:name="_Toc13452"/>
      <w:bookmarkStart w:id="281" w:name="_Toc277082573"/>
      <w:bookmarkStart w:id="282" w:name="_Toc200513147"/>
      <w:bookmarkStart w:id="283" w:name="_Toc224103338"/>
      <w:bookmarkStart w:id="284" w:name="_Toc23342"/>
      <w:bookmarkStart w:id="285" w:name="_Toc287607767"/>
      <w:bookmarkStart w:id="286" w:name="_Toc19248"/>
      <w:bookmarkStart w:id="287" w:name="_Toc287620706"/>
      <w:r>
        <w:rPr>
          <w:rFonts w:hint="eastAsia" w:ascii="宋体" w:hAnsi="宋体" w:cs="仿宋"/>
          <w:b w:val="0"/>
          <w:snapToGrid w:val="0"/>
          <w:sz w:val="24"/>
          <w:szCs w:val="24"/>
        </w:rPr>
        <w:t xml:space="preserve">3.3  </w:t>
      </w:r>
      <w:bookmarkEnd w:id="277"/>
      <w:bookmarkEnd w:id="278"/>
      <w:bookmarkEnd w:id="279"/>
      <w:bookmarkEnd w:id="280"/>
      <w:bookmarkEnd w:id="281"/>
      <w:bookmarkEnd w:id="282"/>
      <w:bookmarkEnd w:id="283"/>
      <w:bookmarkEnd w:id="284"/>
      <w:bookmarkEnd w:id="285"/>
      <w:bookmarkEnd w:id="286"/>
      <w:bookmarkEnd w:id="287"/>
      <w:r>
        <w:rPr>
          <w:rFonts w:hint="eastAsia" w:ascii="宋体" w:hAnsi="宋体" w:cs="仿宋"/>
          <w:b w:val="0"/>
          <w:snapToGrid w:val="0"/>
          <w:sz w:val="24"/>
          <w:szCs w:val="24"/>
        </w:rPr>
        <w:t>比选有效期</w:t>
      </w:r>
    </w:p>
    <w:p w14:paraId="31A3A1EA">
      <w:pPr>
        <w:pStyle w:val="5"/>
        <w:keepNext w:val="0"/>
        <w:keepLines w:val="0"/>
        <w:snapToGrid w:val="0"/>
        <w:spacing w:before="0" w:after="0" w:line="360" w:lineRule="auto"/>
        <w:ind w:firstLine="480" w:firstLineChars="200"/>
        <w:rPr>
          <w:rFonts w:hint="eastAsia" w:ascii="宋体" w:hAnsi="宋体" w:cs="仿宋"/>
          <w:b w:val="0"/>
          <w:snapToGrid w:val="0"/>
          <w:sz w:val="24"/>
          <w:szCs w:val="24"/>
        </w:rPr>
      </w:pPr>
      <w:bookmarkStart w:id="288" w:name="_Toc277082574"/>
      <w:bookmarkStart w:id="289" w:name="_Toc430530457"/>
      <w:bookmarkStart w:id="290" w:name="_Toc17358"/>
      <w:bookmarkStart w:id="291" w:name="_Toc287607768"/>
      <w:bookmarkStart w:id="292" w:name="_Toc224103339"/>
      <w:bookmarkStart w:id="293" w:name="_Toc23752"/>
      <w:bookmarkStart w:id="294" w:name="_Toc509218732"/>
      <w:bookmarkStart w:id="295" w:name="_Toc1366"/>
      <w:bookmarkStart w:id="296" w:name="_Toc287620707"/>
      <w:bookmarkStart w:id="297" w:name="_Toc200513148"/>
      <w:bookmarkStart w:id="298" w:name="_Toc27006"/>
      <w:r>
        <w:rPr>
          <w:rFonts w:hint="eastAsia" w:ascii="宋体" w:hAnsi="宋体" w:cs="仿宋"/>
          <w:b w:val="0"/>
          <w:snapToGrid w:val="0"/>
          <w:sz w:val="24"/>
          <w:szCs w:val="24"/>
        </w:rPr>
        <w:t>见竞选人须知前附表。</w:t>
      </w:r>
    </w:p>
    <w:p w14:paraId="6D876778">
      <w:pPr>
        <w:pStyle w:val="5"/>
        <w:keepNext w:val="0"/>
        <w:keepLines w:val="0"/>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 xml:space="preserve">3.4  </w:t>
      </w:r>
      <w:bookmarkEnd w:id="288"/>
      <w:bookmarkEnd w:id="289"/>
      <w:bookmarkEnd w:id="290"/>
      <w:bookmarkEnd w:id="291"/>
      <w:bookmarkEnd w:id="292"/>
      <w:bookmarkEnd w:id="293"/>
      <w:bookmarkEnd w:id="294"/>
      <w:bookmarkEnd w:id="295"/>
      <w:bookmarkEnd w:id="296"/>
      <w:bookmarkEnd w:id="297"/>
      <w:bookmarkEnd w:id="298"/>
      <w:r>
        <w:rPr>
          <w:rFonts w:hint="eastAsia" w:ascii="宋体" w:hAnsi="宋体" w:cs="仿宋"/>
          <w:b w:val="0"/>
          <w:snapToGrid w:val="0"/>
          <w:sz w:val="24"/>
          <w:szCs w:val="24"/>
        </w:rPr>
        <w:t>竞选保证金</w:t>
      </w:r>
    </w:p>
    <w:p w14:paraId="7E996226">
      <w:pPr>
        <w:pStyle w:val="5"/>
        <w:keepNext w:val="0"/>
        <w:keepLines w:val="0"/>
        <w:snapToGrid w:val="0"/>
        <w:spacing w:before="0" w:after="0" w:line="360" w:lineRule="auto"/>
        <w:ind w:firstLine="480" w:firstLineChars="200"/>
        <w:rPr>
          <w:rFonts w:hint="eastAsia" w:ascii="宋体" w:hAnsi="宋体" w:cs="仿宋"/>
          <w:b w:val="0"/>
          <w:bCs w:val="0"/>
          <w:sz w:val="24"/>
          <w:szCs w:val="24"/>
        </w:rPr>
      </w:pPr>
      <w:bookmarkStart w:id="299" w:name="_Toc277082575"/>
      <w:bookmarkStart w:id="300" w:name="_Toc287607769"/>
      <w:bookmarkStart w:id="301" w:name="_Toc18935"/>
      <w:bookmarkStart w:id="302" w:name="_Toc5065"/>
      <w:bookmarkStart w:id="303" w:name="_Toc509218733"/>
      <w:bookmarkStart w:id="304" w:name="_Toc287620708"/>
      <w:bookmarkStart w:id="305" w:name="_Toc25920"/>
      <w:bookmarkStart w:id="306" w:name="_Toc200513149"/>
      <w:bookmarkStart w:id="307" w:name="_Toc21704"/>
      <w:bookmarkStart w:id="308" w:name="_Toc430530458"/>
      <w:bookmarkStart w:id="309" w:name="_Toc224103340"/>
      <w:r>
        <w:rPr>
          <w:rFonts w:hint="eastAsia" w:ascii="宋体" w:hAnsi="宋体" w:cs="仿宋"/>
          <w:b w:val="0"/>
          <w:bCs w:val="0"/>
          <w:sz w:val="24"/>
          <w:szCs w:val="24"/>
        </w:rPr>
        <w:t>无。</w:t>
      </w:r>
    </w:p>
    <w:p w14:paraId="5D5739DF">
      <w:pPr>
        <w:pStyle w:val="5"/>
        <w:keepNext w:val="0"/>
        <w:keepLines w:val="0"/>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3.5  资格审查资料</w:t>
      </w:r>
      <w:bookmarkEnd w:id="299"/>
      <w:bookmarkEnd w:id="300"/>
      <w:bookmarkEnd w:id="301"/>
      <w:bookmarkEnd w:id="302"/>
      <w:bookmarkEnd w:id="303"/>
      <w:bookmarkEnd w:id="304"/>
      <w:bookmarkEnd w:id="305"/>
      <w:bookmarkEnd w:id="306"/>
      <w:bookmarkEnd w:id="307"/>
      <w:bookmarkEnd w:id="308"/>
      <w:bookmarkEnd w:id="309"/>
    </w:p>
    <w:p w14:paraId="765419C4">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竞选人应附竞选人须知前附表第1.4.1项中要求的相关证明材料。</w:t>
      </w:r>
    </w:p>
    <w:p w14:paraId="136D7AC7">
      <w:pPr>
        <w:pStyle w:val="5"/>
        <w:snapToGrid w:val="0"/>
        <w:spacing w:before="0" w:after="0" w:line="360" w:lineRule="auto"/>
        <w:rPr>
          <w:rFonts w:hint="eastAsia" w:ascii="宋体" w:hAnsi="宋体" w:cs="仿宋"/>
          <w:b w:val="0"/>
          <w:snapToGrid w:val="0"/>
          <w:sz w:val="24"/>
          <w:szCs w:val="24"/>
        </w:rPr>
      </w:pPr>
      <w:bookmarkStart w:id="310" w:name="_Toc24446"/>
      <w:bookmarkStart w:id="311" w:name="_Toc16445"/>
      <w:bookmarkStart w:id="312" w:name="_Toc200513151"/>
      <w:bookmarkStart w:id="313" w:name="_Toc287620710"/>
      <w:bookmarkStart w:id="314" w:name="_Toc12213"/>
      <w:bookmarkStart w:id="315" w:name="_Toc277082577"/>
      <w:bookmarkStart w:id="316" w:name="_Toc224103342"/>
      <w:bookmarkStart w:id="317" w:name="_Toc509218735"/>
      <w:bookmarkStart w:id="318" w:name="_Toc21870"/>
      <w:bookmarkStart w:id="319" w:name="_Toc287607771"/>
      <w:bookmarkStart w:id="320" w:name="_Toc430530460"/>
      <w:r>
        <w:rPr>
          <w:rFonts w:hint="eastAsia" w:ascii="宋体" w:hAnsi="宋体" w:cs="仿宋"/>
          <w:b w:val="0"/>
          <w:snapToGrid w:val="0"/>
          <w:sz w:val="24"/>
          <w:szCs w:val="24"/>
        </w:rPr>
        <w:t>3.6  备选</w:t>
      </w:r>
      <w:r>
        <w:rPr>
          <w:rFonts w:hint="eastAsia" w:ascii="宋体" w:hAnsi="宋体" w:cs="仿宋"/>
          <w:b w:val="0"/>
          <w:snapToGrid w:val="0"/>
          <w:sz w:val="24"/>
          <w:szCs w:val="24"/>
          <w:lang w:eastAsia="zh-CN"/>
        </w:rPr>
        <w:t>竞选</w:t>
      </w:r>
      <w:r>
        <w:rPr>
          <w:rFonts w:hint="eastAsia" w:ascii="宋体" w:hAnsi="宋体" w:cs="仿宋"/>
          <w:b w:val="0"/>
          <w:snapToGrid w:val="0"/>
          <w:sz w:val="24"/>
          <w:szCs w:val="24"/>
        </w:rPr>
        <w:t>方案</w:t>
      </w:r>
      <w:bookmarkEnd w:id="310"/>
      <w:bookmarkEnd w:id="311"/>
      <w:bookmarkEnd w:id="312"/>
      <w:bookmarkEnd w:id="313"/>
      <w:bookmarkEnd w:id="314"/>
      <w:bookmarkEnd w:id="315"/>
      <w:bookmarkEnd w:id="316"/>
      <w:bookmarkEnd w:id="317"/>
      <w:bookmarkEnd w:id="318"/>
      <w:bookmarkEnd w:id="319"/>
      <w:bookmarkEnd w:id="320"/>
    </w:p>
    <w:p w14:paraId="6A0BE075">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不允许提交。</w:t>
      </w:r>
    </w:p>
    <w:p w14:paraId="64AEE33C">
      <w:pPr>
        <w:pStyle w:val="5"/>
        <w:snapToGrid w:val="0"/>
        <w:spacing w:before="0" w:after="0" w:line="360" w:lineRule="auto"/>
        <w:rPr>
          <w:rFonts w:hint="eastAsia" w:ascii="宋体" w:hAnsi="宋体" w:cs="仿宋"/>
          <w:b w:val="0"/>
          <w:snapToGrid w:val="0"/>
          <w:sz w:val="24"/>
          <w:szCs w:val="24"/>
        </w:rPr>
      </w:pPr>
      <w:bookmarkStart w:id="321" w:name="_Toc287607772"/>
      <w:bookmarkStart w:id="322" w:name="_Toc200513152"/>
      <w:bookmarkStart w:id="323" w:name="_Toc509218736"/>
      <w:bookmarkStart w:id="324" w:name="_Toc277082578"/>
      <w:bookmarkStart w:id="325" w:name="_Toc224103343"/>
      <w:bookmarkStart w:id="326" w:name="_Toc287620711"/>
      <w:bookmarkStart w:id="327" w:name="_Toc21206"/>
      <w:bookmarkStart w:id="328" w:name="_Toc20271"/>
      <w:bookmarkStart w:id="329" w:name="_Toc31754"/>
      <w:bookmarkStart w:id="330" w:name="_Toc430530461"/>
      <w:bookmarkStart w:id="331" w:name="_Toc16951"/>
      <w:r>
        <w:rPr>
          <w:rFonts w:hint="eastAsia" w:ascii="宋体" w:hAnsi="宋体" w:cs="仿宋"/>
          <w:b w:val="0"/>
          <w:snapToGrid w:val="0"/>
          <w:sz w:val="24"/>
          <w:szCs w:val="24"/>
        </w:rPr>
        <w:t>3.7  竞选文件的编制</w:t>
      </w:r>
      <w:bookmarkEnd w:id="321"/>
      <w:bookmarkEnd w:id="322"/>
      <w:bookmarkEnd w:id="323"/>
      <w:bookmarkEnd w:id="324"/>
      <w:bookmarkEnd w:id="325"/>
      <w:bookmarkEnd w:id="326"/>
      <w:bookmarkEnd w:id="327"/>
      <w:bookmarkEnd w:id="328"/>
      <w:bookmarkEnd w:id="329"/>
      <w:bookmarkEnd w:id="330"/>
      <w:bookmarkEnd w:id="331"/>
    </w:p>
    <w:p w14:paraId="245062DE">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3.7.1  竞选文件应按“竞选文件格式”进行编写，如有必要，可以增加附页，作为竞选文件的组成部分。其中，竞选函附录在满足竞争性比选文件实质性要求的基础上，可以提出比竞争性比选文件要求更有利于比选人的承诺。</w:t>
      </w:r>
    </w:p>
    <w:p w14:paraId="3AEDB1F8">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3.7.2  竞选文件应当对竞争性比选文件有关服务期限、比选有效期、比选范围等实质性内容做出响应。</w:t>
      </w:r>
    </w:p>
    <w:p w14:paraId="4BD15055">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position w:val="-2"/>
          <w:sz w:val="24"/>
        </w:rPr>
        <w:t>3.7.3  竞选文件的签字盖章要求：按本章竞选人须知前附表第3.7.3项执行。</w:t>
      </w:r>
    </w:p>
    <w:p w14:paraId="3803B388">
      <w:pPr>
        <w:autoSpaceDE w:val="0"/>
        <w:autoSpaceDN w:val="0"/>
        <w:adjustRightInd w:val="0"/>
        <w:snapToGrid w:val="0"/>
        <w:spacing w:line="360" w:lineRule="auto"/>
        <w:ind w:right="-164" w:firstLine="480" w:firstLineChars="200"/>
        <w:rPr>
          <w:rFonts w:hint="eastAsia" w:ascii="宋体" w:hAnsi="宋体" w:cs="仿宋"/>
          <w:i/>
          <w:snapToGrid w:val="0"/>
          <w:kern w:val="0"/>
          <w:sz w:val="24"/>
        </w:rPr>
      </w:pPr>
      <w:r>
        <w:rPr>
          <w:rFonts w:hint="eastAsia" w:ascii="宋体" w:hAnsi="宋体" w:cs="仿宋"/>
          <w:snapToGrid w:val="0"/>
          <w:kern w:val="0"/>
          <w:sz w:val="24"/>
        </w:rPr>
        <w:t>3.7.4  竞选文件的份数：见竞选人须知前附表。正本和副本的封面上应清楚地标记“正本”或“副本”的字样，正本和副本封面均须加盖单位法人章。当副本和正本不一致时，以正本为准。</w:t>
      </w:r>
    </w:p>
    <w:p w14:paraId="010B3C68">
      <w:pPr>
        <w:autoSpaceDE w:val="0"/>
        <w:autoSpaceDN w:val="0"/>
        <w:adjustRightInd w:val="0"/>
        <w:snapToGrid w:val="0"/>
        <w:spacing w:line="360" w:lineRule="auto"/>
        <w:ind w:right="-109" w:firstLine="480" w:firstLineChars="200"/>
        <w:rPr>
          <w:rFonts w:hint="eastAsia" w:ascii="宋体" w:hAnsi="宋体" w:cs="仿宋"/>
          <w:snapToGrid w:val="0"/>
          <w:kern w:val="0"/>
          <w:sz w:val="24"/>
        </w:rPr>
      </w:pPr>
      <w:r>
        <w:rPr>
          <w:rFonts w:hint="eastAsia" w:ascii="宋体" w:hAnsi="宋体" w:cs="仿宋"/>
          <w:snapToGrid w:val="0"/>
          <w:kern w:val="0"/>
          <w:sz w:val="24"/>
        </w:rPr>
        <w:t>3.7.5  竞选文件的正本与副本应分别装订成册，并编制目录，具体装订要求见竞选人须知前附表规定。</w:t>
      </w:r>
    </w:p>
    <w:p w14:paraId="271906A6">
      <w:pPr>
        <w:pStyle w:val="4"/>
        <w:keepNext w:val="0"/>
        <w:keepLines w:val="0"/>
        <w:spacing w:before="0" w:after="156" w:afterLines="50" w:line="360" w:lineRule="auto"/>
        <w:rPr>
          <w:rFonts w:hint="eastAsia" w:ascii="宋体" w:hAnsi="宋体" w:eastAsia="宋体" w:cs="仿宋"/>
          <w:b w:val="0"/>
          <w:snapToGrid w:val="0"/>
          <w:sz w:val="24"/>
          <w:szCs w:val="24"/>
          <w:lang w:eastAsia="zh-CN"/>
        </w:rPr>
      </w:pPr>
      <w:bookmarkStart w:id="332" w:name="_Toc179644336"/>
      <w:bookmarkStart w:id="333" w:name="_Toc509218737"/>
      <w:bookmarkStart w:id="334" w:name="_Toc287620712"/>
      <w:bookmarkStart w:id="335" w:name="_Toc11185"/>
      <w:bookmarkStart w:id="336" w:name="_Toc224103344"/>
      <w:bookmarkStart w:id="337" w:name="_Toc287607773"/>
      <w:bookmarkStart w:id="338" w:name="_Toc175920963"/>
      <w:bookmarkStart w:id="339" w:name="_Toc277082579"/>
      <w:bookmarkStart w:id="340" w:name="_Toc174636038"/>
      <w:bookmarkStart w:id="341" w:name="_Toc181626268"/>
      <w:bookmarkStart w:id="342" w:name="_Toc200513153"/>
      <w:bookmarkStart w:id="343" w:name="_Toc174459493"/>
      <w:bookmarkStart w:id="344" w:name="_Toc175920928"/>
      <w:bookmarkStart w:id="345" w:name="_Toc181626926"/>
      <w:bookmarkStart w:id="346" w:name="_Toc430530462"/>
      <w:bookmarkStart w:id="347" w:name="_Toc3564"/>
      <w:bookmarkStart w:id="348" w:name="_Toc9499"/>
      <w:r>
        <w:rPr>
          <w:rFonts w:hint="eastAsia" w:ascii="宋体" w:hAnsi="宋体" w:cs="仿宋"/>
          <w:b w:val="0"/>
          <w:snapToGrid w:val="0"/>
          <w:sz w:val="24"/>
          <w:szCs w:val="24"/>
        </w:rPr>
        <w:t xml:space="preserve">4.  </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Pr>
          <w:rFonts w:hint="eastAsia" w:ascii="宋体" w:hAnsi="宋体" w:cs="仿宋"/>
          <w:b w:val="0"/>
          <w:snapToGrid w:val="0"/>
          <w:sz w:val="24"/>
          <w:szCs w:val="24"/>
          <w:lang w:eastAsia="zh-CN"/>
        </w:rPr>
        <w:t>竞选</w:t>
      </w:r>
    </w:p>
    <w:p w14:paraId="0620CFDF">
      <w:pPr>
        <w:pStyle w:val="5"/>
        <w:keepNext w:val="0"/>
        <w:keepLines w:val="0"/>
        <w:snapToGrid w:val="0"/>
        <w:spacing w:before="0" w:after="0" w:line="360" w:lineRule="auto"/>
        <w:rPr>
          <w:rFonts w:hint="eastAsia" w:ascii="宋体" w:hAnsi="宋体" w:cs="仿宋"/>
          <w:b w:val="0"/>
          <w:snapToGrid w:val="0"/>
          <w:sz w:val="24"/>
          <w:szCs w:val="24"/>
        </w:rPr>
      </w:pPr>
      <w:bookmarkStart w:id="349" w:name="_Toc509218738"/>
      <w:bookmarkStart w:id="350" w:name="_Toc13185"/>
      <w:bookmarkStart w:id="351" w:name="_Toc16375"/>
      <w:bookmarkStart w:id="352" w:name="_Toc287620713"/>
      <w:bookmarkStart w:id="353" w:name="_Toc18995"/>
      <w:bookmarkStart w:id="354" w:name="_Toc3175"/>
      <w:bookmarkStart w:id="355" w:name="_Toc430530463"/>
      <w:bookmarkStart w:id="356" w:name="_Toc287607774"/>
      <w:bookmarkStart w:id="357" w:name="_Toc200513154"/>
      <w:bookmarkStart w:id="358" w:name="_Toc224103345"/>
      <w:bookmarkStart w:id="359" w:name="_Toc277082580"/>
      <w:r>
        <w:rPr>
          <w:rFonts w:hint="eastAsia" w:ascii="宋体" w:hAnsi="宋体" w:cs="仿宋"/>
          <w:b w:val="0"/>
          <w:snapToGrid w:val="0"/>
          <w:sz w:val="24"/>
          <w:szCs w:val="24"/>
        </w:rPr>
        <w:t>4.1  竞选文件的密封和标记</w:t>
      </w:r>
      <w:bookmarkEnd w:id="349"/>
      <w:bookmarkEnd w:id="350"/>
      <w:bookmarkEnd w:id="351"/>
      <w:bookmarkEnd w:id="352"/>
      <w:bookmarkEnd w:id="353"/>
      <w:bookmarkEnd w:id="354"/>
      <w:bookmarkEnd w:id="355"/>
      <w:bookmarkEnd w:id="356"/>
      <w:bookmarkEnd w:id="357"/>
      <w:bookmarkEnd w:id="358"/>
      <w:bookmarkEnd w:id="359"/>
    </w:p>
    <w:p w14:paraId="33D35A84">
      <w:pPr>
        <w:autoSpaceDE w:val="0"/>
        <w:autoSpaceDN w:val="0"/>
        <w:adjustRightInd w:val="0"/>
        <w:snapToGrid w:val="0"/>
        <w:spacing w:line="360" w:lineRule="auto"/>
        <w:ind w:firstLine="480" w:firstLineChars="200"/>
        <w:rPr>
          <w:rFonts w:hint="eastAsia" w:ascii="宋体" w:hAnsi="宋体" w:cs="仿宋"/>
          <w:snapToGrid w:val="0"/>
          <w:kern w:val="0"/>
          <w:sz w:val="24"/>
        </w:rPr>
      </w:pPr>
      <w:bookmarkStart w:id="360" w:name="_Toc200513155"/>
      <w:r>
        <w:rPr>
          <w:rFonts w:hint="eastAsia" w:ascii="宋体" w:hAnsi="宋体" w:cs="仿宋"/>
          <w:snapToGrid w:val="0"/>
          <w:kern w:val="0"/>
          <w:sz w:val="24"/>
        </w:rPr>
        <w:t>4.1.1  竞选文件的正本与副本密封：见竞选人须知前附表。</w:t>
      </w:r>
    </w:p>
    <w:p w14:paraId="4E445A7F">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4.1.2  竞选文件的封套上应写明的内容：见竞选人须知前附表。</w:t>
      </w:r>
    </w:p>
    <w:p w14:paraId="2F50A8D8">
      <w:pPr>
        <w:pStyle w:val="5"/>
        <w:keepNext w:val="0"/>
        <w:keepLines w:val="0"/>
        <w:snapToGrid w:val="0"/>
        <w:spacing w:before="0" w:after="0" w:line="360" w:lineRule="auto"/>
        <w:rPr>
          <w:rFonts w:hint="eastAsia" w:ascii="宋体" w:hAnsi="宋体" w:cs="仿宋"/>
          <w:b w:val="0"/>
          <w:snapToGrid w:val="0"/>
          <w:sz w:val="24"/>
          <w:szCs w:val="24"/>
        </w:rPr>
      </w:pPr>
      <w:bookmarkStart w:id="361" w:name="_Toc287607775"/>
      <w:bookmarkStart w:id="362" w:name="_Toc25809"/>
      <w:bookmarkStart w:id="363" w:name="_Toc13793"/>
      <w:bookmarkStart w:id="364" w:name="_Toc25811"/>
      <w:bookmarkStart w:id="365" w:name="_Toc509218739"/>
      <w:bookmarkStart w:id="366" w:name="_Toc277082581"/>
      <w:bookmarkStart w:id="367" w:name="_Toc287620714"/>
      <w:bookmarkStart w:id="368" w:name="_Toc2757"/>
      <w:bookmarkStart w:id="369" w:name="_Toc224103346"/>
      <w:bookmarkStart w:id="370" w:name="_Toc430530464"/>
      <w:r>
        <w:rPr>
          <w:rFonts w:hint="eastAsia" w:ascii="宋体" w:hAnsi="宋体" w:cs="仿宋"/>
          <w:b w:val="0"/>
          <w:snapToGrid w:val="0"/>
          <w:sz w:val="24"/>
          <w:szCs w:val="24"/>
        </w:rPr>
        <w:t>4.2  竞选文件的递交</w:t>
      </w:r>
      <w:bookmarkEnd w:id="360"/>
      <w:bookmarkEnd w:id="361"/>
      <w:bookmarkEnd w:id="362"/>
      <w:bookmarkEnd w:id="363"/>
      <w:bookmarkEnd w:id="364"/>
      <w:bookmarkEnd w:id="365"/>
      <w:bookmarkEnd w:id="366"/>
      <w:bookmarkEnd w:id="367"/>
      <w:bookmarkEnd w:id="368"/>
      <w:bookmarkEnd w:id="369"/>
      <w:bookmarkEnd w:id="370"/>
    </w:p>
    <w:p w14:paraId="446A3B70">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4.2.1  竞选人应在竞选人须知前附表第 2.2.2 项规定的竞选截止时间前递交竞选文件。</w:t>
      </w:r>
    </w:p>
    <w:p w14:paraId="3A7710C7">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4.2.2  竞选人递交竞选文件的地点：见竞选人须知前附表。</w:t>
      </w:r>
    </w:p>
    <w:p w14:paraId="04CB7B0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4.2.3  除竞选人须知前附表另有规定外，竞选人所递交的竞选文件不予退还。</w:t>
      </w:r>
    </w:p>
    <w:p w14:paraId="0D3AD7F7">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4.2.4  逾期送达的或者未送达指定地点的竞选文件，比选人不予受理。</w:t>
      </w:r>
    </w:p>
    <w:p w14:paraId="257BE936">
      <w:pPr>
        <w:pStyle w:val="5"/>
        <w:keepNext w:val="0"/>
        <w:keepLines w:val="0"/>
        <w:snapToGrid w:val="0"/>
        <w:spacing w:before="0" w:after="0" w:line="360" w:lineRule="auto"/>
        <w:rPr>
          <w:rFonts w:hint="eastAsia" w:ascii="宋体" w:hAnsi="宋体" w:cs="仿宋"/>
          <w:b w:val="0"/>
          <w:snapToGrid w:val="0"/>
          <w:sz w:val="24"/>
          <w:szCs w:val="24"/>
        </w:rPr>
      </w:pPr>
      <w:bookmarkStart w:id="371" w:name="_Toc287620715"/>
      <w:bookmarkStart w:id="372" w:name="_Toc9891"/>
      <w:bookmarkStart w:id="373" w:name="_Toc287607776"/>
      <w:bookmarkStart w:id="374" w:name="_Toc277082582"/>
      <w:bookmarkStart w:id="375" w:name="_Toc23986"/>
      <w:bookmarkStart w:id="376" w:name="_Toc1886"/>
      <w:bookmarkStart w:id="377" w:name="_Toc5155"/>
      <w:bookmarkStart w:id="378" w:name="_Toc509218740"/>
      <w:bookmarkStart w:id="379" w:name="_Toc430530465"/>
      <w:bookmarkStart w:id="380" w:name="_Toc200513156"/>
      <w:bookmarkStart w:id="381" w:name="_Toc224103347"/>
      <w:r>
        <w:rPr>
          <w:rFonts w:hint="eastAsia" w:ascii="宋体" w:hAnsi="宋体" w:cs="仿宋"/>
          <w:b w:val="0"/>
          <w:snapToGrid w:val="0"/>
          <w:sz w:val="24"/>
          <w:szCs w:val="24"/>
        </w:rPr>
        <w:t>4.3  竞选文件的修改与撤回</w:t>
      </w:r>
      <w:bookmarkEnd w:id="371"/>
      <w:bookmarkEnd w:id="372"/>
      <w:bookmarkEnd w:id="373"/>
      <w:bookmarkEnd w:id="374"/>
      <w:bookmarkEnd w:id="375"/>
      <w:bookmarkEnd w:id="376"/>
      <w:bookmarkEnd w:id="377"/>
      <w:bookmarkEnd w:id="378"/>
      <w:bookmarkEnd w:id="379"/>
      <w:bookmarkEnd w:id="380"/>
      <w:bookmarkEnd w:id="381"/>
    </w:p>
    <w:p w14:paraId="1DAE853A">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4.3.1  在竞选人须知前附表第2.2.2项规定的竞选截止时间前，竞选人可以修改或撤回已递交的竞选文件，但应以书面形式通知比选人。</w:t>
      </w:r>
    </w:p>
    <w:p w14:paraId="4B39B5EC">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4.3.2  竞选人修改或撤回已递交竞选文件的书面通知应按照本章第3.7.3项的要求签字或盖章。比选人收到书面通知后，向竞选人出具签收凭证。</w:t>
      </w:r>
    </w:p>
    <w:p w14:paraId="0004ECE4">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4.3.3  修改的内容为竞选文件的组成部分。修改的竞选文件应按照本章第3条、第4条规定进行编制、密封、标记和递交，并标明“修改”字样。</w:t>
      </w:r>
    </w:p>
    <w:p w14:paraId="5800853F">
      <w:pPr>
        <w:pStyle w:val="4"/>
        <w:keepNext w:val="0"/>
        <w:keepLines w:val="0"/>
        <w:spacing w:before="0" w:after="156" w:afterLines="50" w:line="360" w:lineRule="auto"/>
        <w:rPr>
          <w:rFonts w:hint="eastAsia" w:ascii="宋体" w:hAnsi="宋体" w:cs="仿宋"/>
          <w:b w:val="0"/>
          <w:snapToGrid w:val="0"/>
          <w:sz w:val="24"/>
          <w:szCs w:val="24"/>
        </w:rPr>
      </w:pPr>
      <w:bookmarkStart w:id="382" w:name="_Toc509218741"/>
      <w:bookmarkStart w:id="383" w:name="_Toc287607777"/>
      <w:bookmarkStart w:id="384" w:name="_Toc175920929"/>
      <w:bookmarkStart w:id="385" w:name="_Toc430530466"/>
      <w:bookmarkStart w:id="386" w:name="_Toc23759"/>
      <w:bookmarkStart w:id="387" w:name="_Toc174636039"/>
      <w:bookmarkStart w:id="388" w:name="_Toc181626927"/>
      <w:bookmarkStart w:id="389" w:name="_Toc181626269"/>
      <w:bookmarkStart w:id="390" w:name="_Toc179644337"/>
      <w:bookmarkStart w:id="391" w:name="_Toc174459494"/>
      <w:bookmarkStart w:id="392" w:name="_Toc277082583"/>
      <w:bookmarkStart w:id="393" w:name="_Toc9614"/>
      <w:bookmarkStart w:id="394" w:name="_Toc32749"/>
      <w:bookmarkStart w:id="395" w:name="_Toc287620716"/>
      <w:bookmarkStart w:id="396" w:name="_Toc175920964"/>
      <w:bookmarkStart w:id="397" w:name="_Toc224103348"/>
      <w:bookmarkStart w:id="398" w:name="_Toc200513157"/>
      <w:r>
        <w:rPr>
          <w:rFonts w:hint="eastAsia" w:ascii="宋体" w:hAnsi="宋体" w:cs="仿宋"/>
          <w:b w:val="0"/>
          <w:snapToGrid w:val="0"/>
          <w:sz w:val="24"/>
          <w:szCs w:val="24"/>
        </w:rPr>
        <w:t>5.  开标</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704B85A">
      <w:pPr>
        <w:pStyle w:val="5"/>
        <w:keepNext w:val="0"/>
        <w:keepLines w:val="0"/>
        <w:snapToGrid w:val="0"/>
        <w:spacing w:before="0" w:after="0" w:line="360" w:lineRule="auto"/>
        <w:rPr>
          <w:rFonts w:hint="eastAsia" w:ascii="宋体" w:hAnsi="宋体" w:cs="仿宋"/>
          <w:b w:val="0"/>
          <w:snapToGrid w:val="0"/>
          <w:sz w:val="24"/>
          <w:szCs w:val="24"/>
        </w:rPr>
      </w:pPr>
      <w:bookmarkStart w:id="399" w:name="_Toc509218742"/>
      <w:bookmarkStart w:id="400" w:name="_Toc277082584"/>
      <w:bookmarkStart w:id="401" w:name="_Toc24867"/>
      <w:bookmarkStart w:id="402" w:name="_Toc5459"/>
      <w:bookmarkStart w:id="403" w:name="_Toc20593"/>
      <w:bookmarkStart w:id="404" w:name="_Toc430530467"/>
      <w:bookmarkStart w:id="405" w:name="_Toc287607778"/>
      <w:bookmarkStart w:id="406" w:name="_Toc287620717"/>
      <w:bookmarkStart w:id="407" w:name="_Toc9490"/>
      <w:bookmarkStart w:id="408" w:name="_Toc224103349"/>
      <w:bookmarkStart w:id="409" w:name="_Toc200513158"/>
      <w:r>
        <w:rPr>
          <w:rFonts w:hint="eastAsia" w:ascii="宋体" w:hAnsi="宋体" w:cs="仿宋"/>
          <w:b w:val="0"/>
          <w:snapToGrid w:val="0"/>
          <w:sz w:val="24"/>
          <w:szCs w:val="24"/>
        </w:rPr>
        <w:t>5.1  开标时间和地点</w:t>
      </w:r>
      <w:bookmarkEnd w:id="399"/>
      <w:bookmarkEnd w:id="400"/>
      <w:bookmarkEnd w:id="401"/>
      <w:bookmarkEnd w:id="402"/>
      <w:bookmarkEnd w:id="403"/>
      <w:bookmarkEnd w:id="404"/>
      <w:bookmarkEnd w:id="405"/>
      <w:bookmarkEnd w:id="406"/>
      <w:bookmarkEnd w:id="407"/>
      <w:bookmarkEnd w:id="408"/>
      <w:bookmarkEnd w:id="409"/>
    </w:p>
    <w:p w14:paraId="7B211CB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比选人在竞选人须知前附表第 2.2.2 项规定的竞选截止时间（开标时间）和竞选人须知前附表规定的地点竞争性比选，并邀请所有竞选人的法定代表人或其委托代理人准时参加。</w:t>
      </w:r>
    </w:p>
    <w:p w14:paraId="4056EE39">
      <w:pPr>
        <w:pStyle w:val="5"/>
        <w:keepNext w:val="0"/>
        <w:keepLines w:val="0"/>
        <w:snapToGrid w:val="0"/>
        <w:spacing w:before="0" w:after="0" w:line="360" w:lineRule="auto"/>
        <w:rPr>
          <w:rFonts w:hint="eastAsia" w:ascii="宋体" w:hAnsi="宋体" w:cs="仿宋"/>
          <w:b w:val="0"/>
          <w:snapToGrid w:val="0"/>
          <w:sz w:val="24"/>
          <w:szCs w:val="24"/>
        </w:rPr>
      </w:pPr>
      <w:bookmarkStart w:id="410" w:name="_Toc15113"/>
      <w:bookmarkStart w:id="411" w:name="_Toc509218743"/>
      <w:bookmarkStart w:id="412" w:name="_Toc200513159"/>
      <w:bookmarkStart w:id="413" w:name="_Toc430530468"/>
      <w:bookmarkStart w:id="414" w:name="_Toc287607779"/>
      <w:bookmarkStart w:id="415" w:name="_Toc14994"/>
      <w:bookmarkStart w:id="416" w:name="_Toc24331"/>
      <w:bookmarkStart w:id="417" w:name="_Toc27033"/>
      <w:bookmarkStart w:id="418" w:name="_Toc277082585"/>
      <w:bookmarkStart w:id="419" w:name="_Toc224103350"/>
      <w:bookmarkStart w:id="420" w:name="_Toc287620718"/>
      <w:r>
        <w:rPr>
          <w:rFonts w:hint="eastAsia" w:ascii="宋体" w:hAnsi="宋体" w:cs="仿宋"/>
          <w:b w:val="0"/>
          <w:snapToGrid w:val="0"/>
          <w:sz w:val="24"/>
          <w:szCs w:val="24"/>
        </w:rPr>
        <w:t>5.2  开标程序</w:t>
      </w:r>
      <w:bookmarkEnd w:id="410"/>
      <w:bookmarkEnd w:id="411"/>
      <w:bookmarkEnd w:id="412"/>
      <w:bookmarkEnd w:id="413"/>
      <w:bookmarkEnd w:id="414"/>
      <w:bookmarkEnd w:id="415"/>
      <w:bookmarkEnd w:id="416"/>
      <w:bookmarkEnd w:id="417"/>
      <w:bookmarkEnd w:id="418"/>
      <w:bookmarkEnd w:id="419"/>
      <w:bookmarkEnd w:id="420"/>
    </w:p>
    <w:p w14:paraId="61FDC976">
      <w:pPr>
        <w:autoSpaceDE w:val="0"/>
        <w:autoSpaceDN w:val="0"/>
        <w:adjustRightInd w:val="0"/>
        <w:snapToGrid w:val="0"/>
        <w:spacing w:line="360" w:lineRule="auto"/>
        <w:ind w:firstLine="480" w:firstLineChars="200"/>
        <w:rPr>
          <w:rFonts w:hint="eastAsia" w:ascii="宋体" w:hAnsi="宋体" w:cs="仿宋"/>
          <w:sz w:val="24"/>
        </w:rPr>
      </w:pPr>
      <w:bookmarkStart w:id="421" w:name="_Toc277082586"/>
      <w:bookmarkStart w:id="422" w:name="_Toc287607780"/>
      <w:bookmarkStart w:id="423" w:name="_Toc200513160"/>
      <w:bookmarkStart w:id="424" w:name="_Toc287620719"/>
      <w:bookmarkStart w:id="425" w:name="_Toc224103351"/>
      <w:r>
        <w:rPr>
          <w:rFonts w:hint="eastAsia" w:ascii="宋体" w:hAnsi="宋体" w:cs="仿宋"/>
          <w:sz w:val="24"/>
        </w:rPr>
        <w:t>详见竞选人须知前附表第5.2款开标程序。</w:t>
      </w:r>
    </w:p>
    <w:p w14:paraId="60269C04">
      <w:pPr>
        <w:pStyle w:val="5"/>
        <w:keepNext w:val="0"/>
        <w:keepLines w:val="0"/>
        <w:snapToGrid w:val="0"/>
        <w:spacing w:before="0" w:after="0" w:line="360" w:lineRule="auto"/>
        <w:rPr>
          <w:rFonts w:hint="eastAsia" w:ascii="宋体" w:hAnsi="宋体" w:cs="仿宋"/>
          <w:b w:val="0"/>
          <w:snapToGrid w:val="0"/>
          <w:sz w:val="24"/>
          <w:szCs w:val="24"/>
        </w:rPr>
      </w:pPr>
      <w:bookmarkStart w:id="426" w:name="_Toc14915"/>
      <w:bookmarkStart w:id="427" w:name="_Toc27678"/>
      <w:bookmarkStart w:id="428" w:name="_Toc57820594"/>
      <w:bookmarkStart w:id="429" w:name="_Toc1621"/>
      <w:r>
        <w:rPr>
          <w:rFonts w:hint="eastAsia" w:ascii="宋体" w:hAnsi="宋体" w:cs="仿宋"/>
          <w:b w:val="0"/>
          <w:snapToGrid w:val="0"/>
          <w:sz w:val="24"/>
          <w:szCs w:val="24"/>
        </w:rPr>
        <w:t>5.3  开标异议</w:t>
      </w:r>
      <w:bookmarkEnd w:id="426"/>
      <w:bookmarkEnd w:id="427"/>
      <w:bookmarkEnd w:id="428"/>
      <w:bookmarkEnd w:id="429"/>
    </w:p>
    <w:p w14:paraId="443C31B9">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竞选人对开标有异议的，应在开标现场提出，比选人当场作出答复，并制作记录，有异议的竞选人代表、比选人代表、主持人、记录人等有关人员在记录上签字确认。</w:t>
      </w:r>
    </w:p>
    <w:p w14:paraId="544C721A">
      <w:pPr>
        <w:pStyle w:val="4"/>
        <w:keepNext w:val="0"/>
        <w:keepLines w:val="0"/>
        <w:spacing w:before="0" w:after="156" w:afterLines="50" w:line="360" w:lineRule="auto"/>
        <w:rPr>
          <w:rFonts w:hint="eastAsia" w:ascii="宋体" w:hAnsi="宋体" w:cs="仿宋"/>
          <w:b w:val="0"/>
          <w:snapToGrid w:val="0"/>
          <w:sz w:val="24"/>
          <w:szCs w:val="24"/>
        </w:rPr>
      </w:pPr>
      <w:bookmarkStart w:id="430" w:name="_Toc174636040"/>
      <w:bookmarkStart w:id="431" w:name="_Toc13919"/>
      <w:bookmarkStart w:id="432" w:name="_Toc181626928"/>
      <w:bookmarkStart w:id="433" w:name="_Toc9533"/>
      <w:bookmarkStart w:id="434" w:name="_Toc10337"/>
      <w:bookmarkStart w:id="435" w:name="_Toc181626270"/>
      <w:bookmarkStart w:id="436" w:name="_Toc179644338"/>
      <w:bookmarkStart w:id="437" w:name="_Toc509218744"/>
      <w:bookmarkStart w:id="438" w:name="_Toc175920930"/>
      <w:bookmarkStart w:id="439" w:name="_Toc430530469"/>
      <w:bookmarkStart w:id="440" w:name="_Toc174459495"/>
      <w:bookmarkStart w:id="441" w:name="_Toc175920965"/>
      <w:r>
        <w:rPr>
          <w:rFonts w:hint="eastAsia" w:ascii="宋体" w:hAnsi="宋体" w:cs="仿宋"/>
          <w:b w:val="0"/>
          <w:snapToGrid w:val="0"/>
          <w:sz w:val="24"/>
          <w:szCs w:val="24"/>
        </w:rPr>
        <w:t>6.  评标</w:t>
      </w:r>
      <w:bookmarkEnd w:id="421"/>
      <w:bookmarkEnd w:id="422"/>
      <w:bookmarkEnd w:id="423"/>
      <w:bookmarkEnd w:id="424"/>
      <w:bookmarkEnd w:id="425"/>
      <w:bookmarkEnd w:id="430"/>
      <w:bookmarkEnd w:id="431"/>
      <w:bookmarkEnd w:id="432"/>
      <w:bookmarkEnd w:id="433"/>
      <w:bookmarkEnd w:id="434"/>
      <w:bookmarkEnd w:id="435"/>
      <w:bookmarkEnd w:id="436"/>
      <w:bookmarkEnd w:id="437"/>
      <w:bookmarkEnd w:id="438"/>
      <w:bookmarkEnd w:id="439"/>
      <w:bookmarkEnd w:id="440"/>
      <w:bookmarkEnd w:id="441"/>
    </w:p>
    <w:p w14:paraId="13C23EDE">
      <w:pPr>
        <w:pStyle w:val="5"/>
        <w:keepNext w:val="0"/>
        <w:keepLines w:val="0"/>
        <w:snapToGrid w:val="0"/>
        <w:spacing w:before="0" w:after="0" w:line="360" w:lineRule="auto"/>
        <w:rPr>
          <w:rFonts w:hint="eastAsia" w:ascii="宋体" w:hAnsi="宋体" w:cs="仿宋"/>
          <w:b w:val="0"/>
          <w:snapToGrid w:val="0"/>
          <w:sz w:val="24"/>
          <w:szCs w:val="24"/>
        </w:rPr>
      </w:pPr>
      <w:bookmarkStart w:id="442" w:name="_Toc12032"/>
      <w:bookmarkStart w:id="443" w:name="_Toc224103352"/>
      <w:bookmarkStart w:id="444" w:name="_Toc430530470"/>
      <w:bookmarkStart w:id="445" w:name="_Toc287620720"/>
      <w:bookmarkStart w:id="446" w:name="_Toc23501"/>
      <w:bookmarkStart w:id="447" w:name="_Toc28100"/>
      <w:bookmarkStart w:id="448" w:name="_Toc277082587"/>
      <w:bookmarkStart w:id="449" w:name="_Toc509218745"/>
      <w:bookmarkStart w:id="450" w:name="_Toc18863"/>
      <w:bookmarkStart w:id="451" w:name="_Toc200513161"/>
      <w:bookmarkStart w:id="452" w:name="_Toc287607781"/>
      <w:r>
        <w:rPr>
          <w:rFonts w:hint="eastAsia" w:ascii="宋体" w:hAnsi="宋体" w:cs="仿宋"/>
          <w:b w:val="0"/>
          <w:snapToGrid w:val="0"/>
          <w:sz w:val="24"/>
          <w:szCs w:val="24"/>
        </w:rPr>
        <w:t xml:space="preserve">6.1  </w:t>
      </w:r>
      <w:bookmarkEnd w:id="442"/>
      <w:bookmarkEnd w:id="443"/>
      <w:bookmarkEnd w:id="444"/>
      <w:bookmarkEnd w:id="445"/>
      <w:bookmarkEnd w:id="446"/>
      <w:bookmarkEnd w:id="447"/>
      <w:bookmarkEnd w:id="448"/>
      <w:bookmarkEnd w:id="449"/>
      <w:bookmarkEnd w:id="450"/>
      <w:bookmarkEnd w:id="451"/>
      <w:bookmarkEnd w:id="452"/>
      <w:r>
        <w:rPr>
          <w:rFonts w:hint="eastAsia" w:ascii="宋体" w:hAnsi="宋体" w:cs="仿宋"/>
          <w:b w:val="0"/>
          <w:snapToGrid w:val="0"/>
          <w:sz w:val="24"/>
          <w:szCs w:val="24"/>
        </w:rPr>
        <w:t>评标委员会</w:t>
      </w:r>
    </w:p>
    <w:p w14:paraId="1DF281F3">
      <w:pPr>
        <w:autoSpaceDE w:val="0"/>
        <w:autoSpaceDN w:val="0"/>
        <w:adjustRightInd w:val="0"/>
        <w:snapToGrid w:val="0"/>
        <w:spacing w:line="360" w:lineRule="auto"/>
        <w:ind w:firstLine="480" w:firstLineChars="200"/>
        <w:rPr>
          <w:rFonts w:hint="eastAsia" w:ascii="宋体" w:hAnsi="宋体" w:cs="仿宋"/>
          <w:b/>
          <w:snapToGrid w:val="0"/>
          <w:kern w:val="0"/>
          <w:sz w:val="24"/>
        </w:rPr>
      </w:pPr>
      <w:r>
        <w:rPr>
          <w:rFonts w:hint="eastAsia" w:ascii="宋体" w:hAnsi="宋体" w:cs="仿宋"/>
          <w:snapToGrid w:val="0"/>
          <w:kern w:val="0"/>
          <w:sz w:val="24"/>
        </w:rPr>
        <w:t>6.1.1  评标由比选人依据法律法规和相关规范性文件组建的评标委员会负责。</w:t>
      </w:r>
    </w:p>
    <w:p w14:paraId="7B6FFCB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 xml:space="preserve">6.1.2  </w:t>
      </w:r>
      <w:r>
        <w:rPr>
          <w:rFonts w:hint="eastAsia" w:ascii="宋体" w:hAnsi="宋体" w:cs="仿宋"/>
          <w:sz w:val="24"/>
        </w:rPr>
        <w:t>评标过程中，评标委员会成员有回避事由、擅离职守或者因健康等原因不能继续评标的，应当及时更换。被更换的评标委员会成员作出的评审结论无效，由更换后的评标委员会成员重新进行评审。</w:t>
      </w:r>
    </w:p>
    <w:p w14:paraId="123E4C6D">
      <w:pPr>
        <w:pStyle w:val="5"/>
        <w:snapToGrid w:val="0"/>
        <w:spacing w:before="0" w:after="0" w:line="360" w:lineRule="auto"/>
        <w:rPr>
          <w:rFonts w:hint="eastAsia" w:ascii="宋体" w:hAnsi="宋体" w:cs="仿宋"/>
          <w:b w:val="0"/>
          <w:snapToGrid w:val="0"/>
          <w:sz w:val="24"/>
          <w:szCs w:val="24"/>
        </w:rPr>
      </w:pPr>
      <w:bookmarkStart w:id="453" w:name="_Toc277082588"/>
      <w:bookmarkStart w:id="454" w:name="_Toc509218746"/>
      <w:bookmarkStart w:id="455" w:name="_Toc224103353"/>
      <w:bookmarkStart w:id="456" w:name="_Toc287620721"/>
      <w:bookmarkStart w:id="457" w:name="_Toc430530471"/>
      <w:bookmarkStart w:id="458" w:name="_Toc287607782"/>
      <w:bookmarkStart w:id="459" w:name="_Toc3330"/>
      <w:bookmarkStart w:id="460" w:name="_Toc200513162"/>
      <w:bookmarkStart w:id="461" w:name="_Toc8673"/>
      <w:bookmarkStart w:id="462" w:name="_Toc18656"/>
      <w:bookmarkStart w:id="463" w:name="_Toc12166"/>
      <w:r>
        <w:rPr>
          <w:rFonts w:hint="eastAsia" w:ascii="宋体" w:hAnsi="宋体" w:cs="仿宋"/>
          <w:b w:val="0"/>
          <w:snapToGrid w:val="0"/>
          <w:sz w:val="24"/>
          <w:szCs w:val="24"/>
        </w:rPr>
        <w:t>6.2  评标原则</w:t>
      </w:r>
      <w:bookmarkEnd w:id="453"/>
      <w:bookmarkEnd w:id="454"/>
      <w:bookmarkEnd w:id="455"/>
      <w:bookmarkEnd w:id="456"/>
      <w:bookmarkEnd w:id="457"/>
      <w:bookmarkEnd w:id="458"/>
      <w:bookmarkEnd w:id="459"/>
      <w:bookmarkEnd w:id="460"/>
      <w:bookmarkEnd w:id="461"/>
      <w:bookmarkEnd w:id="462"/>
      <w:bookmarkEnd w:id="463"/>
    </w:p>
    <w:p w14:paraId="7B06AC90">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评标活动遵循公平、公正、科学和择优的原则。</w:t>
      </w:r>
    </w:p>
    <w:p w14:paraId="4A170EA4">
      <w:pPr>
        <w:pStyle w:val="5"/>
        <w:snapToGrid w:val="0"/>
        <w:spacing w:before="0" w:after="0" w:line="360" w:lineRule="auto"/>
        <w:rPr>
          <w:rFonts w:hint="eastAsia" w:ascii="宋体" w:hAnsi="宋体" w:cs="仿宋"/>
          <w:b w:val="0"/>
          <w:snapToGrid w:val="0"/>
          <w:sz w:val="24"/>
          <w:szCs w:val="24"/>
        </w:rPr>
      </w:pPr>
      <w:bookmarkStart w:id="464" w:name="_Toc509218747"/>
      <w:bookmarkStart w:id="465" w:name="_Toc287607783"/>
      <w:bookmarkStart w:id="466" w:name="_Toc430530472"/>
      <w:bookmarkStart w:id="467" w:name="_Toc14701"/>
      <w:bookmarkStart w:id="468" w:name="_Toc27589"/>
      <w:bookmarkStart w:id="469" w:name="_Toc12027"/>
      <w:bookmarkStart w:id="470" w:name="_Toc287620722"/>
      <w:bookmarkStart w:id="471" w:name="_Toc277082589"/>
      <w:bookmarkStart w:id="472" w:name="_Toc224103354"/>
      <w:bookmarkStart w:id="473" w:name="_Toc11692"/>
      <w:bookmarkStart w:id="474" w:name="_Toc200513163"/>
      <w:r>
        <w:rPr>
          <w:rFonts w:hint="eastAsia" w:ascii="宋体" w:hAnsi="宋体" w:cs="仿宋"/>
          <w:b w:val="0"/>
          <w:snapToGrid w:val="0"/>
          <w:sz w:val="24"/>
          <w:szCs w:val="24"/>
        </w:rPr>
        <w:t>6.3  评标</w:t>
      </w:r>
      <w:bookmarkEnd w:id="464"/>
      <w:bookmarkEnd w:id="465"/>
      <w:bookmarkEnd w:id="466"/>
      <w:bookmarkEnd w:id="467"/>
      <w:bookmarkEnd w:id="468"/>
      <w:bookmarkEnd w:id="469"/>
      <w:bookmarkEnd w:id="470"/>
      <w:bookmarkEnd w:id="471"/>
      <w:bookmarkEnd w:id="472"/>
      <w:bookmarkEnd w:id="473"/>
      <w:bookmarkEnd w:id="474"/>
    </w:p>
    <w:p w14:paraId="71998D01">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评标委员会按照第三章“评标办法”规定的方法、评审因素、标准和程序对竞选文件进行评审。第三章“评标办法”没有规定的方法、评审因素和标准，不得作为评标依据。</w:t>
      </w:r>
    </w:p>
    <w:p w14:paraId="2AC360FE">
      <w:pPr>
        <w:pStyle w:val="4"/>
        <w:spacing w:before="0" w:after="156" w:afterLines="50" w:line="360" w:lineRule="auto"/>
        <w:rPr>
          <w:rFonts w:hint="eastAsia" w:ascii="宋体" w:hAnsi="宋体" w:cs="仿宋"/>
          <w:b w:val="0"/>
          <w:snapToGrid w:val="0"/>
          <w:sz w:val="24"/>
          <w:szCs w:val="24"/>
        </w:rPr>
      </w:pPr>
      <w:bookmarkStart w:id="475" w:name="_Toc509218748"/>
      <w:bookmarkStart w:id="476" w:name="_Toc2723"/>
      <w:bookmarkStart w:id="477" w:name="_Toc179644339"/>
      <w:bookmarkStart w:id="478" w:name="_Toc175920931"/>
      <w:bookmarkStart w:id="479" w:name="_Toc200513164"/>
      <w:bookmarkStart w:id="480" w:name="_Toc287607784"/>
      <w:bookmarkStart w:id="481" w:name="_Toc430530473"/>
      <w:bookmarkStart w:id="482" w:name="_Toc181626271"/>
      <w:bookmarkStart w:id="483" w:name="_Toc174459496"/>
      <w:bookmarkStart w:id="484" w:name="_Toc174636041"/>
      <w:bookmarkStart w:id="485" w:name="_Toc175920966"/>
      <w:bookmarkStart w:id="486" w:name="_Toc181626929"/>
      <w:bookmarkStart w:id="487" w:name="_Toc224103355"/>
      <w:bookmarkStart w:id="488" w:name="_Toc13080"/>
      <w:bookmarkStart w:id="489" w:name="_Toc32295"/>
      <w:bookmarkStart w:id="490" w:name="_Toc277082590"/>
      <w:bookmarkStart w:id="491" w:name="_Toc287620723"/>
      <w:r>
        <w:rPr>
          <w:rFonts w:hint="eastAsia" w:ascii="宋体" w:hAnsi="宋体" w:cs="仿宋"/>
          <w:b w:val="0"/>
          <w:snapToGrid w:val="0"/>
          <w:sz w:val="24"/>
          <w:szCs w:val="24"/>
        </w:rPr>
        <w:t>7.  合同授予</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46CAD0B">
      <w:pPr>
        <w:pStyle w:val="5"/>
        <w:snapToGrid w:val="0"/>
        <w:spacing w:before="0" w:after="0" w:line="360" w:lineRule="auto"/>
        <w:rPr>
          <w:rFonts w:hint="eastAsia" w:ascii="宋体" w:hAnsi="宋体" w:cs="仿宋"/>
          <w:b w:val="0"/>
          <w:snapToGrid w:val="0"/>
          <w:sz w:val="24"/>
          <w:szCs w:val="24"/>
        </w:rPr>
      </w:pPr>
      <w:bookmarkStart w:id="492" w:name="_Toc13979"/>
      <w:bookmarkStart w:id="493" w:name="_Toc277082591"/>
      <w:bookmarkStart w:id="494" w:name="_Toc287607785"/>
      <w:bookmarkStart w:id="495" w:name="_Toc27008"/>
      <w:bookmarkStart w:id="496" w:name="_Toc3401"/>
      <w:bookmarkStart w:id="497" w:name="_Toc287620724"/>
      <w:bookmarkStart w:id="498" w:name="_Toc29937"/>
      <w:bookmarkStart w:id="499" w:name="_Toc200513165"/>
      <w:bookmarkStart w:id="500" w:name="_Toc509218749"/>
      <w:bookmarkStart w:id="501" w:name="_Toc224103356"/>
      <w:bookmarkStart w:id="502" w:name="_Toc430530474"/>
      <w:r>
        <w:rPr>
          <w:rFonts w:hint="eastAsia" w:ascii="宋体" w:hAnsi="宋体" w:cs="仿宋"/>
          <w:b w:val="0"/>
          <w:snapToGrid w:val="0"/>
          <w:sz w:val="24"/>
          <w:szCs w:val="24"/>
        </w:rPr>
        <w:t>7.1  定标方式</w:t>
      </w:r>
      <w:bookmarkEnd w:id="492"/>
      <w:bookmarkEnd w:id="493"/>
      <w:bookmarkEnd w:id="494"/>
      <w:bookmarkEnd w:id="495"/>
      <w:bookmarkEnd w:id="496"/>
      <w:bookmarkEnd w:id="497"/>
      <w:bookmarkEnd w:id="498"/>
      <w:bookmarkEnd w:id="499"/>
      <w:bookmarkEnd w:id="500"/>
      <w:bookmarkEnd w:id="501"/>
      <w:bookmarkEnd w:id="502"/>
    </w:p>
    <w:p w14:paraId="78373E62">
      <w:pPr>
        <w:pStyle w:val="5"/>
        <w:snapToGrid w:val="0"/>
        <w:spacing w:before="0" w:after="0" w:line="360" w:lineRule="auto"/>
        <w:ind w:firstLine="480" w:firstLineChars="200"/>
        <w:rPr>
          <w:rFonts w:hint="eastAsia" w:ascii="宋体" w:hAnsi="宋体" w:cs="仿宋"/>
          <w:b w:val="0"/>
          <w:snapToGrid w:val="0"/>
          <w:sz w:val="24"/>
          <w:szCs w:val="24"/>
        </w:rPr>
      </w:pPr>
      <w:bookmarkStart w:id="503" w:name="_Toc10827"/>
      <w:bookmarkStart w:id="504" w:name="_Toc23594"/>
      <w:bookmarkStart w:id="505" w:name="_Toc430530475"/>
      <w:bookmarkStart w:id="506" w:name="_Toc17647"/>
      <w:bookmarkStart w:id="507" w:name="_Toc509218750"/>
      <w:bookmarkStart w:id="508" w:name="_Toc1581"/>
      <w:r>
        <w:rPr>
          <w:rFonts w:hint="eastAsia" w:ascii="宋体" w:hAnsi="宋体" w:cs="仿宋"/>
          <w:b w:val="0"/>
          <w:snapToGrid w:val="0"/>
          <w:sz w:val="24"/>
          <w:szCs w:val="24"/>
        </w:rPr>
        <w:t>除竞选人须知前附表规定评标委员会直接确定中选人外，招标人依据评标委员会推荐的中标候选人排名第一的为中选人，评标委员会推荐中标候选人的人数见竞选人须知前附表。</w:t>
      </w:r>
    </w:p>
    <w:p w14:paraId="7A612910">
      <w:pPr>
        <w:pStyle w:val="5"/>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7.2  中标公示及中标通知</w:t>
      </w:r>
      <w:bookmarkEnd w:id="503"/>
      <w:bookmarkEnd w:id="504"/>
      <w:bookmarkEnd w:id="505"/>
      <w:bookmarkEnd w:id="506"/>
      <w:bookmarkEnd w:id="507"/>
      <w:bookmarkEnd w:id="508"/>
    </w:p>
    <w:p w14:paraId="7C714791">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napToGrid w:val="0"/>
          <w:kern w:val="0"/>
          <w:sz w:val="24"/>
        </w:rPr>
        <w:t>比选人在收到评标报告之日起3日内公示中标候选人，公示期不得少于1日</w:t>
      </w:r>
      <w:r>
        <w:rPr>
          <w:rFonts w:hint="eastAsia" w:ascii="宋体" w:hAnsi="宋体" w:cs="仿宋"/>
          <w:sz w:val="24"/>
        </w:rPr>
        <w:t>。</w:t>
      </w:r>
    </w:p>
    <w:p w14:paraId="20D37027">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在本章第 3.3 款规定的比选有效期内，且未有竞选人的异议与投诉，比选人以书面形式向中选人发出中选通知书。</w:t>
      </w:r>
      <w:bookmarkStart w:id="509" w:name="_Toc277082593"/>
      <w:bookmarkStart w:id="510" w:name="_Toc2260"/>
      <w:bookmarkStart w:id="511" w:name="_Toc287620726"/>
      <w:bookmarkStart w:id="512" w:name="_Toc2914"/>
      <w:bookmarkStart w:id="513" w:name="_Toc29428"/>
      <w:bookmarkStart w:id="514" w:name="_Toc287607787"/>
      <w:bookmarkStart w:id="515" w:name="_Toc200513167"/>
      <w:bookmarkStart w:id="516" w:name="_Toc430530476"/>
      <w:bookmarkStart w:id="517" w:name="_Toc509218751"/>
      <w:bookmarkStart w:id="518" w:name="_Toc224103358"/>
      <w:bookmarkStart w:id="519" w:name="_Toc13383"/>
    </w:p>
    <w:p w14:paraId="6A823FFD">
      <w:pPr>
        <w:pStyle w:val="5"/>
        <w:snapToGrid w:val="0"/>
        <w:spacing w:before="0" w:after="0" w:line="360" w:lineRule="auto"/>
        <w:rPr>
          <w:rFonts w:hint="eastAsia" w:ascii="宋体" w:hAnsi="宋体" w:cs="仿宋"/>
          <w:b w:val="0"/>
          <w:bCs w:val="0"/>
          <w:snapToGrid w:val="0"/>
          <w:sz w:val="24"/>
          <w:szCs w:val="24"/>
        </w:rPr>
      </w:pPr>
      <w:r>
        <w:rPr>
          <w:rFonts w:hint="eastAsia" w:ascii="宋体" w:hAnsi="宋体" w:cs="仿宋"/>
          <w:b w:val="0"/>
          <w:bCs w:val="0"/>
          <w:snapToGrid w:val="0"/>
          <w:sz w:val="24"/>
          <w:szCs w:val="24"/>
        </w:rPr>
        <w:t>7.3  履约担保</w:t>
      </w:r>
      <w:bookmarkEnd w:id="509"/>
      <w:bookmarkEnd w:id="510"/>
      <w:bookmarkEnd w:id="511"/>
      <w:bookmarkEnd w:id="512"/>
      <w:bookmarkEnd w:id="513"/>
      <w:bookmarkEnd w:id="514"/>
      <w:bookmarkEnd w:id="515"/>
      <w:bookmarkEnd w:id="516"/>
      <w:bookmarkEnd w:id="517"/>
      <w:bookmarkEnd w:id="518"/>
      <w:bookmarkEnd w:id="519"/>
    </w:p>
    <w:p w14:paraId="62C7A3D7">
      <w:pPr>
        <w:pStyle w:val="5"/>
        <w:snapToGrid w:val="0"/>
        <w:spacing w:before="0" w:after="0" w:line="360" w:lineRule="auto"/>
        <w:ind w:firstLine="480" w:firstLineChars="200"/>
        <w:rPr>
          <w:rFonts w:hint="eastAsia" w:ascii="宋体" w:hAnsi="宋体" w:cs="仿宋"/>
          <w:b w:val="0"/>
          <w:bCs w:val="0"/>
          <w:snapToGrid w:val="0"/>
          <w:sz w:val="24"/>
          <w:szCs w:val="24"/>
        </w:rPr>
      </w:pPr>
      <w:bookmarkStart w:id="520" w:name="_Toc32538"/>
      <w:bookmarkStart w:id="521" w:name="_Toc28091"/>
      <w:bookmarkStart w:id="522" w:name="_Toc16900"/>
      <w:bookmarkStart w:id="523" w:name="_Toc287620727"/>
      <w:bookmarkStart w:id="524" w:name="_Toc430530477"/>
      <w:bookmarkStart w:id="525" w:name="_Toc287607788"/>
      <w:bookmarkStart w:id="526" w:name="_Toc224103359"/>
      <w:bookmarkStart w:id="527" w:name="_Toc23096"/>
      <w:bookmarkStart w:id="528" w:name="_Toc277082594"/>
      <w:bookmarkStart w:id="529" w:name="_Toc509218752"/>
      <w:bookmarkStart w:id="530" w:name="_Toc200513168"/>
      <w:r>
        <w:rPr>
          <w:rFonts w:hint="eastAsia" w:ascii="宋体" w:hAnsi="宋体" w:cs="仿宋"/>
          <w:b w:val="0"/>
          <w:bCs w:val="0"/>
          <w:snapToGrid w:val="0"/>
          <w:sz w:val="24"/>
          <w:szCs w:val="24"/>
        </w:rPr>
        <w:t>中选人应在收到中选成交通知书后7日内，且签订合同前提交；若未按时提交，发包人有权取消其中选资格，并依法另行确定中选人。</w:t>
      </w:r>
    </w:p>
    <w:p w14:paraId="512D3015">
      <w:pPr>
        <w:pStyle w:val="5"/>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7.4  签订合同</w:t>
      </w:r>
      <w:bookmarkEnd w:id="520"/>
      <w:bookmarkEnd w:id="521"/>
      <w:bookmarkEnd w:id="522"/>
      <w:bookmarkEnd w:id="523"/>
      <w:bookmarkEnd w:id="524"/>
      <w:bookmarkEnd w:id="525"/>
      <w:bookmarkEnd w:id="526"/>
      <w:bookmarkEnd w:id="527"/>
      <w:bookmarkEnd w:id="528"/>
      <w:bookmarkEnd w:id="529"/>
      <w:bookmarkEnd w:id="530"/>
    </w:p>
    <w:p w14:paraId="4D9A7995">
      <w:pPr>
        <w:pStyle w:val="5"/>
        <w:snapToGrid w:val="0"/>
        <w:spacing w:before="0" w:after="0" w:line="360" w:lineRule="auto"/>
        <w:ind w:firstLine="480" w:firstLineChars="200"/>
        <w:rPr>
          <w:rFonts w:hint="eastAsia" w:ascii="宋体" w:hAnsi="宋体" w:cs="仿宋"/>
          <w:b w:val="0"/>
          <w:bCs w:val="0"/>
          <w:snapToGrid w:val="0"/>
          <w:sz w:val="24"/>
          <w:szCs w:val="24"/>
        </w:rPr>
      </w:pPr>
      <w:r>
        <w:rPr>
          <w:rFonts w:hint="eastAsia" w:ascii="宋体" w:hAnsi="宋体" w:cs="仿宋"/>
          <w:b w:val="0"/>
          <w:bCs w:val="0"/>
          <w:snapToGrid w:val="0"/>
          <w:sz w:val="24"/>
          <w:szCs w:val="24"/>
        </w:rPr>
        <w:t>7.4.1 比选人和中选人应当自中选通知书发出之日起 30 天内，根据竞争性比选文件和中选人的竞选文件订立书面合同。中选人放弃中标项目，无正当理由不与比选人签订合同，在签订合同时向比选人提出附加条件或者更改合同实质性内容的，比选人取消其中标资格，给比选人造成的损失的，中选人应当予以赔偿。</w:t>
      </w:r>
    </w:p>
    <w:p w14:paraId="3A372ECF">
      <w:pPr>
        <w:pStyle w:val="5"/>
        <w:snapToGrid w:val="0"/>
        <w:spacing w:before="0" w:after="0" w:line="360" w:lineRule="auto"/>
        <w:ind w:firstLine="480" w:firstLineChars="200"/>
        <w:rPr>
          <w:rFonts w:hint="eastAsia" w:ascii="宋体" w:hAnsi="宋体" w:cs="仿宋"/>
          <w:b w:val="0"/>
          <w:bCs w:val="0"/>
          <w:snapToGrid w:val="0"/>
          <w:sz w:val="24"/>
          <w:szCs w:val="24"/>
        </w:rPr>
      </w:pPr>
      <w:r>
        <w:rPr>
          <w:rFonts w:hint="eastAsia" w:ascii="宋体" w:hAnsi="宋体" w:cs="仿宋"/>
          <w:b w:val="0"/>
          <w:bCs w:val="0"/>
          <w:snapToGrid w:val="0"/>
          <w:sz w:val="24"/>
          <w:szCs w:val="24"/>
        </w:rPr>
        <w:t>7.4.2发出中选通知书后，比选人无正当理由拒签合同的，给中选人造成损失的，应当赔偿损失。</w:t>
      </w:r>
    </w:p>
    <w:p w14:paraId="720B8154">
      <w:pPr>
        <w:pStyle w:val="4"/>
        <w:spacing w:before="0" w:after="156" w:afterLines="50" w:line="360" w:lineRule="auto"/>
        <w:rPr>
          <w:rFonts w:hint="eastAsia" w:ascii="宋体" w:hAnsi="宋体" w:cs="仿宋"/>
          <w:b w:val="0"/>
          <w:snapToGrid w:val="0"/>
          <w:sz w:val="24"/>
          <w:szCs w:val="24"/>
        </w:rPr>
      </w:pPr>
      <w:bookmarkStart w:id="531" w:name="_Toc224103360"/>
      <w:bookmarkStart w:id="532" w:name="_Toc287607789"/>
      <w:bookmarkStart w:id="533" w:name="_Toc22591"/>
      <w:bookmarkStart w:id="534" w:name="_Toc277082595"/>
      <w:bookmarkStart w:id="535" w:name="_Toc200513169"/>
      <w:bookmarkStart w:id="536" w:name="_Toc509218753"/>
      <w:bookmarkStart w:id="537" w:name="_Toc430530478"/>
      <w:bookmarkStart w:id="538" w:name="_Toc287620728"/>
      <w:bookmarkStart w:id="539" w:name="_Toc30110"/>
      <w:bookmarkStart w:id="540" w:name="_Toc16857"/>
      <w:bookmarkStart w:id="541" w:name="_Toc174636042"/>
      <w:bookmarkStart w:id="542" w:name="_Toc181626272"/>
      <w:bookmarkStart w:id="543" w:name="_Toc175920967"/>
      <w:bookmarkStart w:id="544" w:name="_Toc181626930"/>
      <w:bookmarkStart w:id="545" w:name="_Toc174459497"/>
      <w:bookmarkStart w:id="546" w:name="_Toc179644340"/>
      <w:bookmarkStart w:id="547" w:name="_Toc175920932"/>
      <w:r>
        <w:rPr>
          <w:rFonts w:hint="eastAsia" w:ascii="宋体" w:hAnsi="宋体" w:cs="仿宋"/>
          <w:b w:val="0"/>
          <w:snapToGrid w:val="0"/>
          <w:sz w:val="24"/>
          <w:szCs w:val="24"/>
        </w:rPr>
        <w:t>8.  二次</w:t>
      </w:r>
      <w:bookmarkEnd w:id="531"/>
      <w:bookmarkEnd w:id="532"/>
      <w:bookmarkEnd w:id="533"/>
      <w:bookmarkEnd w:id="534"/>
      <w:bookmarkEnd w:id="535"/>
      <w:bookmarkEnd w:id="536"/>
      <w:bookmarkEnd w:id="537"/>
      <w:bookmarkEnd w:id="538"/>
      <w:bookmarkEnd w:id="539"/>
      <w:bookmarkEnd w:id="540"/>
      <w:r>
        <w:rPr>
          <w:rFonts w:hint="eastAsia" w:ascii="宋体" w:hAnsi="宋体" w:cs="仿宋"/>
          <w:b w:val="0"/>
          <w:snapToGrid w:val="0"/>
          <w:sz w:val="24"/>
          <w:szCs w:val="24"/>
        </w:rPr>
        <w:t>比选</w:t>
      </w:r>
      <w:bookmarkEnd w:id="541"/>
      <w:bookmarkEnd w:id="542"/>
      <w:bookmarkEnd w:id="543"/>
      <w:bookmarkEnd w:id="544"/>
      <w:bookmarkEnd w:id="545"/>
      <w:bookmarkEnd w:id="546"/>
      <w:bookmarkEnd w:id="547"/>
    </w:p>
    <w:p w14:paraId="3E6D7451">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第二次比选后竞选人仍少于三个的，如有两家</w:t>
      </w:r>
      <w:r>
        <w:rPr>
          <w:rFonts w:hint="eastAsia" w:ascii="宋体" w:hAnsi="宋体" w:cs="仿宋"/>
          <w:snapToGrid w:val="0"/>
          <w:kern w:val="0"/>
          <w:sz w:val="24"/>
          <w:lang w:eastAsia="zh-CN"/>
        </w:rPr>
        <w:t>竞选</w:t>
      </w:r>
      <w:r>
        <w:rPr>
          <w:rFonts w:hint="eastAsia" w:ascii="宋体" w:hAnsi="宋体" w:cs="仿宋"/>
          <w:snapToGrid w:val="0"/>
          <w:kern w:val="0"/>
          <w:sz w:val="24"/>
        </w:rPr>
        <w:t>，比选人可进行两家开标；如只有一家</w:t>
      </w:r>
      <w:r>
        <w:rPr>
          <w:rFonts w:hint="eastAsia" w:ascii="宋体" w:hAnsi="宋体" w:cs="仿宋"/>
          <w:snapToGrid w:val="0"/>
          <w:kern w:val="0"/>
          <w:sz w:val="24"/>
          <w:lang w:eastAsia="zh-CN"/>
        </w:rPr>
        <w:t>竞选</w:t>
      </w:r>
      <w:r>
        <w:rPr>
          <w:rFonts w:hint="eastAsia" w:ascii="宋体" w:hAnsi="宋体" w:cs="仿宋"/>
          <w:snapToGrid w:val="0"/>
          <w:kern w:val="0"/>
          <w:sz w:val="24"/>
        </w:rPr>
        <w:t>，经评标委员会评审认可后，比选人可进行谈判采购。</w:t>
      </w:r>
    </w:p>
    <w:p w14:paraId="08142A8F">
      <w:pPr>
        <w:pStyle w:val="4"/>
        <w:spacing w:before="0" w:after="156" w:afterLines="50" w:line="360" w:lineRule="auto"/>
        <w:rPr>
          <w:rFonts w:hint="eastAsia" w:ascii="宋体" w:hAnsi="宋体" w:cs="仿宋"/>
          <w:b w:val="0"/>
          <w:snapToGrid w:val="0"/>
          <w:sz w:val="24"/>
          <w:szCs w:val="24"/>
        </w:rPr>
      </w:pPr>
      <w:bookmarkStart w:id="548" w:name="_Toc509218756"/>
      <w:bookmarkStart w:id="549" w:name="_Toc174636043"/>
      <w:bookmarkStart w:id="550" w:name="_Toc181626931"/>
      <w:bookmarkStart w:id="551" w:name="_Toc179644341"/>
      <w:bookmarkStart w:id="552" w:name="_Toc174459498"/>
      <w:bookmarkStart w:id="553" w:name="_Toc175920968"/>
      <w:bookmarkStart w:id="554" w:name="_Toc181626273"/>
      <w:bookmarkStart w:id="555" w:name="_Toc287607792"/>
      <w:bookmarkStart w:id="556" w:name="_Toc287620731"/>
      <w:bookmarkStart w:id="557" w:name="_Toc430530481"/>
      <w:bookmarkStart w:id="558" w:name="_Toc224103363"/>
      <w:bookmarkStart w:id="559" w:name="_Toc277082598"/>
      <w:bookmarkStart w:id="560" w:name="_Toc175920933"/>
      <w:bookmarkStart w:id="561" w:name="_Toc285"/>
      <w:bookmarkStart w:id="562" w:name="_Toc200513172"/>
      <w:bookmarkStart w:id="563" w:name="_Toc273"/>
      <w:bookmarkStart w:id="564" w:name="_Toc11680"/>
      <w:r>
        <w:rPr>
          <w:rFonts w:hint="eastAsia" w:ascii="宋体" w:hAnsi="宋体" w:cs="仿宋"/>
          <w:b w:val="0"/>
          <w:snapToGrid w:val="0"/>
          <w:sz w:val="24"/>
          <w:szCs w:val="24"/>
        </w:rPr>
        <w:t>9.  纪律和监督</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8B16F58">
      <w:pPr>
        <w:pStyle w:val="5"/>
        <w:snapToGrid w:val="0"/>
        <w:spacing w:before="0" w:after="0" w:line="360" w:lineRule="auto"/>
        <w:rPr>
          <w:rFonts w:hint="eastAsia" w:ascii="宋体" w:hAnsi="宋体" w:cs="仿宋"/>
          <w:b w:val="0"/>
          <w:snapToGrid w:val="0"/>
          <w:sz w:val="24"/>
          <w:szCs w:val="24"/>
        </w:rPr>
      </w:pPr>
      <w:bookmarkStart w:id="565" w:name="_Toc9538"/>
      <w:bookmarkStart w:id="566" w:name="_Toc509218757"/>
      <w:bookmarkStart w:id="567" w:name="_Toc287620732"/>
      <w:bookmarkStart w:id="568" w:name="_Toc277082599"/>
      <w:bookmarkStart w:id="569" w:name="_Toc11532"/>
      <w:bookmarkStart w:id="570" w:name="_Toc287607793"/>
      <w:bookmarkStart w:id="571" w:name="_Toc12662"/>
      <w:bookmarkStart w:id="572" w:name="_Toc224103364"/>
      <w:bookmarkStart w:id="573" w:name="_Toc1675"/>
      <w:bookmarkStart w:id="574" w:name="_Toc430530482"/>
      <w:bookmarkStart w:id="575" w:name="_Toc200513173"/>
      <w:r>
        <w:rPr>
          <w:rFonts w:hint="eastAsia" w:ascii="宋体" w:hAnsi="宋体" w:cs="仿宋"/>
          <w:b w:val="0"/>
          <w:snapToGrid w:val="0"/>
          <w:sz w:val="24"/>
          <w:szCs w:val="24"/>
        </w:rPr>
        <w:t>9.1  对比选人的纪律要求</w:t>
      </w:r>
      <w:bookmarkEnd w:id="565"/>
      <w:bookmarkEnd w:id="566"/>
      <w:bookmarkEnd w:id="567"/>
      <w:bookmarkEnd w:id="568"/>
      <w:bookmarkEnd w:id="569"/>
      <w:bookmarkEnd w:id="570"/>
      <w:bookmarkEnd w:id="571"/>
      <w:bookmarkEnd w:id="572"/>
      <w:bookmarkEnd w:id="573"/>
      <w:bookmarkEnd w:id="574"/>
      <w:bookmarkEnd w:id="575"/>
    </w:p>
    <w:p w14:paraId="1A0929B6">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napToGrid w:val="0"/>
          <w:kern w:val="0"/>
          <w:sz w:val="24"/>
        </w:rPr>
        <w:t>比选人不得泄漏招标</w:t>
      </w:r>
      <w:r>
        <w:rPr>
          <w:rFonts w:hint="eastAsia" w:ascii="宋体" w:hAnsi="宋体" w:cs="仿宋"/>
          <w:snapToGrid w:val="0"/>
          <w:kern w:val="0"/>
          <w:sz w:val="24"/>
          <w:lang w:eastAsia="zh-CN"/>
        </w:rPr>
        <w:t>竞选</w:t>
      </w:r>
      <w:r>
        <w:rPr>
          <w:rFonts w:hint="eastAsia" w:ascii="宋体" w:hAnsi="宋体" w:cs="仿宋"/>
          <w:snapToGrid w:val="0"/>
          <w:kern w:val="0"/>
          <w:sz w:val="24"/>
        </w:rPr>
        <w:t>活动中应当保密的情况和资料，不得与竞选人串通损害国家利 益、社会公共利益或者他人合法权益，</w:t>
      </w:r>
      <w:r>
        <w:rPr>
          <w:rFonts w:hint="eastAsia" w:ascii="宋体" w:hAnsi="宋体" w:cs="仿宋"/>
          <w:sz w:val="24"/>
        </w:rPr>
        <w:t>禁止比选人与竞选人串通</w:t>
      </w:r>
      <w:r>
        <w:rPr>
          <w:rFonts w:hint="eastAsia" w:ascii="宋体" w:hAnsi="宋体" w:cs="仿宋"/>
          <w:sz w:val="24"/>
          <w:lang w:eastAsia="zh-CN"/>
        </w:rPr>
        <w:t>竞选</w:t>
      </w:r>
      <w:r>
        <w:rPr>
          <w:rFonts w:hint="eastAsia" w:ascii="宋体" w:hAnsi="宋体" w:cs="仿宋"/>
          <w:sz w:val="24"/>
        </w:rPr>
        <w:t>。</w:t>
      </w:r>
    </w:p>
    <w:p w14:paraId="6C91DB12">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有下列情形之一的，属于比选人与竞选人串通</w:t>
      </w:r>
      <w:r>
        <w:rPr>
          <w:rFonts w:hint="eastAsia" w:ascii="宋体" w:hAnsi="宋体" w:cs="仿宋"/>
          <w:sz w:val="24"/>
          <w:lang w:eastAsia="zh-CN"/>
        </w:rPr>
        <w:t>竞选</w:t>
      </w:r>
      <w:r>
        <w:rPr>
          <w:rFonts w:hint="eastAsia" w:ascii="宋体" w:hAnsi="宋体" w:cs="仿宋"/>
          <w:sz w:val="24"/>
        </w:rPr>
        <w:t>：</w:t>
      </w:r>
    </w:p>
    <w:p w14:paraId="328E24F8">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（1）比选人在开标前开启竞选文件并将有关信息泄露给其他竞选人；</w:t>
      </w:r>
    </w:p>
    <w:p w14:paraId="122D196F">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（2）比选人直接或者间接向竞选人泄露标底、评标委员会成员等信息；</w:t>
      </w:r>
    </w:p>
    <w:p w14:paraId="67357AE8">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（3）比选人明示或者暗示竞选人压低或者抬高竞选报价；</w:t>
      </w:r>
    </w:p>
    <w:p w14:paraId="09B91058">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（4）比选人授意竞选人撤换、修改竞选文件；</w:t>
      </w:r>
    </w:p>
    <w:p w14:paraId="1BB4AF53">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（5）比选人明示或者暗示竞选人为特定竞选人中标提供方便；</w:t>
      </w:r>
    </w:p>
    <w:p w14:paraId="7DB6D532">
      <w:pPr>
        <w:autoSpaceDE w:val="0"/>
        <w:autoSpaceDN w:val="0"/>
        <w:adjustRightInd w:val="0"/>
        <w:snapToGrid w:val="0"/>
        <w:spacing w:line="360" w:lineRule="auto"/>
        <w:ind w:firstLine="420"/>
        <w:rPr>
          <w:rFonts w:hint="eastAsia" w:ascii="宋体" w:hAnsi="宋体" w:cs="仿宋"/>
          <w:snapToGrid w:val="0"/>
          <w:kern w:val="0"/>
          <w:sz w:val="24"/>
        </w:rPr>
      </w:pPr>
      <w:r>
        <w:rPr>
          <w:rFonts w:hint="eastAsia" w:ascii="宋体" w:hAnsi="宋体" w:cs="仿宋"/>
          <w:sz w:val="24"/>
        </w:rPr>
        <w:t>（6）比选人与竞选人为谋求特定竞选人中标而采取的其他串通行为。</w:t>
      </w:r>
    </w:p>
    <w:p w14:paraId="6A1DDB65">
      <w:pPr>
        <w:pStyle w:val="5"/>
        <w:snapToGrid w:val="0"/>
        <w:spacing w:before="0" w:after="0" w:line="360" w:lineRule="auto"/>
        <w:rPr>
          <w:rFonts w:hint="eastAsia" w:ascii="宋体" w:hAnsi="宋体" w:cs="仿宋"/>
          <w:b w:val="0"/>
          <w:snapToGrid w:val="0"/>
          <w:sz w:val="24"/>
          <w:szCs w:val="24"/>
        </w:rPr>
      </w:pPr>
      <w:bookmarkStart w:id="576" w:name="_Toc200513174"/>
      <w:bookmarkStart w:id="577" w:name="_Toc5420"/>
      <w:bookmarkStart w:id="578" w:name="_Toc287607794"/>
      <w:bookmarkStart w:id="579" w:name="_Toc277082600"/>
      <w:bookmarkStart w:id="580" w:name="_Toc26571"/>
      <w:bookmarkStart w:id="581" w:name="_Toc430530483"/>
      <w:bookmarkStart w:id="582" w:name="_Toc224103365"/>
      <w:bookmarkStart w:id="583" w:name="_Toc509218758"/>
      <w:bookmarkStart w:id="584" w:name="_Toc287620733"/>
      <w:bookmarkStart w:id="585" w:name="_Toc11710"/>
      <w:bookmarkStart w:id="586" w:name="_Toc6042"/>
      <w:r>
        <w:rPr>
          <w:rFonts w:hint="eastAsia" w:ascii="宋体" w:hAnsi="宋体" w:cs="仿宋"/>
          <w:b w:val="0"/>
          <w:snapToGrid w:val="0"/>
          <w:sz w:val="24"/>
          <w:szCs w:val="24"/>
        </w:rPr>
        <w:t>9.2  对竞选人的纪律要求</w:t>
      </w:r>
      <w:bookmarkEnd w:id="576"/>
      <w:bookmarkEnd w:id="577"/>
      <w:bookmarkEnd w:id="578"/>
      <w:bookmarkEnd w:id="579"/>
      <w:bookmarkEnd w:id="580"/>
      <w:bookmarkEnd w:id="581"/>
      <w:bookmarkEnd w:id="582"/>
      <w:bookmarkEnd w:id="583"/>
      <w:bookmarkEnd w:id="584"/>
      <w:bookmarkEnd w:id="585"/>
      <w:bookmarkEnd w:id="586"/>
    </w:p>
    <w:p w14:paraId="167691D4">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竞选人不得相互串通</w:t>
      </w:r>
      <w:r>
        <w:rPr>
          <w:rFonts w:hint="eastAsia" w:ascii="宋体" w:hAnsi="宋体" w:cs="仿宋"/>
          <w:snapToGrid w:val="0"/>
          <w:kern w:val="0"/>
          <w:sz w:val="24"/>
          <w:lang w:eastAsia="zh-CN"/>
        </w:rPr>
        <w:t>竞选</w:t>
      </w:r>
      <w:r>
        <w:rPr>
          <w:rFonts w:hint="eastAsia" w:ascii="宋体" w:hAnsi="宋体" w:cs="仿宋"/>
          <w:snapToGrid w:val="0"/>
          <w:kern w:val="0"/>
          <w:sz w:val="24"/>
        </w:rPr>
        <w:t>或者与比选人串通</w:t>
      </w:r>
      <w:r>
        <w:rPr>
          <w:rFonts w:hint="eastAsia" w:ascii="宋体" w:hAnsi="宋体" w:cs="仿宋"/>
          <w:snapToGrid w:val="0"/>
          <w:kern w:val="0"/>
          <w:sz w:val="24"/>
          <w:lang w:eastAsia="zh-CN"/>
        </w:rPr>
        <w:t>竞选</w:t>
      </w:r>
      <w:r>
        <w:rPr>
          <w:rFonts w:hint="eastAsia" w:ascii="宋体" w:hAnsi="宋体" w:cs="仿宋"/>
          <w:snapToGrid w:val="0"/>
          <w:kern w:val="0"/>
          <w:sz w:val="24"/>
        </w:rPr>
        <w:t>，不得向比选人或者评标委员会成员行贿谋取中标，不得以他人名义</w:t>
      </w:r>
      <w:r>
        <w:rPr>
          <w:rFonts w:hint="eastAsia" w:ascii="宋体" w:hAnsi="宋体" w:cs="仿宋"/>
          <w:snapToGrid w:val="0"/>
          <w:kern w:val="0"/>
          <w:sz w:val="24"/>
          <w:lang w:eastAsia="zh-CN"/>
        </w:rPr>
        <w:t>竞选</w:t>
      </w:r>
      <w:r>
        <w:rPr>
          <w:rFonts w:hint="eastAsia" w:ascii="宋体" w:hAnsi="宋体" w:cs="仿宋"/>
          <w:snapToGrid w:val="0"/>
          <w:kern w:val="0"/>
          <w:sz w:val="24"/>
        </w:rPr>
        <w:t>或者以其他方式弄虚作假骗取中标；竞选人不得以任何方式干扰、影响评标工作。</w:t>
      </w:r>
    </w:p>
    <w:p w14:paraId="5DC52737">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9.2.1  有下列情形之一的，属于竞选人相互串通</w:t>
      </w:r>
      <w:r>
        <w:rPr>
          <w:rFonts w:hint="eastAsia" w:ascii="宋体" w:hAnsi="宋体" w:cs="仿宋"/>
          <w:sz w:val="24"/>
          <w:lang w:eastAsia="zh-CN"/>
        </w:rPr>
        <w:t>竞选</w:t>
      </w:r>
      <w:r>
        <w:rPr>
          <w:rFonts w:hint="eastAsia" w:ascii="宋体" w:hAnsi="宋体" w:cs="仿宋"/>
          <w:sz w:val="24"/>
        </w:rPr>
        <w:t>：</w:t>
      </w:r>
    </w:p>
    <w:p w14:paraId="6F7E4178">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（1）竞选人之间协商竞选报价等竞选文件的实质性内容；</w:t>
      </w:r>
    </w:p>
    <w:p w14:paraId="59A2864A">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（2）竞选人之间约定中选人；</w:t>
      </w:r>
    </w:p>
    <w:p w14:paraId="4B069BB9">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（3）竞选人之间约定部分竞选人放弃</w:t>
      </w:r>
      <w:r>
        <w:rPr>
          <w:rFonts w:hint="eastAsia" w:ascii="宋体" w:hAnsi="宋体" w:cs="仿宋"/>
          <w:sz w:val="24"/>
          <w:lang w:eastAsia="zh-CN"/>
        </w:rPr>
        <w:t>竞选</w:t>
      </w:r>
      <w:r>
        <w:rPr>
          <w:rFonts w:hint="eastAsia" w:ascii="宋体" w:hAnsi="宋体" w:cs="仿宋"/>
          <w:sz w:val="24"/>
        </w:rPr>
        <w:t>或者中标；</w:t>
      </w:r>
    </w:p>
    <w:p w14:paraId="5790F60D">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（4）属于同一集团、协会、商会等组织成员的竞选人按照该组织要求协同</w:t>
      </w:r>
      <w:r>
        <w:rPr>
          <w:rFonts w:hint="eastAsia" w:ascii="宋体" w:hAnsi="宋体" w:cs="仿宋"/>
          <w:sz w:val="24"/>
          <w:lang w:eastAsia="zh-CN"/>
        </w:rPr>
        <w:t>竞选</w:t>
      </w:r>
      <w:r>
        <w:rPr>
          <w:rFonts w:hint="eastAsia" w:ascii="宋体" w:hAnsi="宋体" w:cs="仿宋"/>
          <w:sz w:val="24"/>
        </w:rPr>
        <w:t>；</w:t>
      </w:r>
    </w:p>
    <w:p w14:paraId="6F3C3580">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（5）竞选人之间为谋取中标或者排斥特定竞选人而采取的其他联合行动。</w:t>
      </w:r>
    </w:p>
    <w:p w14:paraId="73DD551A">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9.2.2  有下列情形之一的，视为竞选人相互串通</w:t>
      </w:r>
      <w:r>
        <w:rPr>
          <w:rFonts w:hint="eastAsia" w:ascii="宋体" w:hAnsi="宋体" w:cs="仿宋"/>
          <w:sz w:val="24"/>
          <w:lang w:eastAsia="zh-CN"/>
        </w:rPr>
        <w:t>竞选</w:t>
      </w:r>
      <w:r>
        <w:rPr>
          <w:rFonts w:hint="eastAsia" w:ascii="宋体" w:hAnsi="宋体" w:cs="仿宋"/>
          <w:sz w:val="24"/>
        </w:rPr>
        <w:t>：</w:t>
      </w:r>
    </w:p>
    <w:p w14:paraId="0D16ABFA">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（1）不同竞选人的竞选文件由同一单位或者个人编制；</w:t>
      </w:r>
    </w:p>
    <w:p w14:paraId="39D04E18">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（2）不同竞选人委托同一单位或者个人办理</w:t>
      </w:r>
      <w:r>
        <w:rPr>
          <w:rFonts w:hint="eastAsia" w:ascii="宋体" w:hAnsi="宋体" w:cs="仿宋"/>
          <w:sz w:val="24"/>
          <w:lang w:eastAsia="zh-CN"/>
        </w:rPr>
        <w:t>竞选</w:t>
      </w:r>
      <w:r>
        <w:rPr>
          <w:rFonts w:hint="eastAsia" w:ascii="宋体" w:hAnsi="宋体" w:cs="仿宋"/>
          <w:sz w:val="24"/>
        </w:rPr>
        <w:t>事宜；</w:t>
      </w:r>
    </w:p>
    <w:p w14:paraId="0750B202">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（3）不同竞选人的竞选文件载明的项目管理成员为同一人；</w:t>
      </w:r>
    </w:p>
    <w:p w14:paraId="3DC9AE8C">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（4）不同竞选人的竞选文件异常一致或者竞选报价呈规律性差异；</w:t>
      </w:r>
    </w:p>
    <w:p w14:paraId="7D3A170F">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（5）不同竞选人的竞选文件相互混装；</w:t>
      </w:r>
    </w:p>
    <w:p w14:paraId="3893915C">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（6）不同竞选人的竞选保证金从同一单位或者个人的账户转出。</w:t>
      </w:r>
    </w:p>
    <w:p w14:paraId="103C5A74">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9.2.3  使用通过受让或者租借等方式获取的资格、资质证书</w:t>
      </w:r>
      <w:r>
        <w:rPr>
          <w:rFonts w:hint="eastAsia" w:ascii="宋体" w:hAnsi="宋体" w:cs="仿宋"/>
          <w:sz w:val="24"/>
          <w:lang w:eastAsia="zh-CN"/>
        </w:rPr>
        <w:t>竞选</w:t>
      </w:r>
      <w:r>
        <w:rPr>
          <w:rFonts w:hint="eastAsia" w:ascii="宋体" w:hAnsi="宋体" w:cs="仿宋"/>
          <w:sz w:val="24"/>
        </w:rPr>
        <w:t>的，属于以他人名义</w:t>
      </w:r>
      <w:r>
        <w:rPr>
          <w:rFonts w:hint="eastAsia" w:ascii="宋体" w:hAnsi="宋体" w:cs="仿宋"/>
          <w:sz w:val="24"/>
          <w:lang w:eastAsia="zh-CN"/>
        </w:rPr>
        <w:t>竞选</w:t>
      </w:r>
      <w:r>
        <w:rPr>
          <w:rFonts w:hint="eastAsia" w:ascii="宋体" w:hAnsi="宋体" w:cs="仿宋"/>
          <w:sz w:val="24"/>
        </w:rPr>
        <w:t>。</w:t>
      </w:r>
    </w:p>
    <w:p w14:paraId="7666DA6C">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9.2.4  竞选人有下列情形之一的，属于以其他方式弄虚作假的行为：</w:t>
      </w:r>
    </w:p>
    <w:p w14:paraId="62D6499C">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（1）使用伪造、变造的许可证件；</w:t>
      </w:r>
    </w:p>
    <w:p w14:paraId="51D2C08F">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（2）提供虚假的财务状况或者业绩；</w:t>
      </w:r>
    </w:p>
    <w:p w14:paraId="1D321474">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（3）提供虚假的项目负责人或者主要技术人员简历、劳动关系证明；</w:t>
      </w:r>
    </w:p>
    <w:p w14:paraId="25476C33">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（4）提供虚假的信用状况；</w:t>
      </w:r>
    </w:p>
    <w:p w14:paraId="400EB3FF">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z w:val="24"/>
        </w:rPr>
        <w:t>（5）其他弄虚作假的行为。</w:t>
      </w:r>
    </w:p>
    <w:p w14:paraId="0F1C24D1">
      <w:pPr>
        <w:pStyle w:val="5"/>
        <w:snapToGrid w:val="0"/>
        <w:spacing w:before="0" w:after="0" w:line="360" w:lineRule="auto"/>
        <w:rPr>
          <w:rFonts w:hint="eastAsia" w:ascii="宋体" w:hAnsi="宋体" w:cs="仿宋"/>
          <w:b w:val="0"/>
          <w:snapToGrid w:val="0"/>
          <w:sz w:val="24"/>
          <w:szCs w:val="24"/>
        </w:rPr>
      </w:pPr>
      <w:bookmarkStart w:id="587" w:name="_Toc277082601"/>
      <w:bookmarkStart w:id="588" w:name="_Toc224103366"/>
      <w:bookmarkStart w:id="589" w:name="_Toc287607795"/>
      <w:bookmarkStart w:id="590" w:name="_Toc509218759"/>
      <w:bookmarkStart w:id="591" w:name="_Toc27742"/>
      <w:bookmarkStart w:id="592" w:name="_Toc430530484"/>
      <w:bookmarkStart w:id="593" w:name="_Toc27632"/>
      <w:bookmarkStart w:id="594" w:name="_Toc287620734"/>
      <w:bookmarkStart w:id="595" w:name="_Toc200513175"/>
      <w:bookmarkStart w:id="596" w:name="_Toc29406"/>
      <w:bookmarkStart w:id="597" w:name="_Toc21514"/>
      <w:r>
        <w:rPr>
          <w:rFonts w:hint="eastAsia" w:ascii="宋体" w:hAnsi="宋体" w:cs="仿宋"/>
          <w:b w:val="0"/>
          <w:snapToGrid w:val="0"/>
          <w:sz w:val="24"/>
          <w:szCs w:val="24"/>
        </w:rPr>
        <w:t>9.3  对评标委员会成员的纪律要求</w:t>
      </w:r>
      <w:bookmarkEnd w:id="587"/>
      <w:bookmarkEnd w:id="588"/>
      <w:bookmarkEnd w:id="589"/>
      <w:bookmarkEnd w:id="590"/>
      <w:bookmarkEnd w:id="591"/>
      <w:bookmarkEnd w:id="592"/>
      <w:bookmarkEnd w:id="593"/>
      <w:bookmarkEnd w:id="594"/>
      <w:bookmarkEnd w:id="595"/>
      <w:bookmarkEnd w:id="596"/>
      <w:bookmarkEnd w:id="597"/>
    </w:p>
    <w:p w14:paraId="45BD1DF9">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评标委员会成员不得收受他人的财物或者其他好处，不得向他人透漏对竞选文件的评审和比较、中标候选人的推荐情况以及评标有关的其他情况。在评标活动中，评标委员会成员不得擅离职守，影响评标程序正常进行，不得使用第三章“评标办法”没有规定的评审因素和标准进行评标，不得对竞争性比选文件中《否决</w:t>
      </w:r>
      <w:r>
        <w:rPr>
          <w:rFonts w:hint="eastAsia" w:ascii="宋体" w:hAnsi="宋体" w:cs="仿宋"/>
          <w:snapToGrid w:val="0"/>
          <w:kern w:val="0"/>
          <w:sz w:val="24"/>
          <w:lang w:eastAsia="zh-CN"/>
        </w:rPr>
        <w:t>竞选</w:t>
      </w:r>
      <w:r>
        <w:rPr>
          <w:rFonts w:hint="eastAsia" w:ascii="宋体" w:hAnsi="宋体" w:cs="仿宋"/>
          <w:snapToGrid w:val="0"/>
          <w:kern w:val="0"/>
          <w:sz w:val="24"/>
        </w:rPr>
        <w:t>情况一览表》以外的内容予以否决</w:t>
      </w:r>
      <w:r>
        <w:rPr>
          <w:rFonts w:hint="eastAsia" w:ascii="宋体" w:hAnsi="宋体" w:cs="仿宋"/>
          <w:snapToGrid w:val="0"/>
          <w:kern w:val="0"/>
          <w:sz w:val="24"/>
          <w:lang w:eastAsia="zh-CN"/>
        </w:rPr>
        <w:t>竞选</w:t>
      </w:r>
      <w:r>
        <w:rPr>
          <w:rFonts w:hint="eastAsia" w:ascii="宋体" w:hAnsi="宋体" w:cs="仿宋"/>
          <w:snapToGrid w:val="0"/>
          <w:kern w:val="0"/>
          <w:sz w:val="24"/>
        </w:rPr>
        <w:t>，否则对评标委员会成员按《重庆市综合评标专家库和评标专家管理暂行办法》进行处理。</w:t>
      </w:r>
    </w:p>
    <w:p w14:paraId="0333AE34">
      <w:pPr>
        <w:pStyle w:val="5"/>
        <w:snapToGrid w:val="0"/>
        <w:spacing w:before="0" w:after="0" w:line="360" w:lineRule="auto"/>
        <w:rPr>
          <w:rFonts w:hint="eastAsia" w:ascii="宋体" w:hAnsi="宋体" w:cs="仿宋"/>
          <w:b w:val="0"/>
          <w:snapToGrid w:val="0"/>
          <w:sz w:val="24"/>
          <w:szCs w:val="24"/>
        </w:rPr>
      </w:pPr>
      <w:bookmarkStart w:id="598" w:name="_Toc224103367"/>
      <w:bookmarkStart w:id="599" w:name="_Toc430530485"/>
      <w:bookmarkStart w:id="600" w:name="_Toc277082602"/>
      <w:bookmarkStart w:id="601" w:name="_Toc17353"/>
      <w:bookmarkStart w:id="602" w:name="_Toc509218760"/>
      <w:bookmarkStart w:id="603" w:name="_Toc287607796"/>
      <w:bookmarkStart w:id="604" w:name="_Toc28734"/>
      <w:bookmarkStart w:id="605" w:name="_Toc287620735"/>
      <w:bookmarkStart w:id="606" w:name="_Toc200513176"/>
      <w:bookmarkStart w:id="607" w:name="_Toc18120"/>
      <w:bookmarkStart w:id="608" w:name="_Toc12545"/>
      <w:r>
        <w:rPr>
          <w:rFonts w:hint="eastAsia" w:ascii="宋体" w:hAnsi="宋体" w:cs="仿宋"/>
          <w:b w:val="0"/>
          <w:snapToGrid w:val="0"/>
          <w:sz w:val="24"/>
          <w:szCs w:val="24"/>
        </w:rPr>
        <w:t>9.4  对与评标活动有关的工作人员的纪律要求</w:t>
      </w:r>
      <w:bookmarkEnd w:id="598"/>
      <w:bookmarkEnd w:id="599"/>
      <w:bookmarkEnd w:id="600"/>
      <w:bookmarkEnd w:id="601"/>
      <w:bookmarkEnd w:id="602"/>
      <w:bookmarkEnd w:id="603"/>
      <w:bookmarkEnd w:id="604"/>
      <w:bookmarkEnd w:id="605"/>
      <w:bookmarkEnd w:id="606"/>
      <w:bookmarkEnd w:id="607"/>
      <w:bookmarkEnd w:id="608"/>
    </w:p>
    <w:p w14:paraId="70AEC51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与评标活动有关的工作人员不得收受他人的财物或者其他好处，不得向他人透漏对竞选文件的评审和比较、中标候选人的推荐情况以及与评标有关的其他情况。在评标活动中，与评标活动有关的工作人员不得擅离职守，影响评标程序正常进行。</w:t>
      </w:r>
    </w:p>
    <w:p w14:paraId="7BCB4EFB">
      <w:pPr>
        <w:pStyle w:val="5"/>
        <w:snapToGrid w:val="0"/>
        <w:spacing w:before="0" w:after="0" w:line="360" w:lineRule="auto"/>
        <w:rPr>
          <w:rFonts w:hint="eastAsia" w:ascii="宋体" w:hAnsi="宋体" w:cs="仿宋"/>
          <w:b w:val="0"/>
          <w:snapToGrid w:val="0"/>
          <w:sz w:val="24"/>
          <w:szCs w:val="24"/>
        </w:rPr>
      </w:pPr>
      <w:bookmarkStart w:id="609" w:name="_Toc509218761"/>
      <w:bookmarkStart w:id="610" w:name="_Toc3857"/>
      <w:bookmarkStart w:id="611" w:name="_Toc23336"/>
      <w:bookmarkStart w:id="612" w:name="_Toc277082603"/>
      <w:bookmarkStart w:id="613" w:name="_Toc200513177"/>
      <w:bookmarkStart w:id="614" w:name="_Toc287607797"/>
      <w:bookmarkStart w:id="615" w:name="_Toc287620736"/>
      <w:bookmarkStart w:id="616" w:name="_Toc22652"/>
      <w:bookmarkStart w:id="617" w:name="_Toc430530486"/>
      <w:bookmarkStart w:id="618" w:name="_Toc17234"/>
      <w:bookmarkStart w:id="619" w:name="_Toc224103368"/>
      <w:r>
        <w:rPr>
          <w:rFonts w:hint="eastAsia" w:ascii="宋体" w:hAnsi="宋体" w:cs="仿宋"/>
          <w:b w:val="0"/>
          <w:snapToGrid w:val="0"/>
          <w:sz w:val="24"/>
          <w:szCs w:val="24"/>
        </w:rPr>
        <w:t>9.5  投诉</w:t>
      </w:r>
      <w:bookmarkEnd w:id="609"/>
      <w:bookmarkEnd w:id="610"/>
      <w:bookmarkEnd w:id="611"/>
      <w:bookmarkEnd w:id="612"/>
      <w:bookmarkEnd w:id="613"/>
      <w:bookmarkEnd w:id="614"/>
      <w:bookmarkEnd w:id="615"/>
      <w:bookmarkEnd w:id="616"/>
      <w:bookmarkEnd w:id="617"/>
      <w:bookmarkEnd w:id="618"/>
      <w:bookmarkEnd w:id="619"/>
    </w:p>
    <w:p w14:paraId="41A1E54D">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竞选人和其他利害关系人认为本次比选活动违反法律、法规和规章规定的，有权向有关行政监督部门投诉。</w:t>
      </w:r>
    </w:p>
    <w:p w14:paraId="7AE68706">
      <w:pPr>
        <w:pStyle w:val="4"/>
        <w:spacing w:before="0" w:after="156" w:afterLines="50" w:line="360" w:lineRule="auto"/>
        <w:rPr>
          <w:rFonts w:hint="eastAsia" w:ascii="宋体" w:hAnsi="宋体" w:cs="仿宋"/>
          <w:b w:val="0"/>
          <w:snapToGrid w:val="0"/>
          <w:sz w:val="24"/>
          <w:szCs w:val="24"/>
        </w:rPr>
      </w:pPr>
      <w:bookmarkStart w:id="620" w:name="_Toc277082604"/>
      <w:bookmarkStart w:id="621" w:name="_Toc224103369"/>
      <w:bookmarkStart w:id="622" w:name="_Toc174636044"/>
      <w:bookmarkStart w:id="623" w:name="_Toc31861"/>
      <w:bookmarkStart w:id="624" w:name="_Toc287620737"/>
      <w:bookmarkStart w:id="625" w:name="_Toc287607798"/>
      <w:bookmarkStart w:id="626" w:name="_Toc175920934"/>
      <w:bookmarkStart w:id="627" w:name="_Toc430530487"/>
      <w:bookmarkStart w:id="628" w:name="_Toc509218762"/>
      <w:bookmarkStart w:id="629" w:name="_Toc179644342"/>
      <w:bookmarkStart w:id="630" w:name="_Toc19095"/>
      <w:bookmarkStart w:id="631" w:name="_Toc181626274"/>
      <w:bookmarkStart w:id="632" w:name="_Toc13382"/>
      <w:bookmarkStart w:id="633" w:name="_Toc175920969"/>
      <w:bookmarkStart w:id="634" w:name="_Toc200513178"/>
      <w:bookmarkStart w:id="635" w:name="_Toc174459499"/>
      <w:bookmarkStart w:id="636" w:name="_Toc181626932"/>
      <w:r>
        <w:rPr>
          <w:rFonts w:hint="eastAsia" w:ascii="宋体" w:hAnsi="宋体" w:cs="仿宋"/>
          <w:b w:val="0"/>
          <w:snapToGrid w:val="0"/>
          <w:sz w:val="24"/>
          <w:szCs w:val="24"/>
        </w:rPr>
        <w:t>10. 需要补充的其他内容</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8D6D907">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需要补充的其他内容：见竞选人须知前附表。</w:t>
      </w:r>
    </w:p>
    <w:p w14:paraId="6550D874">
      <w:pPr>
        <w:pStyle w:val="23"/>
        <w:rPr>
          <w:snapToGrid w:val="0"/>
        </w:rPr>
      </w:pPr>
    </w:p>
    <w:p w14:paraId="698CBE2B">
      <w:pPr>
        <w:autoSpaceDE w:val="0"/>
        <w:autoSpaceDN w:val="0"/>
        <w:adjustRightInd w:val="0"/>
        <w:snapToGrid w:val="0"/>
        <w:spacing w:line="360" w:lineRule="auto"/>
        <w:jc w:val="left"/>
        <w:rPr>
          <w:rFonts w:hint="eastAsia" w:ascii="宋体" w:hAnsi="宋体"/>
          <w:b/>
          <w:snapToGrid w:val="0"/>
          <w:kern w:val="0"/>
        </w:rPr>
      </w:pPr>
      <w:r>
        <w:rPr>
          <w:rFonts w:hint="eastAsia" w:ascii="宋体" w:hAnsi="宋体"/>
          <w:b/>
          <w:snapToGrid w:val="0"/>
          <w:kern w:val="0"/>
        </w:rPr>
        <w:br w:type="page"/>
      </w:r>
      <w:r>
        <w:rPr>
          <w:rFonts w:ascii="宋体" w:hAnsi="宋体"/>
          <w:b/>
          <w:snapToGrid w:val="0"/>
          <w:kern w:val="0"/>
        </w:rPr>
        <w:t>附表</w:t>
      </w:r>
      <w:r>
        <w:rPr>
          <w:rFonts w:hint="eastAsia" w:ascii="宋体" w:hAnsi="宋体"/>
          <w:b/>
          <w:snapToGrid w:val="0"/>
          <w:kern w:val="0"/>
        </w:rPr>
        <w:t>一</w:t>
      </w:r>
      <w:r>
        <w:rPr>
          <w:rFonts w:ascii="宋体" w:hAnsi="宋体"/>
          <w:b/>
          <w:snapToGrid w:val="0"/>
          <w:kern w:val="0"/>
        </w:rPr>
        <w:t>：问题澄清通知</w:t>
      </w:r>
    </w:p>
    <w:p w14:paraId="57686444">
      <w:pPr>
        <w:autoSpaceDE w:val="0"/>
        <w:autoSpaceDN w:val="0"/>
        <w:adjustRightInd w:val="0"/>
        <w:snapToGrid w:val="0"/>
        <w:spacing w:line="360" w:lineRule="auto"/>
        <w:jc w:val="left"/>
        <w:rPr>
          <w:rFonts w:hint="eastAsia" w:ascii="宋体" w:hAnsi="宋体"/>
          <w:b/>
          <w:snapToGrid w:val="0"/>
          <w:kern w:val="0"/>
          <w:sz w:val="24"/>
        </w:rPr>
      </w:pPr>
    </w:p>
    <w:p w14:paraId="5ADB6D14">
      <w:pPr>
        <w:autoSpaceDE w:val="0"/>
        <w:autoSpaceDN w:val="0"/>
        <w:adjustRightInd w:val="0"/>
        <w:snapToGrid w:val="0"/>
        <w:spacing w:line="360" w:lineRule="auto"/>
        <w:jc w:val="center"/>
        <w:rPr>
          <w:rFonts w:hint="eastAsia" w:ascii="宋体" w:hAnsi="宋体"/>
          <w:b/>
          <w:snapToGrid w:val="0"/>
          <w:w w:val="99"/>
          <w:kern w:val="0"/>
          <w:sz w:val="32"/>
          <w:szCs w:val="32"/>
        </w:rPr>
      </w:pPr>
      <w:r>
        <w:rPr>
          <w:rFonts w:hint="eastAsia" w:ascii="宋体" w:hAnsi="宋体"/>
          <w:b/>
          <w:snapToGrid w:val="0"/>
          <w:w w:val="99"/>
          <w:kern w:val="0"/>
          <w:sz w:val="32"/>
          <w:szCs w:val="32"/>
        </w:rPr>
        <w:t>问题澄清通知</w:t>
      </w:r>
    </w:p>
    <w:p w14:paraId="2EF47315">
      <w:pPr>
        <w:autoSpaceDE w:val="0"/>
        <w:autoSpaceDN w:val="0"/>
        <w:adjustRightInd w:val="0"/>
        <w:snapToGrid w:val="0"/>
        <w:spacing w:line="360" w:lineRule="auto"/>
        <w:jc w:val="left"/>
        <w:rPr>
          <w:rFonts w:hint="eastAsia" w:ascii="宋体" w:hAnsi="宋体"/>
          <w:b/>
          <w:snapToGrid w:val="0"/>
          <w:kern w:val="0"/>
          <w:sz w:val="24"/>
        </w:rPr>
      </w:pPr>
    </w:p>
    <w:p w14:paraId="72EFA5CC">
      <w:pPr>
        <w:autoSpaceDE w:val="0"/>
        <w:autoSpaceDN w:val="0"/>
        <w:adjustRightInd w:val="0"/>
        <w:snapToGrid w:val="0"/>
        <w:spacing w:line="360" w:lineRule="auto"/>
        <w:ind w:firstLine="3255" w:firstLineChars="1550"/>
        <w:jc w:val="left"/>
        <w:rPr>
          <w:rFonts w:hint="eastAsia"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6EB873A6">
      <w:pPr>
        <w:autoSpaceDE w:val="0"/>
        <w:autoSpaceDN w:val="0"/>
        <w:adjustRightInd w:val="0"/>
        <w:snapToGrid w:val="0"/>
        <w:spacing w:line="360" w:lineRule="auto"/>
        <w:jc w:val="left"/>
        <w:rPr>
          <w:rFonts w:hint="eastAsia" w:ascii="宋体" w:hAnsi="宋体"/>
          <w:b/>
          <w:snapToGrid w:val="0"/>
          <w:kern w:val="0"/>
          <w:sz w:val="24"/>
        </w:rPr>
      </w:pPr>
    </w:p>
    <w:p w14:paraId="3539A0EA">
      <w:pPr>
        <w:autoSpaceDE w:val="0"/>
        <w:autoSpaceDN w:val="0"/>
        <w:adjustRightInd w:val="0"/>
        <w:snapToGrid w:val="0"/>
        <w:spacing w:line="360" w:lineRule="auto"/>
        <w:rPr>
          <w:rFonts w:hint="eastAsia" w:ascii="宋体" w:hAnsi="宋体"/>
          <w:snapToGrid w:val="0"/>
          <w:kern w:val="0"/>
          <w:sz w:val="28"/>
          <w:szCs w:val="28"/>
        </w:rPr>
      </w:pPr>
    </w:p>
    <w:p w14:paraId="7EDF035A">
      <w:pPr>
        <w:tabs>
          <w:tab w:val="left" w:pos="1580"/>
        </w:tabs>
        <w:autoSpaceDE w:val="0"/>
        <w:autoSpaceDN w:val="0"/>
        <w:adjustRightInd w:val="0"/>
        <w:snapToGrid w:val="0"/>
        <w:spacing w:line="480" w:lineRule="auto"/>
        <w:jc w:val="left"/>
        <w:rPr>
          <w:rFonts w:hint="eastAsia"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竞选人</w:t>
      </w:r>
      <w:r>
        <w:rPr>
          <w:rFonts w:ascii="宋体" w:hAnsi="宋体"/>
          <w:snapToGrid w:val="0"/>
          <w:kern w:val="0"/>
          <w:szCs w:val="21"/>
        </w:rPr>
        <w:t>名称）：</w:t>
      </w:r>
    </w:p>
    <w:p w14:paraId="4C908570">
      <w:pPr>
        <w:tabs>
          <w:tab w:val="left" w:pos="2320"/>
          <w:tab w:val="left" w:pos="4460"/>
        </w:tabs>
        <w:autoSpaceDE w:val="0"/>
        <w:autoSpaceDN w:val="0"/>
        <w:adjustRightInd w:val="0"/>
        <w:snapToGrid w:val="0"/>
        <w:spacing w:line="480" w:lineRule="auto"/>
        <w:ind w:firstLine="424" w:firstLineChars="101"/>
        <w:jc w:val="left"/>
        <w:rPr>
          <w:rFonts w:hint="eastAsia"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的</w:t>
      </w:r>
      <w:r>
        <w:rPr>
          <w:rFonts w:hint="eastAsia" w:ascii="宋体" w:hAnsi="宋体"/>
          <w:snapToGrid w:val="0"/>
          <w:kern w:val="0"/>
          <w:szCs w:val="21"/>
        </w:rPr>
        <w:t>评审委员会</w:t>
      </w:r>
      <w:r>
        <w:rPr>
          <w:rFonts w:ascii="宋体" w:hAnsi="宋体"/>
          <w:snapToGrid w:val="0"/>
          <w:kern w:val="0"/>
          <w:szCs w:val="21"/>
        </w:rPr>
        <w:t>，对你方的</w:t>
      </w:r>
      <w:r>
        <w:rPr>
          <w:rFonts w:hint="eastAsia" w:ascii="宋体" w:hAnsi="宋体"/>
          <w:snapToGrid w:val="0"/>
          <w:kern w:val="0"/>
          <w:szCs w:val="21"/>
        </w:rPr>
        <w:t>竞选文件</w:t>
      </w:r>
      <w:r>
        <w:rPr>
          <w:rFonts w:ascii="宋体" w:hAnsi="宋体"/>
          <w:snapToGrid w:val="0"/>
          <w:kern w:val="0"/>
          <w:szCs w:val="21"/>
        </w:rPr>
        <w:t>进行了仔细的审查，现需你方对下列问题以书面形式予以澄清：</w:t>
      </w:r>
    </w:p>
    <w:p w14:paraId="5F5BE956">
      <w:pPr>
        <w:autoSpaceDE w:val="0"/>
        <w:autoSpaceDN w:val="0"/>
        <w:adjustRightInd w:val="0"/>
        <w:snapToGrid w:val="0"/>
        <w:spacing w:line="360" w:lineRule="auto"/>
        <w:jc w:val="left"/>
        <w:rPr>
          <w:rFonts w:hint="eastAsia" w:ascii="宋体" w:hAnsi="宋体"/>
          <w:snapToGrid w:val="0"/>
          <w:kern w:val="0"/>
          <w:sz w:val="24"/>
        </w:rPr>
      </w:pPr>
    </w:p>
    <w:p w14:paraId="6413654D">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1. </w:t>
      </w:r>
    </w:p>
    <w:p w14:paraId="57222BBD">
      <w:pPr>
        <w:autoSpaceDE w:val="0"/>
        <w:autoSpaceDN w:val="0"/>
        <w:adjustRightInd w:val="0"/>
        <w:snapToGrid w:val="0"/>
        <w:spacing w:line="360" w:lineRule="auto"/>
        <w:jc w:val="left"/>
        <w:rPr>
          <w:rFonts w:hint="eastAsia" w:ascii="宋体" w:hAnsi="宋体"/>
          <w:snapToGrid w:val="0"/>
          <w:kern w:val="0"/>
          <w:szCs w:val="21"/>
        </w:rPr>
      </w:pPr>
    </w:p>
    <w:p w14:paraId="54F4D9A9">
      <w:pPr>
        <w:autoSpaceDE w:val="0"/>
        <w:autoSpaceDN w:val="0"/>
        <w:adjustRightInd w:val="0"/>
        <w:snapToGrid w:val="0"/>
        <w:spacing w:line="360" w:lineRule="auto"/>
        <w:jc w:val="left"/>
        <w:rPr>
          <w:rFonts w:hint="eastAsia" w:ascii="宋体" w:hAnsi="宋体"/>
          <w:snapToGrid w:val="0"/>
          <w:kern w:val="0"/>
          <w:szCs w:val="21"/>
        </w:rPr>
      </w:pPr>
    </w:p>
    <w:p w14:paraId="504F06BB">
      <w:pPr>
        <w:autoSpaceDE w:val="0"/>
        <w:autoSpaceDN w:val="0"/>
        <w:adjustRightInd w:val="0"/>
        <w:snapToGrid w:val="0"/>
        <w:spacing w:line="360" w:lineRule="auto"/>
        <w:jc w:val="left"/>
        <w:rPr>
          <w:rFonts w:hint="eastAsia" w:ascii="宋体" w:hAnsi="宋体"/>
          <w:snapToGrid w:val="0"/>
          <w:kern w:val="0"/>
          <w:szCs w:val="21"/>
        </w:rPr>
      </w:pPr>
    </w:p>
    <w:p w14:paraId="02C201B7">
      <w:pPr>
        <w:autoSpaceDE w:val="0"/>
        <w:autoSpaceDN w:val="0"/>
        <w:adjustRightInd w:val="0"/>
        <w:snapToGrid w:val="0"/>
        <w:spacing w:line="360" w:lineRule="auto"/>
        <w:jc w:val="left"/>
        <w:rPr>
          <w:rFonts w:hint="eastAsia" w:ascii="宋体" w:hAnsi="宋体"/>
          <w:snapToGrid w:val="0"/>
          <w:kern w:val="0"/>
          <w:szCs w:val="21"/>
        </w:rPr>
      </w:pPr>
    </w:p>
    <w:p w14:paraId="67C86B6C">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2. </w:t>
      </w:r>
    </w:p>
    <w:p w14:paraId="0ECDF2F2">
      <w:pPr>
        <w:autoSpaceDE w:val="0"/>
        <w:autoSpaceDN w:val="0"/>
        <w:adjustRightInd w:val="0"/>
        <w:snapToGrid w:val="0"/>
        <w:spacing w:line="360" w:lineRule="auto"/>
        <w:jc w:val="left"/>
        <w:rPr>
          <w:rFonts w:hint="eastAsia" w:ascii="宋体" w:hAnsi="宋体"/>
          <w:snapToGrid w:val="0"/>
          <w:kern w:val="0"/>
          <w:szCs w:val="21"/>
        </w:rPr>
      </w:pPr>
    </w:p>
    <w:p w14:paraId="0DEDD6D4">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w:t>
      </w:r>
    </w:p>
    <w:p w14:paraId="78573D3B">
      <w:pPr>
        <w:autoSpaceDE w:val="0"/>
        <w:autoSpaceDN w:val="0"/>
        <w:adjustRightInd w:val="0"/>
        <w:snapToGrid w:val="0"/>
        <w:spacing w:line="360" w:lineRule="auto"/>
        <w:jc w:val="left"/>
        <w:rPr>
          <w:rFonts w:hint="eastAsia" w:ascii="宋体" w:hAnsi="宋体"/>
          <w:snapToGrid w:val="0"/>
          <w:kern w:val="0"/>
          <w:sz w:val="14"/>
          <w:szCs w:val="14"/>
        </w:rPr>
      </w:pPr>
    </w:p>
    <w:p w14:paraId="45D505CE">
      <w:pPr>
        <w:autoSpaceDE w:val="0"/>
        <w:autoSpaceDN w:val="0"/>
        <w:adjustRightInd w:val="0"/>
        <w:snapToGrid w:val="0"/>
        <w:spacing w:line="360" w:lineRule="auto"/>
        <w:jc w:val="left"/>
        <w:rPr>
          <w:rFonts w:hint="eastAsia" w:ascii="宋体" w:hAnsi="宋体"/>
          <w:snapToGrid w:val="0"/>
          <w:kern w:val="0"/>
          <w:sz w:val="14"/>
          <w:szCs w:val="14"/>
        </w:rPr>
      </w:pPr>
    </w:p>
    <w:p w14:paraId="184C95F7">
      <w:pPr>
        <w:autoSpaceDE w:val="0"/>
        <w:autoSpaceDN w:val="0"/>
        <w:adjustRightInd w:val="0"/>
        <w:snapToGrid w:val="0"/>
        <w:spacing w:line="360" w:lineRule="auto"/>
        <w:jc w:val="left"/>
        <w:rPr>
          <w:rFonts w:hint="eastAsia" w:ascii="宋体" w:hAnsi="宋体"/>
          <w:snapToGrid w:val="0"/>
          <w:kern w:val="0"/>
          <w:sz w:val="14"/>
          <w:szCs w:val="14"/>
        </w:rPr>
      </w:pPr>
    </w:p>
    <w:p w14:paraId="4D21EE4F">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时前递交至</w:t>
      </w:r>
      <w:r>
        <w:rPr>
          <w:rFonts w:hint="eastAsia" w:ascii="宋体" w:hAnsi="宋体"/>
          <w:snapToGrid w:val="0"/>
          <w:kern w:val="0"/>
          <w:szCs w:val="21"/>
          <w:u w:val="single"/>
        </w:rPr>
        <w:t xml:space="preserve">                    </w:t>
      </w:r>
      <w:r>
        <w:rPr>
          <w:rFonts w:ascii="宋体" w:hAnsi="宋体"/>
          <w:snapToGrid w:val="0"/>
          <w:kern w:val="0"/>
          <w:szCs w:val="21"/>
        </w:rPr>
        <w:t>（详细地址）或传真至</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（传真号码）。采用传真方式的，应在</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时前将原件递交至</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（详细地址）。</w:t>
      </w:r>
    </w:p>
    <w:p w14:paraId="29C034C7">
      <w:pPr>
        <w:autoSpaceDE w:val="0"/>
        <w:autoSpaceDN w:val="0"/>
        <w:adjustRightInd w:val="0"/>
        <w:snapToGrid w:val="0"/>
        <w:spacing w:line="360" w:lineRule="auto"/>
        <w:jc w:val="left"/>
        <w:rPr>
          <w:rFonts w:hint="eastAsia" w:ascii="宋体" w:hAnsi="宋体"/>
          <w:snapToGrid w:val="0"/>
          <w:kern w:val="0"/>
          <w:sz w:val="20"/>
          <w:szCs w:val="20"/>
        </w:rPr>
      </w:pPr>
    </w:p>
    <w:p w14:paraId="4DB5753B">
      <w:pPr>
        <w:autoSpaceDE w:val="0"/>
        <w:autoSpaceDN w:val="0"/>
        <w:adjustRightInd w:val="0"/>
        <w:snapToGrid w:val="0"/>
        <w:spacing w:line="360" w:lineRule="auto"/>
        <w:jc w:val="left"/>
        <w:rPr>
          <w:rFonts w:hint="eastAsia" w:ascii="宋体" w:hAnsi="宋体"/>
          <w:snapToGrid w:val="0"/>
          <w:kern w:val="0"/>
          <w:sz w:val="28"/>
          <w:szCs w:val="28"/>
        </w:rPr>
      </w:pPr>
    </w:p>
    <w:p w14:paraId="455F4874">
      <w:pPr>
        <w:tabs>
          <w:tab w:val="left" w:pos="6400"/>
        </w:tabs>
        <w:autoSpaceDE w:val="0"/>
        <w:autoSpaceDN w:val="0"/>
        <w:adjustRightInd w:val="0"/>
        <w:snapToGrid w:val="0"/>
        <w:spacing w:line="360" w:lineRule="auto"/>
        <w:jc w:val="right"/>
        <w:rPr>
          <w:rFonts w:hint="eastAsia" w:ascii="宋体" w:hAnsi="宋体"/>
          <w:snapToGrid w:val="0"/>
          <w:kern w:val="0"/>
          <w:sz w:val="24"/>
        </w:rPr>
      </w:pPr>
      <w:r>
        <w:rPr>
          <w:rFonts w:ascii="宋体" w:hAnsi="宋体"/>
          <w:snapToGrid w:val="0"/>
          <w:kern w:val="0"/>
          <w:szCs w:val="21"/>
        </w:rPr>
        <w:t xml:space="preserve">                             </w:t>
      </w:r>
      <w:r>
        <w:rPr>
          <w:rFonts w:hint="eastAsia" w:ascii="宋体" w:hAnsi="宋体"/>
          <w:snapToGrid w:val="0"/>
          <w:kern w:val="0"/>
          <w:szCs w:val="21"/>
        </w:rPr>
        <w:t>评审委员会</w:t>
      </w:r>
      <w:r>
        <w:rPr>
          <w:rFonts w:ascii="宋体" w:hAnsi="宋体"/>
          <w:snapToGrid w:val="0"/>
          <w:kern w:val="0"/>
          <w:szCs w:val="21"/>
        </w:rPr>
        <w:t>：</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r>
        <w:rPr>
          <w:rFonts w:ascii="宋体" w:hAnsi="宋体"/>
          <w:snapToGrid w:val="0"/>
          <w:kern w:val="0"/>
          <w:sz w:val="24"/>
        </w:rPr>
        <w:t xml:space="preserve"> </w:t>
      </w:r>
    </w:p>
    <w:p w14:paraId="736B52D1">
      <w:pPr>
        <w:autoSpaceDE w:val="0"/>
        <w:autoSpaceDN w:val="0"/>
        <w:adjustRightInd w:val="0"/>
        <w:snapToGrid w:val="0"/>
        <w:spacing w:line="360" w:lineRule="auto"/>
        <w:ind w:firstLine="315" w:firstLineChars="150"/>
        <w:jc w:val="right"/>
        <w:rPr>
          <w:rFonts w:hint="eastAsia" w:ascii="宋体" w:hAnsi="宋体"/>
          <w:snapToGrid w:val="0"/>
          <w:kern w:val="0"/>
          <w:szCs w:val="21"/>
        </w:rPr>
      </w:pPr>
      <w:r>
        <w:rPr>
          <w:rFonts w:ascii="宋体" w:hAnsi="宋体"/>
          <w:snapToGrid w:val="0"/>
          <w:kern w:val="0"/>
          <w:szCs w:val="21"/>
        </w:rPr>
        <w:t xml:space="preserve">                            </w:t>
      </w:r>
    </w:p>
    <w:p w14:paraId="77552378">
      <w:pPr>
        <w:wordWrap w:val="0"/>
        <w:autoSpaceDE w:val="0"/>
        <w:autoSpaceDN w:val="0"/>
        <w:adjustRightInd w:val="0"/>
        <w:snapToGrid w:val="0"/>
        <w:spacing w:line="360" w:lineRule="auto"/>
        <w:ind w:firstLine="850" w:firstLineChars="405"/>
        <w:jc w:val="right"/>
        <w:rPr>
          <w:rFonts w:hint="eastAsia"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183EA310">
      <w:pPr>
        <w:autoSpaceDE w:val="0"/>
        <w:autoSpaceDN w:val="0"/>
        <w:adjustRightInd w:val="0"/>
        <w:snapToGrid w:val="0"/>
        <w:spacing w:line="360" w:lineRule="auto"/>
        <w:jc w:val="left"/>
        <w:rPr>
          <w:rFonts w:hint="eastAsia"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：问题的澄清</w:t>
      </w:r>
    </w:p>
    <w:p w14:paraId="36026904">
      <w:pPr>
        <w:autoSpaceDE w:val="0"/>
        <w:autoSpaceDN w:val="0"/>
        <w:adjustRightInd w:val="0"/>
        <w:snapToGrid w:val="0"/>
        <w:spacing w:line="360" w:lineRule="auto"/>
        <w:jc w:val="left"/>
        <w:rPr>
          <w:rFonts w:hint="eastAsia" w:ascii="宋体" w:hAnsi="宋体"/>
          <w:b/>
          <w:snapToGrid w:val="0"/>
          <w:kern w:val="0"/>
          <w:sz w:val="10"/>
          <w:szCs w:val="10"/>
        </w:rPr>
      </w:pPr>
    </w:p>
    <w:p w14:paraId="15838DE1">
      <w:pPr>
        <w:autoSpaceDE w:val="0"/>
        <w:autoSpaceDN w:val="0"/>
        <w:adjustRightInd w:val="0"/>
        <w:snapToGrid w:val="0"/>
        <w:spacing w:line="360" w:lineRule="auto"/>
        <w:jc w:val="center"/>
        <w:rPr>
          <w:rFonts w:hint="eastAsia" w:ascii="宋体" w:hAnsi="宋体"/>
          <w:b/>
          <w:snapToGrid w:val="0"/>
          <w:kern w:val="0"/>
          <w:sz w:val="32"/>
          <w:szCs w:val="32"/>
        </w:rPr>
      </w:pPr>
      <w:r>
        <w:rPr>
          <w:rFonts w:ascii="宋体" w:hAnsi="宋体"/>
          <w:b/>
          <w:snapToGrid w:val="0"/>
          <w:w w:val="99"/>
          <w:kern w:val="0"/>
          <w:sz w:val="32"/>
          <w:szCs w:val="32"/>
        </w:rPr>
        <w:t>问题的澄清</w:t>
      </w:r>
    </w:p>
    <w:p w14:paraId="72E6B8E4">
      <w:pPr>
        <w:autoSpaceDE w:val="0"/>
        <w:autoSpaceDN w:val="0"/>
        <w:adjustRightInd w:val="0"/>
        <w:snapToGrid w:val="0"/>
        <w:spacing w:line="360" w:lineRule="auto"/>
        <w:ind w:firstLine="3255" w:firstLineChars="1550"/>
        <w:jc w:val="left"/>
        <w:rPr>
          <w:rFonts w:hint="eastAsia" w:ascii="宋体" w:hAnsi="宋体"/>
          <w:snapToGrid w:val="0"/>
          <w:kern w:val="0"/>
          <w:szCs w:val="21"/>
        </w:rPr>
      </w:pPr>
    </w:p>
    <w:p w14:paraId="184FFFF6">
      <w:pPr>
        <w:autoSpaceDE w:val="0"/>
        <w:autoSpaceDN w:val="0"/>
        <w:adjustRightInd w:val="0"/>
        <w:snapToGrid w:val="0"/>
        <w:spacing w:line="360" w:lineRule="auto"/>
        <w:ind w:firstLine="3255" w:firstLineChars="1550"/>
        <w:jc w:val="left"/>
        <w:rPr>
          <w:rFonts w:hint="eastAsia"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501B4108">
      <w:pPr>
        <w:autoSpaceDE w:val="0"/>
        <w:autoSpaceDN w:val="0"/>
        <w:adjustRightInd w:val="0"/>
        <w:snapToGrid w:val="0"/>
        <w:spacing w:line="360" w:lineRule="auto"/>
        <w:ind w:firstLine="3150" w:firstLineChars="1500"/>
        <w:rPr>
          <w:rFonts w:hint="eastAsia" w:ascii="宋体" w:hAnsi="宋体"/>
          <w:snapToGrid w:val="0"/>
          <w:kern w:val="0"/>
          <w:szCs w:val="21"/>
        </w:rPr>
      </w:pPr>
    </w:p>
    <w:p w14:paraId="409AA061">
      <w:pPr>
        <w:autoSpaceDE w:val="0"/>
        <w:autoSpaceDN w:val="0"/>
        <w:adjustRightInd w:val="0"/>
        <w:snapToGrid w:val="0"/>
        <w:spacing w:line="360" w:lineRule="auto"/>
        <w:ind w:firstLine="3150" w:firstLineChars="1500"/>
        <w:rPr>
          <w:rFonts w:hint="eastAsia" w:ascii="宋体" w:hAnsi="宋体"/>
          <w:snapToGrid w:val="0"/>
          <w:kern w:val="0"/>
          <w:szCs w:val="21"/>
        </w:rPr>
      </w:pPr>
    </w:p>
    <w:p w14:paraId="0707863A">
      <w:pPr>
        <w:tabs>
          <w:tab w:val="left" w:pos="2415"/>
          <w:tab w:val="left" w:pos="3480"/>
          <w:tab w:val="left" w:pos="4200"/>
        </w:tabs>
        <w:autoSpaceDE w:val="0"/>
        <w:autoSpaceDN w:val="0"/>
        <w:adjustRightInd w:val="0"/>
        <w:snapToGrid w:val="0"/>
        <w:spacing w:line="480" w:lineRule="auto"/>
        <w:ind w:firstLine="840" w:firstLineChars="200"/>
        <w:jc w:val="left"/>
        <w:rPr>
          <w:rFonts w:hint="eastAsia"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single"/>
        </w:rPr>
        <w:t>（项目名称）</w:t>
      </w:r>
      <w:r>
        <w:rPr>
          <w:rFonts w:hint="eastAsia" w:ascii="宋体" w:hAnsi="宋体"/>
          <w:snapToGrid w:val="0"/>
          <w:kern w:val="0"/>
          <w:szCs w:val="21"/>
        </w:rPr>
        <w:t>评审委员会</w:t>
      </w:r>
      <w:r>
        <w:rPr>
          <w:rFonts w:ascii="宋体" w:hAnsi="宋体"/>
          <w:snapToGrid w:val="0"/>
          <w:kern w:val="0"/>
          <w:szCs w:val="21"/>
        </w:rPr>
        <w:t>：</w:t>
      </w:r>
    </w:p>
    <w:p w14:paraId="46B52281">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2DF99AFC">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kern w:val="0"/>
          <w:szCs w:val="21"/>
        </w:rPr>
      </w:pPr>
    </w:p>
    <w:p w14:paraId="5BBB9381">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kern w:val="0"/>
          <w:szCs w:val="21"/>
        </w:rPr>
      </w:pPr>
    </w:p>
    <w:p w14:paraId="4616B386">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1. </w:t>
      </w:r>
    </w:p>
    <w:p w14:paraId="6FF1F897">
      <w:pPr>
        <w:autoSpaceDE w:val="0"/>
        <w:autoSpaceDN w:val="0"/>
        <w:adjustRightInd w:val="0"/>
        <w:snapToGrid w:val="0"/>
        <w:spacing w:line="360" w:lineRule="auto"/>
        <w:jc w:val="left"/>
        <w:rPr>
          <w:rFonts w:hint="eastAsia" w:ascii="宋体" w:hAnsi="宋体"/>
          <w:snapToGrid w:val="0"/>
          <w:kern w:val="0"/>
          <w:sz w:val="18"/>
          <w:szCs w:val="18"/>
        </w:rPr>
      </w:pPr>
    </w:p>
    <w:p w14:paraId="30DA9BB0">
      <w:pPr>
        <w:autoSpaceDE w:val="0"/>
        <w:autoSpaceDN w:val="0"/>
        <w:adjustRightInd w:val="0"/>
        <w:snapToGrid w:val="0"/>
        <w:spacing w:line="360" w:lineRule="auto"/>
        <w:jc w:val="left"/>
        <w:rPr>
          <w:rFonts w:hint="eastAsia" w:ascii="宋体" w:hAnsi="宋体"/>
          <w:snapToGrid w:val="0"/>
          <w:kern w:val="0"/>
          <w:sz w:val="18"/>
          <w:szCs w:val="18"/>
        </w:rPr>
      </w:pPr>
    </w:p>
    <w:p w14:paraId="4D9378E4">
      <w:pPr>
        <w:autoSpaceDE w:val="0"/>
        <w:autoSpaceDN w:val="0"/>
        <w:adjustRightInd w:val="0"/>
        <w:snapToGrid w:val="0"/>
        <w:spacing w:line="360" w:lineRule="auto"/>
        <w:jc w:val="left"/>
        <w:rPr>
          <w:rFonts w:hint="eastAsia" w:ascii="宋体" w:hAnsi="宋体"/>
          <w:snapToGrid w:val="0"/>
          <w:kern w:val="0"/>
          <w:sz w:val="18"/>
          <w:szCs w:val="18"/>
        </w:rPr>
      </w:pPr>
    </w:p>
    <w:p w14:paraId="2D91A762">
      <w:pPr>
        <w:autoSpaceDE w:val="0"/>
        <w:autoSpaceDN w:val="0"/>
        <w:adjustRightInd w:val="0"/>
        <w:snapToGrid w:val="0"/>
        <w:spacing w:line="360" w:lineRule="auto"/>
        <w:jc w:val="left"/>
        <w:rPr>
          <w:rFonts w:hint="eastAsia" w:ascii="宋体" w:hAnsi="宋体"/>
          <w:snapToGrid w:val="0"/>
          <w:kern w:val="0"/>
          <w:sz w:val="18"/>
          <w:szCs w:val="18"/>
        </w:rPr>
      </w:pPr>
    </w:p>
    <w:p w14:paraId="47CF2B4D">
      <w:pPr>
        <w:autoSpaceDE w:val="0"/>
        <w:autoSpaceDN w:val="0"/>
        <w:adjustRightInd w:val="0"/>
        <w:snapToGrid w:val="0"/>
        <w:spacing w:line="360" w:lineRule="auto"/>
        <w:jc w:val="left"/>
        <w:rPr>
          <w:rFonts w:hint="eastAsia" w:ascii="宋体" w:hAnsi="宋体"/>
          <w:snapToGrid w:val="0"/>
          <w:kern w:val="0"/>
          <w:sz w:val="18"/>
          <w:szCs w:val="18"/>
        </w:rPr>
      </w:pPr>
    </w:p>
    <w:p w14:paraId="71BCF47F">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2. </w:t>
      </w:r>
    </w:p>
    <w:p w14:paraId="78FCAFEF">
      <w:pPr>
        <w:autoSpaceDE w:val="0"/>
        <w:autoSpaceDN w:val="0"/>
        <w:adjustRightInd w:val="0"/>
        <w:snapToGrid w:val="0"/>
        <w:spacing w:line="360" w:lineRule="auto"/>
        <w:jc w:val="left"/>
        <w:rPr>
          <w:rFonts w:hint="eastAsia" w:ascii="宋体" w:hAnsi="宋体"/>
          <w:snapToGrid w:val="0"/>
          <w:kern w:val="0"/>
          <w:sz w:val="20"/>
          <w:szCs w:val="20"/>
        </w:rPr>
      </w:pPr>
    </w:p>
    <w:p w14:paraId="10F65126">
      <w:pPr>
        <w:autoSpaceDE w:val="0"/>
        <w:autoSpaceDN w:val="0"/>
        <w:adjustRightInd w:val="0"/>
        <w:snapToGrid w:val="0"/>
        <w:spacing w:line="360" w:lineRule="auto"/>
        <w:jc w:val="left"/>
        <w:rPr>
          <w:rFonts w:hint="eastAsia" w:ascii="宋体" w:hAnsi="宋体"/>
          <w:snapToGrid w:val="0"/>
          <w:kern w:val="0"/>
          <w:sz w:val="20"/>
          <w:szCs w:val="20"/>
        </w:rPr>
      </w:pPr>
    </w:p>
    <w:p w14:paraId="5493D2E1">
      <w:pPr>
        <w:autoSpaceDE w:val="0"/>
        <w:autoSpaceDN w:val="0"/>
        <w:adjustRightInd w:val="0"/>
        <w:snapToGrid w:val="0"/>
        <w:spacing w:line="360" w:lineRule="auto"/>
        <w:jc w:val="left"/>
        <w:rPr>
          <w:rFonts w:hint="eastAsia" w:ascii="宋体" w:hAnsi="宋体"/>
          <w:snapToGrid w:val="0"/>
          <w:kern w:val="0"/>
          <w:sz w:val="20"/>
          <w:szCs w:val="20"/>
        </w:rPr>
      </w:pPr>
    </w:p>
    <w:p w14:paraId="460DE4CB">
      <w:pPr>
        <w:autoSpaceDE w:val="0"/>
        <w:autoSpaceDN w:val="0"/>
        <w:adjustRightInd w:val="0"/>
        <w:snapToGrid w:val="0"/>
        <w:spacing w:line="360" w:lineRule="auto"/>
        <w:jc w:val="left"/>
        <w:rPr>
          <w:rFonts w:hint="eastAsia" w:ascii="宋体" w:hAnsi="宋体"/>
          <w:snapToGrid w:val="0"/>
          <w:kern w:val="0"/>
          <w:sz w:val="20"/>
          <w:szCs w:val="20"/>
        </w:rPr>
      </w:pPr>
    </w:p>
    <w:p w14:paraId="1E0F1E88">
      <w:pPr>
        <w:autoSpaceDE w:val="0"/>
        <w:autoSpaceDN w:val="0"/>
        <w:adjustRightInd w:val="0"/>
        <w:snapToGrid w:val="0"/>
        <w:spacing w:line="360" w:lineRule="auto"/>
        <w:jc w:val="left"/>
        <w:rPr>
          <w:rFonts w:hint="eastAsia" w:ascii="宋体" w:hAnsi="宋体"/>
          <w:snapToGrid w:val="0"/>
          <w:kern w:val="0"/>
          <w:sz w:val="22"/>
          <w:szCs w:val="22"/>
        </w:rPr>
      </w:pPr>
    </w:p>
    <w:p w14:paraId="451318A1">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w:t>
      </w:r>
    </w:p>
    <w:p w14:paraId="08A4AE6F">
      <w:pPr>
        <w:autoSpaceDE w:val="0"/>
        <w:autoSpaceDN w:val="0"/>
        <w:adjustRightInd w:val="0"/>
        <w:snapToGrid w:val="0"/>
        <w:spacing w:line="360" w:lineRule="auto"/>
        <w:jc w:val="left"/>
        <w:rPr>
          <w:rFonts w:hint="eastAsia" w:ascii="宋体" w:hAnsi="宋体"/>
          <w:snapToGrid w:val="0"/>
          <w:kern w:val="0"/>
          <w:sz w:val="18"/>
          <w:szCs w:val="18"/>
        </w:rPr>
      </w:pPr>
    </w:p>
    <w:p w14:paraId="30C498EA">
      <w:pPr>
        <w:autoSpaceDE w:val="0"/>
        <w:autoSpaceDN w:val="0"/>
        <w:adjustRightInd w:val="0"/>
        <w:snapToGrid w:val="0"/>
        <w:spacing w:line="360" w:lineRule="auto"/>
        <w:jc w:val="left"/>
        <w:rPr>
          <w:rFonts w:hint="eastAsia" w:ascii="宋体" w:hAnsi="宋体"/>
          <w:snapToGrid w:val="0"/>
          <w:kern w:val="0"/>
          <w:sz w:val="20"/>
          <w:szCs w:val="20"/>
        </w:rPr>
      </w:pPr>
    </w:p>
    <w:p w14:paraId="012B1284">
      <w:pPr>
        <w:autoSpaceDE w:val="0"/>
        <w:autoSpaceDN w:val="0"/>
        <w:adjustRightInd w:val="0"/>
        <w:snapToGrid w:val="0"/>
        <w:spacing w:line="360" w:lineRule="auto"/>
        <w:jc w:val="left"/>
        <w:rPr>
          <w:rFonts w:hint="eastAsia" w:ascii="宋体" w:hAnsi="宋体"/>
          <w:snapToGrid w:val="0"/>
          <w:kern w:val="0"/>
          <w:sz w:val="20"/>
          <w:szCs w:val="20"/>
        </w:rPr>
      </w:pPr>
    </w:p>
    <w:p w14:paraId="6C720CB2">
      <w:pPr>
        <w:autoSpaceDE w:val="0"/>
        <w:autoSpaceDN w:val="0"/>
        <w:adjustRightInd w:val="0"/>
        <w:snapToGrid w:val="0"/>
        <w:spacing w:line="360" w:lineRule="auto"/>
        <w:jc w:val="left"/>
        <w:rPr>
          <w:rFonts w:hint="eastAsia" w:ascii="宋体" w:hAnsi="宋体"/>
          <w:snapToGrid w:val="0"/>
          <w:kern w:val="0"/>
          <w:sz w:val="20"/>
          <w:szCs w:val="20"/>
        </w:rPr>
      </w:pPr>
    </w:p>
    <w:p w14:paraId="6E5DF216">
      <w:pPr>
        <w:autoSpaceDE w:val="0"/>
        <w:autoSpaceDN w:val="0"/>
        <w:adjustRightInd w:val="0"/>
        <w:snapToGrid w:val="0"/>
        <w:spacing w:line="360" w:lineRule="auto"/>
        <w:jc w:val="left"/>
        <w:rPr>
          <w:rFonts w:hint="eastAsia" w:ascii="宋体" w:hAnsi="宋体"/>
          <w:snapToGrid w:val="0"/>
          <w:kern w:val="0"/>
          <w:sz w:val="20"/>
          <w:szCs w:val="20"/>
        </w:rPr>
      </w:pPr>
    </w:p>
    <w:p w14:paraId="251D3140">
      <w:pPr>
        <w:tabs>
          <w:tab w:val="left" w:pos="7035"/>
        </w:tabs>
        <w:autoSpaceDE w:val="0"/>
        <w:autoSpaceDN w:val="0"/>
        <w:adjustRightInd w:val="0"/>
        <w:snapToGrid w:val="0"/>
        <w:spacing w:line="480" w:lineRule="auto"/>
        <w:ind w:firstLine="2551" w:firstLineChars="1215"/>
        <w:jc w:val="right"/>
        <w:rPr>
          <w:rFonts w:hint="eastAsia" w:ascii="宋体" w:hAnsi="宋体"/>
          <w:snapToGrid w:val="0"/>
          <w:kern w:val="0"/>
          <w:szCs w:val="21"/>
        </w:rPr>
      </w:pPr>
      <w:r>
        <w:rPr>
          <w:rFonts w:hint="eastAsia" w:ascii="宋体" w:hAnsi="宋体"/>
          <w:snapToGrid w:val="0"/>
          <w:kern w:val="0"/>
          <w:szCs w:val="21"/>
        </w:rPr>
        <w:t>竞选人</w:t>
      </w:r>
      <w:r>
        <w:rPr>
          <w:rFonts w:ascii="宋体" w:hAnsi="宋体"/>
          <w:snapToGrid w:val="0"/>
          <w:kern w:val="0"/>
          <w:szCs w:val="21"/>
        </w:rPr>
        <w:t>：</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（盖</w:t>
      </w:r>
      <w:r>
        <w:rPr>
          <w:rFonts w:hint="eastAsia" w:ascii="宋体" w:hAnsi="宋体"/>
          <w:snapToGrid w:val="0"/>
          <w:kern w:val="0"/>
          <w:szCs w:val="21"/>
        </w:rPr>
        <w:t>单位公章</w:t>
      </w:r>
      <w:r>
        <w:rPr>
          <w:rFonts w:ascii="宋体" w:hAnsi="宋体"/>
          <w:snapToGrid w:val="0"/>
          <w:kern w:val="0"/>
          <w:szCs w:val="21"/>
        </w:rPr>
        <w:t xml:space="preserve">） </w:t>
      </w:r>
    </w:p>
    <w:p w14:paraId="6BF73672">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05F09739">
      <w:pPr>
        <w:autoSpaceDE w:val="0"/>
        <w:autoSpaceDN w:val="0"/>
        <w:adjustRightInd w:val="0"/>
        <w:snapToGrid w:val="0"/>
        <w:spacing w:line="360" w:lineRule="auto"/>
        <w:jc w:val="right"/>
        <w:rPr>
          <w:rFonts w:hint="eastAsia" w:ascii="宋体" w:hAnsi="宋体"/>
          <w:snapToGrid w:val="0"/>
          <w:kern w:val="0"/>
          <w:sz w:val="20"/>
          <w:szCs w:val="20"/>
        </w:rPr>
      </w:pPr>
    </w:p>
    <w:p w14:paraId="79E61715">
      <w:pPr>
        <w:wordWrap w:val="0"/>
        <w:autoSpaceDE w:val="0"/>
        <w:autoSpaceDN w:val="0"/>
        <w:adjustRightInd w:val="0"/>
        <w:snapToGrid w:val="0"/>
        <w:spacing w:line="360" w:lineRule="auto"/>
        <w:ind w:firstLine="315" w:firstLineChars="150"/>
        <w:jc w:val="right"/>
        <w:rPr>
          <w:rFonts w:hint="eastAsia"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0B10755F">
      <w:pPr>
        <w:sectPr>
          <w:pgSz w:w="11906" w:h="16838"/>
          <w:pgMar w:top="1440" w:right="1080" w:bottom="1440" w:left="1080" w:header="851" w:footer="992" w:gutter="0"/>
          <w:cols w:space="720" w:num="1"/>
          <w:docGrid w:type="lines" w:linePitch="312" w:charSpace="0"/>
        </w:sectPr>
      </w:pPr>
    </w:p>
    <w:p w14:paraId="117370FE">
      <w:pPr>
        <w:pStyle w:val="3"/>
        <w:spacing w:line="360" w:lineRule="auto"/>
        <w:ind w:firstLine="883" w:firstLineChars="200"/>
        <w:jc w:val="center"/>
        <w:rPr>
          <w:rFonts w:hint="eastAsia" w:ascii="宋体" w:hAnsi="宋体"/>
        </w:rPr>
      </w:pPr>
      <w:bookmarkStart w:id="637" w:name="招标文件03章02评标办法综合评估法00"/>
      <w:bookmarkEnd w:id="637"/>
      <w:bookmarkStart w:id="638" w:name="招标文件03章02评标办法综合评估法"/>
      <w:bookmarkEnd w:id="638"/>
      <w:bookmarkStart w:id="639" w:name="_Toc5770"/>
      <w:bookmarkStart w:id="640" w:name="_Toc6128"/>
      <w:bookmarkStart w:id="641" w:name="_Toc13564"/>
      <w:bookmarkStart w:id="642" w:name="_Toc509218774"/>
      <w:bookmarkStart w:id="643" w:name="_Toc181626933"/>
      <w:bookmarkStart w:id="644" w:name="_Toc287620751"/>
      <w:bookmarkStart w:id="645" w:name="_Toc200513198"/>
      <w:bookmarkStart w:id="646" w:name="_Toc224103384"/>
      <w:bookmarkStart w:id="647" w:name="_Toc430530500"/>
      <w:bookmarkStart w:id="648" w:name="_Toc277082618"/>
      <w:bookmarkStart w:id="649" w:name="_Toc287607812"/>
      <w:bookmarkStart w:id="650" w:name="_Toc509218785"/>
      <w:bookmarkStart w:id="651" w:name="_Toc430530509"/>
      <w:bookmarkStart w:id="652" w:name="_Toc8427"/>
      <w:r>
        <w:rPr>
          <w:rFonts w:ascii="宋体" w:hAnsi="宋体"/>
        </w:rPr>
        <w:t xml:space="preserve">第三章 </w:t>
      </w:r>
      <w:r>
        <w:rPr>
          <w:rFonts w:hint="eastAsia" w:ascii="宋体" w:hAnsi="宋体"/>
        </w:rPr>
        <w:t xml:space="preserve"> </w:t>
      </w:r>
      <w:r>
        <w:rPr>
          <w:rFonts w:ascii="宋体" w:hAnsi="宋体"/>
        </w:rPr>
        <w:t>评标办法</w:t>
      </w:r>
      <w:bookmarkEnd w:id="639"/>
      <w:bookmarkEnd w:id="640"/>
      <w:bookmarkEnd w:id="641"/>
      <w:bookmarkEnd w:id="642"/>
      <w:bookmarkStart w:id="653" w:name="_Toc224103383"/>
      <w:bookmarkStart w:id="654" w:name="_Toc287607811"/>
      <w:bookmarkStart w:id="655" w:name="_Toc287620750"/>
      <w:bookmarkStart w:id="656" w:name="_Toc277082617"/>
      <w:bookmarkStart w:id="657" w:name="_Toc430530499"/>
      <w:r>
        <w:rPr>
          <w:rFonts w:ascii="宋体" w:hAnsi="宋体"/>
        </w:rPr>
        <w:t>（</w:t>
      </w:r>
      <w:r>
        <w:rPr>
          <w:rFonts w:hint="eastAsia" w:ascii="宋体" w:hAnsi="宋体"/>
          <w:snapToGrid w:val="0"/>
          <w:kern w:val="0"/>
        </w:rPr>
        <w:t>经评审的最低</w:t>
      </w:r>
      <w:r>
        <w:rPr>
          <w:rFonts w:hint="eastAsia" w:ascii="宋体" w:hAnsi="宋体"/>
          <w:snapToGrid w:val="0"/>
          <w:kern w:val="0"/>
          <w:lang w:eastAsia="zh-CN"/>
        </w:rPr>
        <w:t>投标</w:t>
      </w:r>
      <w:r>
        <w:rPr>
          <w:rFonts w:hint="eastAsia" w:ascii="宋体" w:hAnsi="宋体"/>
          <w:snapToGrid w:val="0"/>
          <w:kern w:val="0"/>
        </w:rPr>
        <w:t>价法</w:t>
      </w:r>
      <w:r>
        <w:rPr>
          <w:rFonts w:ascii="宋体" w:hAnsi="宋体"/>
        </w:rPr>
        <w:t>）</w:t>
      </w:r>
      <w:bookmarkEnd w:id="643"/>
    </w:p>
    <w:p w14:paraId="14C26B96">
      <w:pPr>
        <w:pStyle w:val="4"/>
        <w:spacing w:before="100" w:after="100" w:line="360" w:lineRule="auto"/>
        <w:rPr>
          <w:rFonts w:hint="eastAsia" w:ascii="宋体" w:hAnsi="宋体"/>
        </w:rPr>
      </w:pPr>
      <w:bookmarkStart w:id="658" w:name="_Toc8905"/>
      <w:bookmarkStart w:id="659" w:name="_Toc181626934"/>
      <w:bookmarkStart w:id="660" w:name="_Toc32566"/>
      <w:bookmarkStart w:id="661" w:name="_Toc14663"/>
      <w:bookmarkStart w:id="662" w:name="_Toc509218775"/>
      <w:bookmarkStart w:id="663" w:name="_Toc175920971"/>
      <w:bookmarkStart w:id="664" w:name="_Toc175920936"/>
      <w:r>
        <w:rPr>
          <w:rFonts w:hint="eastAsia" w:ascii="宋体" w:hAnsi="宋体"/>
        </w:rPr>
        <w:t>评标办法前附表</w:t>
      </w:r>
      <w:bookmarkEnd w:id="658"/>
      <w:bookmarkEnd w:id="659"/>
      <w:bookmarkEnd w:id="660"/>
      <w:bookmarkEnd w:id="661"/>
      <w:bookmarkEnd w:id="662"/>
      <w:bookmarkEnd w:id="663"/>
      <w:bookmarkEnd w:id="664"/>
    </w:p>
    <w:p w14:paraId="01A60C86">
      <w:pPr>
        <w:spacing w:line="360" w:lineRule="auto"/>
        <w:ind w:firstLine="420" w:firstLineChars="200"/>
        <w:rPr>
          <w:szCs w:val="21"/>
        </w:rPr>
      </w:pPr>
      <w:r>
        <w:rPr>
          <w:szCs w:val="21"/>
        </w:rPr>
        <w:t>评标办法中的评审内容必须和</w:t>
      </w:r>
      <w:r>
        <w:rPr>
          <w:rFonts w:hint="eastAsia"/>
          <w:szCs w:val="21"/>
        </w:rPr>
        <w:t>竞选人</w:t>
      </w:r>
      <w:r>
        <w:rPr>
          <w:szCs w:val="21"/>
        </w:rPr>
        <w:t>须知中的对应内容一致，若</w:t>
      </w:r>
      <w:r>
        <w:rPr>
          <w:rFonts w:hint="eastAsia"/>
          <w:szCs w:val="21"/>
        </w:rPr>
        <w:t>竞选人</w:t>
      </w:r>
      <w:r>
        <w:rPr>
          <w:szCs w:val="21"/>
        </w:rPr>
        <w:t>须知中未作要求的内容，不得列入评标办法作为评定依据。</w:t>
      </w:r>
    </w:p>
    <w:bookmarkEnd w:id="653"/>
    <w:bookmarkEnd w:id="654"/>
    <w:bookmarkEnd w:id="655"/>
    <w:bookmarkEnd w:id="656"/>
    <w:bookmarkEnd w:id="657"/>
    <w:tbl>
      <w:tblPr>
        <w:tblStyle w:val="45"/>
        <w:tblW w:w="947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567"/>
        <w:gridCol w:w="568"/>
        <w:gridCol w:w="1991"/>
        <w:gridCol w:w="5493"/>
      </w:tblGrid>
      <w:tr w14:paraId="7D0F6D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5A3B188A">
            <w:pPr>
              <w:spacing w:line="360" w:lineRule="auto"/>
              <w:ind w:firstLine="422" w:firstLineChars="200"/>
              <w:jc w:val="center"/>
              <w:rPr>
                <w:rFonts w:hint="eastAsia" w:ascii="宋体" w:hAnsi="宋体" w:cs="仿宋"/>
                <w:b/>
                <w:bCs/>
                <w:kern w:val="0"/>
                <w:szCs w:val="21"/>
              </w:rPr>
            </w:pPr>
            <w:bookmarkStart w:id="665" w:name="_Toc509218776"/>
            <w:r>
              <w:rPr>
                <w:rFonts w:hint="eastAsia" w:ascii="宋体" w:hAnsi="宋体" w:cs="仿宋"/>
                <w:b/>
                <w:bCs/>
                <w:kern w:val="0"/>
                <w:szCs w:val="21"/>
              </w:rPr>
              <w:t>条款号</w:t>
            </w:r>
          </w:p>
        </w:tc>
        <w:tc>
          <w:tcPr>
            <w:tcW w:w="2559" w:type="dxa"/>
            <w:gridSpan w:val="2"/>
            <w:vAlign w:val="center"/>
          </w:tcPr>
          <w:p w14:paraId="28295840">
            <w:pPr>
              <w:spacing w:line="360" w:lineRule="auto"/>
              <w:ind w:firstLine="422" w:firstLineChars="200"/>
              <w:jc w:val="center"/>
              <w:rPr>
                <w:rFonts w:hint="eastAsia" w:ascii="宋体" w:hAnsi="宋体" w:cs="仿宋"/>
                <w:b/>
                <w:bCs/>
                <w:kern w:val="0"/>
                <w:szCs w:val="21"/>
              </w:rPr>
            </w:pPr>
            <w:r>
              <w:rPr>
                <w:rFonts w:hint="eastAsia" w:ascii="宋体" w:hAnsi="宋体" w:cs="仿宋"/>
                <w:b/>
                <w:bCs/>
                <w:kern w:val="0"/>
                <w:szCs w:val="21"/>
              </w:rPr>
              <w:t>评审因素</w:t>
            </w:r>
          </w:p>
        </w:tc>
        <w:tc>
          <w:tcPr>
            <w:tcW w:w="5493" w:type="dxa"/>
            <w:vAlign w:val="center"/>
          </w:tcPr>
          <w:p w14:paraId="552B66B1">
            <w:pPr>
              <w:spacing w:line="360" w:lineRule="auto"/>
              <w:ind w:firstLine="422" w:firstLineChars="200"/>
              <w:jc w:val="center"/>
              <w:rPr>
                <w:rFonts w:hint="eastAsia" w:ascii="宋体" w:hAnsi="宋体" w:cs="仿宋"/>
                <w:b/>
                <w:bCs/>
                <w:kern w:val="0"/>
                <w:szCs w:val="21"/>
              </w:rPr>
            </w:pPr>
            <w:r>
              <w:rPr>
                <w:rFonts w:hint="eastAsia" w:ascii="宋体" w:hAnsi="宋体" w:cs="仿宋"/>
                <w:b/>
                <w:bCs/>
                <w:kern w:val="0"/>
                <w:szCs w:val="21"/>
              </w:rPr>
              <w:t>评审标准</w:t>
            </w:r>
          </w:p>
        </w:tc>
      </w:tr>
      <w:tr w14:paraId="3DD930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53DBCE6E">
            <w:pPr>
              <w:spacing w:line="360" w:lineRule="auto"/>
              <w:ind w:firstLine="420" w:firstLineChars="200"/>
              <w:rPr>
                <w:rFonts w:hint="eastAsia" w:ascii="宋体" w:hAnsi="宋体" w:cs="仿宋"/>
                <w:kern w:val="0"/>
                <w:szCs w:val="21"/>
              </w:rPr>
            </w:pPr>
            <w:r>
              <w:rPr>
                <w:szCs w:val="21"/>
              </w:rPr>
              <w:t>1</w:t>
            </w:r>
          </w:p>
        </w:tc>
        <w:tc>
          <w:tcPr>
            <w:tcW w:w="2559" w:type="dxa"/>
            <w:gridSpan w:val="2"/>
            <w:vAlign w:val="center"/>
          </w:tcPr>
          <w:p w14:paraId="328B3AA3">
            <w:pPr>
              <w:spacing w:line="360" w:lineRule="auto"/>
              <w:ind w:firstLine="420" w:firstLineChars="200"/>
              <w:rPr>
                <w:rFonts w:hint="eastAsia" w:ascii="宋体" w:hAnsi="宋体" w:cs="仿宋"/>
                <w:kern w:val="0"/>
                <w:szCs w:val="21"/>
              </w:rPr>
            </w:pPr>
            <w:r>
              <w:rPr>
                <w:rFonts w:hint="eastAsia"/>
                <w:szCs w:val="21"/>
              </w:rPr>
              <w:t>评标办法</w:t>
            </w:r>
          </w:p>
        </w:tc>
        <w:tc>
          <w:tcPr>
            <w:tcW w:w="5493" w:type="dxa"/>
            <w:vAlign w:val="center"/>
          </w:tcPr>
          <w:p w14:paraId="22554F8A">
            <w:pPr>
              <w:spacing w:line="360" w:lineRule="auto"/>
              <w:ind w:firstLine="436" w:firstLineChars="200"/>
              <w:rPr>
                <w:rFonts w:hint="eastAsia" w:ascii="宋体" w:hAnsi="宋体" w:cs="仿宋"/>
                <w:kern w:val="0"/>
                <w:szCs w:val="21"/>
              </w:rPr>
            </w:pPr>
            <w:r>
              <w:rPr>
                <w:rFonts w:hint="eastAsia" w:ascii="宋体" w:hAnsi="宋体"/>
                <w:spacing w:val="4"/>
                <w:kern w:val="0"/>
                <w:szCs w:val="21"/>
              </w:rPr>
              <w:t>本次评标采用经评审的最低</w:t>
            </w:r>
            <w:r>
              <w:rPr>
                <w:rFonts w:hint="eastAsia" w:ascii="宋体" w:hAnsi="宋体"/>
                <w:spacing w:val="4"/>
                <w:kern w:val="0"/>
                <w:szCs w:val="21"/>
                <w:lang w:eastAsia="zh-CN"/>
              </w:rPr>
              <w:t>投标</w:t>
            </w:r>
            <w:r>
              <w:rPr>
                <w:rFonts w:hint="eastAsia" w:ascii="宋体" w:hAnsi="宋体"/>
                <w:spacing w:val="4"/>
                <w:kern w:val="0"/>
                <w:szCs w:val="21"/>
              </w:rPr>
              <w:t>价法，评标委员会按照本章第2.1款进行报价排序，按照本章第2.2款进行符合性审查，符合性审查合格的竞选人中按报价由低到高推荐中标候选人，或根据比选人授权直接确定中标人。若出现竞选人</w:t>
            </w:r>
            <w:r>
              <w:rPr>
                <w:rFonts w:hint="eastAsia" w:ascii="宋体" w:hAnsi="宋体"/>
                <w:spacing w:val="4"/>
                <w:kern w:val="0"/>
                <w:szCs w:val="21"/>
                <w:lang w:eastAsia="zh-CN"/>
              </w:rPr>
              <w:t>投标</w:t>
            </w:r>
            <w:r>
              <w:rPr>
                <w:rFonts w:hint="eastAsia" w:ascii="宋体" w:hAnsi="宋体"/>
                <w:spacing w:val="4"/>
                <w:kern w:val="0"/>
                <w:szCs w:val="21"/>
              </w:rPr>
              <w:t>报价相同的，由评标委员会按照</w:t>
            </w:r>
            <w:r>
              <w:rPr>
                <w:rFonts w:hint="eastAsia" w:ascii="宋体" w:hAnsi="宋体"/>
                <w:spacing w:val="4"/>
                <w:kern w:val="0"/>
                <w:szCs w:val="21"/>
                <w:u w:val="single"/>
              </w:rPr>
              <w:t xml:space="preserve">  投票表决  </w:t>
            </w:r>
            <w:r>
              <w:rPr>
                <w:rFonts w:hint="eastAsia" w:ascii="宋体" w:hAnsi="宋体"/>
                <w:spacing w:val="4"/>
                <w:kern w:val="0"/>
                <w:szCs w:val="21"/>
              </w:rPr>
              <w:t>原则排序。</w:t>
            </w:r>
          </w:p>
        </w:tc>
      </w:tr>
      <w:tr w14:paraId="7E8E7D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501A46C0">
            <w:pPr>
              <w:spacing w:line="360" w:lineRule="auto"/>
              <w:ind w:firstLine="420" w:firstLineChars="200"/>
              <w:rPr>
                <w:rFonts w:hint="eastAsia" w:ascii="宋体" w:hAnsi="宋体" w:cs="仿宋"/>
                <w:kern w:val="0"/>
                <w:szCs w:val="21"/>
              </w:rPr>
            </w:pPr>
            <w:r>
              <w:rPr>
                <w:rFonts w:hint="eastAsia" w:ascii="宋体" w:hAnsi="宋体"/>
                <w:kern w:val="0"/>
              </w:rPr>
              <w:t>2.1</w:t>
            </w:r>
          </w:p>
        </w:tc>
        <w:tc>
          <w:tcPr>
            <w:tcW w:w="2559" w:type="dxa"/>
            <w:gridSpan w:val="2"/>
            <w:vAlign w:val="center"/>
          </w:tcPr>
          <w:p w14:paraId="1B191F20">
            <w:pPr>
              <w:spacing w:line="360" w:lineRule="auto"/>
              <w:ind w:firstLine="420" w:firstLineChars="200"/>
              <w:rPr>
                <w:rFonts w:hint="eastAsia" w:ascii="宋体" w:hAnsi="宋体" w:cs="仿宋"/>
                <w:kern w:val="0"/>
                <w:szCs w:val="21"/>
              </w:rPr>
            </w:pPr>
            <w:r>
              <w:rPr>
                <w:rFonts w:ascii="宋体" w:hAnsi="宋体"/>
                <w:kern w:val="0"/>
              </w:rPr>
              <w:t>报价</w:t>
            </w:r>
            <w:r>
              <w:rPr>
                <w:rFonts w:hint="eastAsia" w:ascii="宋体" w:hAnsi="宋体"/>
                <w:kern w:val="0"/>
              </w:rPr>
              <w:t>排序</w:t>
            </w:r>
          </w:p>
        </w:tc>
        <w:tc>
          <w:tcPr>
            <w:tcW w:w="5493" w:type="dxa"/>
            <w:vAlign w:val="center"/>
          </w:tcPr>
          <w:p w14:paraId="2DCBCD44">
            <w:pPr>
              <w:spacing w:line="360" w:lineRule="auto"/>
              <w:ind w:firstLine="420" w:firstLineChars="200"/>
              <w:rPr>
                <w:rFonts w:hint="eastAsia" w:ascii="宋体" w:hAnsi="宋体" w:cs="仿宋"/>
                <w:kern w:val="0"/>
                <w:szCs w:val="21"/>
              </w:rPr>
            </w:pPr>
            <w:r>
              <w:rPr>
                <w:rFonts w:hint="eastAsia" w:ascii="宋体" w:hAnsi="宋体"/>
                <w:kern w:val="0"/>
              </w:rPr>
              <w:t>对报价不高于最高限价的所有竞选人的</w:t>
            </w:r>
            <w:r>
              <w:rPr>
                <w:rFonts w:hint="eastAsia" w:ascii="宋体" w:hAnsi="宋体"/>
                <w:kern w:val="0"/>
                <w:lang w:eastAsia="zh-CN"/>
              </w:rPr>
              <w:t>投标</w:t>
            </w:r>
            <w:r>
              <w:rPr>
                <w:rFonts w:hint="eastAsia" w:ascii="宋体" w:hAnsi="宋体"/>
                <w:kern w:val="0"/>
              </w:rPr>
              <w:t>文件，按照报价由低到高的顺序排列。</w:t>
            </w:r>
          </w:p>
        </w:tc>
      </w:tr>
      <w:tr w14:paraId="6D4783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3B7EC6FF">
            <w:pPr>
              <w:spacing w:line="360" w:lineRule="auto"/>
              <w:ind w:firstLine="420" w:firstLineChars="200"/>
              <w:rPr>
                <w:rFonts w:hint="eastAsia" w:ascii="宋体" w:hAnsi="宋体" w:cs="仿宋"/>
                <w:kern w:val="0"/>
                <w:szCs w:val="21"/>
              </w:rPr>
            </w:pPr>
            <w:r>
              <w:rPr>
                <w:rFonts w:hint="eastAsia" w:ascii="宋体" w:hAnsi="宋体"/>
                <w:kern w:val="0"/>
              </w:rPr>
              <w:t>2.2</w:t>
            </w:r>
          </w:p>
        </w:tc>
        <w:tc>
          <w:tcPr>
            <w:tcW w:w="2559" w:type="dxa"/>
            <w:gridSpan w:val="2"/>
            <w:vAlign w:val="center"/>
          </w:tcPr>
          <w:p w14:paraId="09A50479">
            <w:pPr>
              <w:spacing w:line="360" w:lineRule="auto"/>
              <w:ind w:firstLine="420" w:firstLineChars="200"/>
              <w:rPr>
                <w:rFonts w:hint="eastAsia" w:ascii="宋体" w:hAnsi="宋体" w:cs="仿宋"/>
                <w:kern w:val="0"/>
                <w:szCs w:val="21"/>
              </w:rPr>
            </w:pPr>
            <w:r>
              <w:rPr>
                <w:rFonts w:hint="eastAsia" w:ascii="宋体" w:hAnsi="宋体"/>
                <w:kern w:val="0"/>
              </w:rPr>
              <w:t>符合性审查</w:t>
            </w:r>
          </w:p>
        </w:tc>
        <w:tc>
          <w:tcPr>
            <w:tcW w:w="5493" w:type="dxa"/>
            <w:vAlign w:val="center"/>
          </w:tcPr>
          <w:p w14:paraId="1AA955A6">
            <w:pPr>
              <w:spacing w:line="360" w:lineRule="auto"/>
              <w:ind w:firstLine="420" w:firstLineChars="200"/>
              <w:rPr>
                <w:rFonts w:hint="eastAsia" w:ascii="宋体" w:hAnsi="宋体" w:cs="仿宋"/>
                <w:kern w:val="0"/>
                <w:szCs w:val="21"/>
              </w:rPr>
            </w:pPr>
            <w:r>
              <w:rPr>
                <w:rFonts w:hint="eastAsia" w:ascii="宋体" w:hAnsi="宋体"/>
                <w:kern w:val="0"/>
              </w:rPr>
              <w:t>取报价排序前☑3名（若实际竞选人数量小于勾选数量，</w:t>
            </w:r>
            <w:r>
              <w:rPr>
                <w:rFonts w:hint="eastAsia" w:ascii="宋体" w:hAnsi="宋体"/>
                <w:spacing w:val="4"/>
                <w:kern w:val="0"/>
                <w:szCs w:val="21"/>
              </w:rPr>
              <w:t>则全部纳入）进行符合性审查。符合性审查内容：资格评审、形式评审、响应性评审。符合性审查</w:t>
            </w:r>
            <w:r>
              <w:rPr>
                <w:rFonts w:hint="eastAsia" w:ascii="宋体" w:hAnsi="宋体"/>
                <w:kern w:val="0"/>
              </w:rPr>
              <w:t>合格的竞选人中，报价最低的成为第一中标候选人，报价次低的成为第二中标候选人，依次类推。</w:t>
            </w:r>
          </w:p>
        </w:tc>
      </w:tr>
      <w:tr w14:paraId="393007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72" w:hRule="atLeast"/>
          <w:jc w:val="center"/>
        </w:trPr>
        <w:tc>
          <w:tcPr>
            <w:tcW w:w="851" w:type="dxa"/>
            <w:vMerge w:val="restart"/>
            <w:vAlign w:val="center"/>
          </w:tcPr>
          <w:p w14:paraId="6B9C9434">
            <w:pPr>
              <w:spacing w:line="360" w:lineRule="auto"/>
              <w:rPr>
                <w:rFonts w:hint="eastAsia" w:ascii="宋体" w:hAnsi="宋体" w:cs="仿宋"/>
                <w:kern w:val="0"/>
                <w:szCs w:val="21"/>
              </w:rPr>
            </w:pPr>
            <w:r>
              <w:rPr>
                <w:rFonts w:hint="eastAsia" w:ascii="宋体" w:hAnsi="宋体" w:cs="仿宋"/>
                <w:kern w:val="0"/>
                <w:szCs w:val="21"/>
              </w:rPr>
              <w:t>2.2.2</w:t>
            </w:r>
          </w:p>
        </w:tc>
        <w:tc>
          <w:tcPr>
            <w:tcW w:w="567" w:type="dxa"/>
            <w:vMerge w:val="restart"/>
            <w:vAlign w:val="center"/>
          </w:tcPr>
          <w:p w14:paraId="70EE73D1">
            <w:pPr>
              <w:spacing w:line="360" w:lineRule="auto"/>
              <w:rPr>
                <w:rFonts w:hint="eastAsia" w:ascii="宋体" w:hAnsi="宋体" w:cs="仿宋"/>
                <w:kern w:val="0"/>
                <w:szCs w:val="21"/>
              </w:rPr>
            </w:pPr>
            <w:r>
              <w:rPr>
                <w:rFonts w:hint="eastAsia" w:ascii="宋体" w:hAnsi="宋体" w:cs="仿宋"/>
                <w:kern w:val="0"/>
                <w:szCs w:val="21"/>
              </w:rPr>
              <w:t>资格评审标准</w:t>
            </w:r>
          </w:p>
        </w:tc>
        <w:tc>
          <w:tcPr>
            <w:tcW w:w="2559" w:type="dxa"/>
            <w:gridSpan w:val="2"/>
            <w:tcBorders>
              <w:bottom w:val="single" w:color="auto" w:sz="4" w:space="0"/>
            </w:tcBorders>
            <w:vAlign w:val="center"/>
          </w:tcPr>
          <w:p w14:paraId="06DE0C8B">
            <w:pPr>
              <w:spacing w:line="360" w:lineRule="auto"/>
              <w:jc w:val="left"/>
              <w:rPr>
                <w:rFonts w:hint="eastAsia" w:ascii="宋体" w:hAnsi="宋体" w:cs="仿宋"/>
                <w:kern w:val="0"/>
                <w:szCs w:val="21"/>
              </w:rPr>
            </w:pPr>
            <w:r>
              <w:rPr>
                <w:rFonts w:hint="eastAsia" w:ascii="宋体" w:hAnsi="宋体" w:cs="仿宋"/>
                <w:kern w:val="0"/>
                <w:szCs w:val="21"/>
              </w:rPr>
              <w:t>资质条件</w:t>
            </w:r>
          </w:p>
        </w:tc>
        <w:tc>
          <w:tcPr>
            <w:tcW w:w="5493" w:type="dxa"/>
            <w:vAlign w:val="center"/>
          </w:tcPr>
          <w:p w14:paraId="0F93EE77">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09A729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72" w:hRule="atLeast"/>
          <w:jc w:val="center"/>
        </w:trPr>
        <w:tc>
          <w:tcPr>
            <w:tcW w:w="851" w:type="dxa"/>
            <w:vMerge w:val="continue"/>
          </w:tcPr>
          <w:p w14:paraId="028A4913">
            <w:pPr>
              <w:spacing w:line="360" w:lineRule="auto"/>
              <w:ind w:firstLine="420" w:firstLineChars="200"/>
              <w:rPr>
                <w:rFonts w:hint="eastAsia" w:ascii="宋体" w:hAnsi="宋体" w:cs="仿宋"/>
                <w:kern w:val="0"/>
                <w:szCs w:val="21"/>
              </w:rPr>
            </w:pPr>
          </w:p>
        </w:tc>
        <w:tc>
          <w:tcPr>
            <w:tcW w:w="567" w:type="dxa"/>
            <w:vMerge w:val="continue"/>
          </w:tcPr>
          <w:p w14:paraId="0E2213DB">
            <w:pPr>
              <w:spacing w:line="360" w:lineRule="auto"/>
              <w:ind w:firstLine="420" w:firstLineChars="200"/>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4C6063A5">
            <w:pPr>
              <w:spacing w:line="360" w:lineRule="auto"/>
              <w:jc w:val="left"/>
              <w:rPr>
                <w:rFonts w:hint="eastAsia" w:ascii="宋体" w:hAnsi="宋体" w:cs="仿宋"/>
                <w:kern w:val="0"/>
                <w:szCs w:val="21"/>
              </w:rPr>
            </w:pPr>
            <w:r>
              <w:rPr>
                <w:rFonts w:hint="eastAsia" w:ascii="宋体" w:hAnsi="宋体" w:cs="仿宋"/>
                <w:kern w:val="0"/>
                <w:szCs w:val="21"/>
              </w:rPr>
              <w:t>营业执照</w:t>
            </w:r>
          </w:p>
        </w:tc>
        <w:tc>
          <w:tcPr>
            <w:tcW w:w="5493" w:type="dxa"/>
            <w:vAlign w:val="center"/>
          </w:tcPr>
          <w:p w14:paraId="28DB8C6E">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74436C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5" w:hRule="atLeast"/>
          <w:jc w:val="center"/>
        </w:trPr>
        <w:tc>
          <w:tcPr>
            <w:tcW w:w="851" w:type="dxa"/>
            <w:vMerge w:val="continue"/>
          </w:tcPr>
          <w:p w14:paraId="6CEF457F">
            <w:pPr>
              <w:spacing w:line="360" w:lineRule="auto"/>
              <w:ind w:firstLine="420" w:firstLineChars="200"/>
              <w:rPr>
                <w:rFonts w:hint="eastAsia" w:ascii="宋体" w:hAnsi="宋体" w:cs="仿宋"/>
                <w:kern w:val="0"/>
                <w:szCs w:val="21"/>
              </w:rPr>
            </w:pPr>
          </w:p>
        </w:tc>
        <w:tc>
          <w:tcPr>
            <w:tcW w:w="567" w:type="dxa"/>
            <w:vMerge w:val="continue"/>
          </w:tcPr>
          <w:p w14:paraId="324A15F8">
            <w:pPr>
              <w:spacing w:line="360" w:lineRule="auto"/>
              <w:ind w:firstLine="420" w:firstLineChars="200"/>
              <w:rPr>
                <w:rFonts w:hint="eastAsia" w:ascii="宋体" w:hAnsi="宋体" w:cs="仿宋"/>
                <w:kern w:val="0"/>
                <w:szCs w:val="21"/>
              </w:rPr>
            </w:pPr>
          </w:p>
        </w:tc>
        <w:tc>
          <w:tcPr>
            <w:tcW w:w="2559" w:type="dxa"/>
            <w:gridSpan w:val="2"/>
            <w:tcBorders>
              <w:bottom w:val="single" w:color="auto" w:sz="4" w:space="0"/>
            </w:tcBorders>
            <w:vAlign w:val="center"/>
          </w:tcPr>
          <w:p w14:paraId="5F39963F">
            <w:pPr>
              <w:spacing w:line="360" w:lineRule="auto"/>
              <w:jc w:val="left"/>
              <w:rPr>
                <w:rFonts w:hint="eastAsia" w:ascii="宋体" w:hAnsi="宋体" w:cs="仿宋"/>
                <w:kern w:val="0"/>
                <w:szCs w:val="21"/>
              </w:rPr>
            </w:pPr>
            <w:r>
              <w:rPr>
                <w:rFonts w:hint="eastAsia" w:ascii="宋体" w:hAnsi="宋体" w:cs="仿宋"/>
                <w:kern w:val="0"/>
                <w:szCs w:val="21"/>
              </w:rPr>
              <w:t>财务要求</w:t>
            </w:r>
          </w:p>
        </w:tc>
        <w:tc>
          <w:tcPr>
            <w:tcW w:w="5493" w:type="dxa"/>
            <w:vAlign w:val="center"/>
          </w:tcPr>
          <w:p w14:paraId="3F45CFD8">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3A15D0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51" w:hRule="atLeast"/>
          <w:jc w:val="center"/>
        </w:trPr>
        <w:tc>
          <w:tcPr>
            <w:tcW w:w="851" w:type="dxa"/>
            <w:vMerge w:val="continue"/>
          </w:tcPr>
          <w:p w14:paraId="59B7C486">
            <w:pPr>
              <w:spacing w:line="360" w:lineRule="auto"/>
              <w:ind w:firstLine="420" w:firstLineChars="200"/>
              <w:rPr>
                <w:rFonts w:hint="eastAsia" w:ascii="宋体" w:hAnsi="宋体" w:cs="仿宋"/>
                <w:kern w:val="0"/>
                <w:szCs w:val="21"/>
              </w:rPr>
            </w:pPr>
          </w:p>
        </w:tc>
        <w:tc>
          <w:tcPr>
            <w:tcW w:w="567" w:type="dxa"/>
            <w:vMerge w:val="continue"/>
          </w:tcPr>
          <w:p w14:paraId="79FB3A7E">
            <w:pPr>
              <w:spacing w:line="360" w:lineRule="auto"/>
              <w:ind w:firstLine="420" w:firstLineChars="200"/>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35FFF09B">
            <w:pPr>
              <w:spacing w:line="360" w:lineRule="auto"/>
              <w:jc w:val="left"/>
              <w:rPr>
                <w:rFonts w:hint="eastAsia" w:ascii="宋体" w:hAnsi="宋体" w:cs="仿宋"/>
                <w:kern w:val="0"/>
                <w:szCs w:val="21"/>
              </w:rPr>
            </w:pPr>
            <w:r>
              <w:rPr>
                <w:rFonts w:hint="eastAsia" w:ascii="宋体" w:hAnsi="宋体" w:cs="仿宋"/>
                <w:kern w:val="0"/>
                <w:szCs w:val="21"/>
              </w:rPr>
              <w:t>竞选截止日竞选资格情况</w:t>
            </w:r>
          </w:p>
        </w:tc>
        <w:tc>
          <w:tcPr>
            <w:tcW w:w="5493" w:type="dxa"/>
            <w:vAlign w:val="center"/>
          </w:tcPr>
          <w:p w14:paraId="36BE3576">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0FA451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51" w:hRule="atLeast"/>
          <w:jc w:val="center"/>
        </w:trPr>
        <w:tc>
          <w:tcPr>
            <w:tcW w:w="851" w:type="dxa"/>
            <w:vMerge w:val="continue"/>
          </w:tcPr>
          <w:p w14:paraId="71F90A23">
            <w:pPr>
              <w:spacing w:line="360" w:lineRule="auto"/>
              <w:ind w:firstLine="420" w:firstLineChars="200"/>
              <w:rPr>
                <w:rFonts w:hint="eastAsia" w:ascii="宋体" w:hAnsi="宋体" w:cs="仿宋"/>
                <w:kern w:val="0"/>
                <w:szCs w:val="21"/>
              </w:rPr>
            </w:pPr>
          </w:p>
        </w:tc>
        <w:tc>
          <w:tcPr>
            <w:tcW w:w="567" w:type="dxa"/>
            <w:vMerge w:val="continue"/>
          </w:tcPr>
          <w:p w14:paraId="7A06D899">
            <w:pPr>
              <w:spacing w:line="360" w:lineRule="auto"/>
              <w:ind w:firstLine="420" w:firstLineChars="200"/>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73B05765">
            <w:pPr>
              <w:spacing w:line="360" w:lineRule="auto"/>
              <w:jc w:val="left"/>
              <w:rPr>
                <w:rFonts w:hint="eastAsia" w:ascii="宋体" w:hAnsi="宋体" w:cs="仿宋"/>
                <w:kern w:val="0"/>
                <w:szCs w:val="21"/>
              </w:rPr>
            </w:pPr>
            <w:r>
              <w:rPr>
                <w:rFonts w:hint="eastAsia" w:ascii="宋体" w:hAnsi="宋体" w:cs="仿宋"/>
                <w:kern w:val="0"/>
                <w:szCs w:val="21"/>
              </w:rPr>
              <w:t>委托代理人</w:t>
            </w:r>
          </w:p>
        </w:tc>
        <w:tc>
          <w:tcPr>
            <w:tcW w:w="5493" w:type="dxa"/>
            <w:vAlign w:val="center"/>
          </w:tcPr>
          <w:p w14:paraId="4F15BA99">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540ADF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51" w:hRule="atLeast"/>
          <w:jc w:val="center"/>
        </w:trPr>
        <w:tc>
          <w:tcPr>
            <w:tcW w:w="851" w:type="dxa"/>
            <w:vMerge w:val="continue"/>
          </w:tcPr>
          <w:p w14:paraId="2DDC635C">
            <w:pPr>
              <w:spacing w:line="360" w:lineRule="auto"/>
              <w:ind w:firstLine="420" w:firstLineChars="200"/>
              <w:rPr>
                <w:rFonts w:hint="eastAsia" w:ascii="宋体" w:hAnsi="宋体" w:cs="仿宋"/>
                <w:kern w:val="0"/>
                <w:szCs w:val="21"/>
              </w:rPr>
            </w:pPr>
          </w:p>
        </w:tc>
        <w:tc>
          <w:tcPr>
            <w:tcW w:w="567" w:type="dxa"/>
            <w:vMerge w:val="continue"/>
          </w:tcPr>
          <w:p w14:paraId="7ADC7A0A">
            <w:pPr>
              <w:spacing w:line="360" w:lineRule="auto"/>
              <w:ind w:firstLine="420" w:firstLineChars="200"/>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7742C59E">
            <w:pPr>
              <w:spacing w:line="360" w:lineRule="auto"/>
              <w:jc w:val="left"/>
              <w:rPr>
                <w:rFonts w:hint="eastAsia" w:ascii="宋体" w:hAnsi="宋体" w:cs="仿宋"/>
                <w:kern w:val="0"/>
                <w:szCs w:val="21"/>
              </w:rPr>
            </w:pPr>
            <w:r>
              <w:rPr>
                <w:rFonts w:hint="eastAsia" w:ascii="宋体" w:hAnsi="宋体" w:cs="仿宋"/>
                <w:kern w:val="0"/>
                <w:szCs w:val="21"/>
              </w:rPr>
              <w:t>其他要求</w:t>
            </w:r>
          </w:p>
        </w:tc>
        <w:tc>
          <w:tcPr>
            <w:tcW w:w="5493" w:type="dxa"/>
            <w:vAlign w:val="center"/>
          </w:tcPr>
          <w:p w14:paraId="57A4457E">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6F9796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4038539A">
            <w:pPr>
              <w:spacing w:line="360" w:lineRule="auto"/>
              <w:rPr>
                <w:rFonts w:hint="eastAsia" w:ascii="宋体" w:hAnsi="宋体" w:cs="仿宋"/>
                <w:kern w:val="0"/>
                <w:szCs w:val="21"/>
              </w:rPr>
            </w:pPr>
            <w:r>
              <w:rPr>
                <w:rFonts w:hint="eastAsia" w:ascii="宋体" w:hAnsi="宋体" w:cs="仿宋"/>
                <w:kern w:val="0"/>
                <w:szCs w:val="21"/>
              </w:rPr>
              <w:t>2.2.3</w:t>
            </w:r>
          </w:p>
        </w:tc>
        <w:tc>
          <w:tcPr>
            <w:tcW w:w="567" w:type="dxa"/>
            <w:vMerge w:val="restart"/>
            <w:vAlign w:val="center"/>
          </w:tcPr>
          <w:p w14:paraId="4BEC0127">
            <w:pPr>
              <w:spacing w:line="360" w:lineRule="auto"/>
              <w:rPr>
                <w:rFonts w:hint="eastAsia" w:ascii="宋体" w:hAnsi="宋体" w:cs="仿宋"/>
                <w:kern w:val="0"/>
                <w:szCs w:val="21"/>
              </w:rPr>
            </w:pPr>
            <w:r>
              <w:rPr>
                <w:rFonts w:hint="eastAsia" w:ascii="宋体" w:hAnsi="宋体" w:cs="仿宋"/>
                <w:kern w:val="0"/>
                <w:szCs w:val="21"/>
              </w:rPr>
              <w:t>形式评审标准</w:t>
            </w:r>
          </w:p>
        </w:tc>
        <w:tc>
          <w:tcPr>
            <w:tcW w:w="2559" w:type="dxa"/>
            <w:gridSpan w:val="2"/>
            <w:tcBorders>
              <w:top w:val="single" w:color="auto" w:sz="4" w:space="0"/>
              <w:bottom w:val="single" w:color="auto" w:sz="4" w:space="0"/>
            </w:tcBorders>
            <w:vAlign w:val="center"/>
          </w:tcPr>
          <w:p w14:paraId="37F51693">
            <w:pPr>
              <w:spacing w:line="360" w:lineRule="auto"/>
              <w:jc w:val="left"/>
              <w:rPr>
                <w:rFonts w:hint="eastAsia" w:ascii="宋体" w:hAnsi="宋体" w:cs="仿宋"/>
                <w:kern w:val="0"/>
                <w:szCs w:val="21"/>
              </w:rPr>
            </w:pPr>
            <w:r>
              <w:rPr>
                <w:rFonts w:hint="eastAsia" w:ascii="宋体" w:hAnsi="宋体" w:cs="仿宋"/>
                <w:kern w:val="0"/>
                <w:szCs w:val="21"/>
              </w:rPr>
              <w:t>竞选人名称</w:t>
            </w:r>
          </w:p>
        </w:tc>
        <w:tc>
          <w:tcPr>
            <w:tcW w:w="5493" w:type="dxa"/>
            <w:vAlign w:val="center"/>
          </w:tcPr>
          <w:p w14:paraId="506FE456">
            <w:pPr>
              <w:spacing w:line="360" w:lineRule="auto"/>
              <w:ind w:firstLine="420" w:firstLineChars="200"/>
              <w:rPr>
                <w:rFonts w:hint="eastAsia" w:ascii="宋体" w:hAnsi="宋体" w:cs="仿宋"/>
                <w:kern w:val="0"/>
                <w:szCs w:val="21"/>
              </w:rPr>
            </w:pPr>
            <w:r>
              <w:rPr>
                <w:rFonts w:hint="eastAsia" w:ascii="宋体" w:hAnsi="宋体" w:cs="仿宋"/>
                <w:kern w:val="0"/>
                <w:szCs w:val="21"/>
              </w:rPr>
              <w:t>与营业执照、资质证书，依法变更名称的应提交相应证明材料。</w:t>
            </w:r>
          </w:p>
        </w:tc>
      </w:tr>
      <w:tr w14:paraId="042790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2571BB1F">
            <w:pPr>
              <w:spacing w:line="360" w:lineRule="auto"/>
              <w:rPr>
                <w:rFonts w:hint="eastAsia" w:ascii="宋体" w:hAnsi="宋体" w:cs="仿宋"/>
                <w:kern w:val="0"/>
                <w:szCs w:val="21"/>
              </w:rPr>
            </w:pPr>
          </w:p>
        </w:tc>
        <w:tc>
          <w:tcPr>
            <w:tcW w:w="567" w:type="dxa"/>
            <w:vMerge w:val="continue"/>
          </w:tcPr>
          <w:p w14:paraId="172455AD">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67F79746">
            <w:pPr>
              <w:spacing w:line="360" w:lineRule="auto"/>
              <w:jc w:val="left"/>
              <w:rPr>
                <w:rFonts w:hint="eastAsia" w:ascii="宋体" w:hAnsi="宋体" w:cs="仿宋"/>
                <w:kern w:val="0"/>
                <w:szCs w:val="21"/>
              </w:rPr>
            </w:pPr>
            <w:r>
              <w:rPr>
                <w:rFonts w:hint="eastAsia" w:ascii="宋体" w:hAnsi="宋体" w:cs="仿宋"/>
                <w:kern w:val="0"/>
                <w:szCs w:val="21"/>
              </w:rPr>
              <w:t>竞选函签字盖章</w:t>
            </w:r>
          </w:p>
        </w:tc>
        <w:tc>
          <w:tcPr>
            <w:tcW w:w="5493" w:type="dxa"/>
            <w:vAlign w:val="center"/>
          </w:tcPr>
          <w:p w14:paraId="207358EF">
            <w:pPr>
              <w:spacing w:line="360" w:lineRule="auto"/>
              <w:ind w:firstLine="420" w:firstLineChars="200"/>
              <w:rPr>
                <w:rFonts w:hint="eastAsia" w:ascii="宋体" w:hAnsi="宋体" w:cs="仿宋"/>
                <w:kern w:val="0"/>
                <w:szCs w:val="21"/>
              </w:rPr>
            </w:pPr>
            <w:r>
              <w:rPr>
                <w:rFonts w:hint="eastAsia" w:ascii="宋体" w:hAnsi="宋体" w:cs="仿宋"/>
                <w:kern w:val="0"/>
                <w:szCs w:val="21"/>
              </w:rPr>
              <w:t>竞选函格式规定签字、盖章的位置有法定代表人或其委托代理人签字（或盖章）、加盖单位法人章。</w:t>
            </w:r>
          </w:p>
        </w:tc>
      </w:tr>
      <w:tr w14:paraId="1F9750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7CCC65A1">
            <w:pPr>
              <w:spacing w:line="360" w:lineRule="auto"/>
              <w:rPr>
                <w:rFonts w:hint="eastAsia" w:ascii="宋体" w:hAnsi="宋体" w:cs="仿宋"/>
                <w:kern w:val="0"/>
                <w:szCs w:val="21"/>
              </w:rPr>
            </w:pPr>
          </w:p>
        </w:tc>
        <w:tc>
          <w:tcPr>
            <w:tcW w:w="567" w:type="dxa"/>
            <w:vMerge w:val="continue"/>
          </w:tcPr>
          <w:p w14:paraId="4863C793">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36EC366F">
            <w:pPr>
              <w:spacing w:line="360" w:lineRule="auto"/>
              <w:jc w:val="left"/>
              <w:rPr>
                <w:rFonts w:hint="eastAsia" w:ascii="宋体" w:hAnsi="宋体" w:cs="仿宋"/>
                <w:kern w:val="0"/>
                <w:szCs w:val="21"/>
              </w:rPr>
            </w:pPr>
            <w:r>
              <w:rPr>
                <w:rFonts w:hint="eastAsia" w:ascii="宋体" w:hAnsi="宋体" w:cs="仿宋"/>
                <w:kern w:val="0"/>
                <w:szCs w:val="21"/>
              </w:rPr>
              <w:t>竞选文件格式</w:t>
            </w:r>
          </w:p>
        </w:tc>
        <w:tc>
          <w:tcPr>
            <w:tcW w:w="5493" w:type="dxa"/>
            <w:vAlign w:val="center"/>
          </w:tcPr>
          <w:p w14:paraId="1EF1069C">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符合第二章“竞选人须知”第3.7款的要求。</w:t>
            </w:r>
          </w:p>
        </w:tc>
      </w:tr>
      <w:tr w14:paraId="2A508D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0AFF2464">
            <w:pPr>
              <w:spacing w:line="360" w:lineRule="auto"/>
              <w:rPr>
                <w:rFonts w:hint="eastAsia" w:ascii="宋体" w:hAnsi="宋体" w:cs="仿宋"/>
                <w:kern w:val="0"/>
                <w:szCs w:val="21"/>
              </w:rPr>
            </w:pPr>
          </w:p>
        </w:tc>
        <w:tc>
          <w:tcPr>
            <w:tcW w:w="567" w:type="dxa"/>
            <w:vMerge w:val="continue"/>
          </w:tcPr>
          <w:p w14:paraId="7923C97F">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6CF5FDAD">
            <w:pPr>
              <w:spacing w:line="360" w:lineRule="auto"/>
              <w:jc w:val="left"/>
              <w:rPr>
                <w:rFonts w:hint="eastAsia" w:ascii="宋体" w:hAnsi="宋体" w:cs="仿宋"/>
                <w:kern w:val="0"/>
                <w:szCs w:val="21"/>
              </w:rPr>
            </w:pPr>
            <w:r>
              <w:rPr>
                <w:rFonts w:hint="eastAsia" w:ascii="宋体" w:hAnsi="宋体" w:cs="仿宋"/>
                <w:kern w:val="0"/>
                <w:szCs w:val="21"/>
              </w:rPr>
              <w:t>竞选文件份数</w:t>
            </w:r>
          </w:p>
        </w:tc>
        <w:tc>
          <w:tcPr>
            <w:tcW w:w="5493" w:type="dxa"/>
            <w:vAlign w:val="center"/>
          </w:tcPr>
          <w:p w14:paraId="3411CF75">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符合第二章“竞选人须知”第3.7.4项规定。</w:t>
            </w:r>
          </w:p>
        </w:tc>
      </w:tr>
      <w:tr w14:paraId="37C71E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6F5EAF92">
            <w:pPr>
              <w:spacing w:line="360" w:lineRule="auto"/>
              <w:rPr>
                <w:rFonts w:hint="eastAsia" w:ascii="宋体" w:hAnsi="宋体" w:cs="仿宋"/>
                <w:kern w:val="0"/>
                <w:szCs w:val="21"/>
              </w:rPr>
            </w:pPr>
          </w:p>
        </w:tc>
        <w:tc>
          <w:tcPr>
            <w:tcW w:w="567" w:type="dxa"/>
            <w:vMerge w:val="continue"/>
          </w:tcPr>
          <w:p w14:paraId="1E8269E7">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0C25921F">
            <w:pPr>
              <w:spacing w:line="360" w:lineRule="auto"/>
              <w:jc w:val="left"/>
              <w:rPr>
                <w:rFonts w:hint="eastAsia" w:ascii="宋体" w:hAnsi="宋体" w:cs="仿宋"/>
                <w:kern w:val="0"/>
                <w:szCs w:val="21"/>
              </w:rPr>
            </w:pPr>
            <w:r>
              <w:rPr>
                <w:rFonts w:hint="eastAsia" w:ascii="宋体" w:hAnsi="宋体" w:cs="仿宋"/>
                <w:kern w:val="0"/>
                <w:szCs w:val="21"/>
              </w:rPr>
              <w:t>报价唯一</w:t>
            </w:r>
          </w:p>
        </w:tc>
        <w:tc>
          <w:tcPr>
            <w:tcW w:w="5493" w:type="dxa"/>
            <w:vAlign w:val="center"/>
          </w:tcPr>
          <w:p w14:paraId="18636284">
            <w:pPr>
              <w:spacing w:line="360" w:lineRule="auto"/>
              <w:ind w:firstLine="420" w:firstLineChars="200"/>
              <w:rPr>
                <w:rFonts w:hint="eastAsia" w:ascii="宋体" w:hAnsi="宋体" w:cs="仿宋"/>
                <w:kern w:val="0"/>
                <w:szCs w:val="21"/>
              </w:rPr>
            </w:pPr>
            <w:r>
              <w:rPr>
                <w:rFonts w:hint="eastAsia" w:ascii="宋体" w:hAnsi="宋体" w:cs="仿宋"/>
                <w:kern w:val="0"/>
                <w:szCs w:val="21"/>
              </w:rPr>
              <w:t>只能有一个有效报价，在比选文件没有规定的情况下，不得提交选择性报价。</w:t>
            </w:r>
          </w:p>
        </w:tc>
      </w:tr>
      <w:tr w14:paraId="32FA66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6CF25E98">
            <w:pPr>
              <w:spacing w:line="360" w:lineRule="auto"/>
              <w:rPr>
                <w:rFonts w:hint="eastAsia" w:ascii="宋体" w:hAnsi="宋体" w:cs="仿宋"/>
                <w:kern w:val="0"/>
                <w:szCs w:val="21"/>
              </w:rPr>
            </w:pPr>
          </w:p>
        </w:tc>
        <w:tc>
          <w:tcPr>
            <w:tcW w:w="567" w:type="dxa"/>
            <w:vMerge w:val="continue"/>
          </w:tcPr>
          <w:p w14:paraId="2923E0AF">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606F6FF7">
            <w:pPr>
              <w:spacing w:line="360" w:lineRule="auto"/>
              <w:jc w:val="left"/>
              <w:rPr>
                <w:rFonts w:hint="eastAsia" w:ascii="宋体" w:hAnsi="宋体" w:cs="仿宋"/>
                <w:kern w:val="0"/>
                <w:szCs w:val="21"/>
              </w:rPr>
            </w:pPr>
            <w:r>
              <w:rPr>
                <w:rFonts w:hint="eastAsia" w:ascii="宋体" w:hAnsi="宋体" w:cs="仿宋"/>
                <w:kern w:val="0"/>
                <w:szCs w:val="21"/>
              </w:rPr>
              <w:t>竞选文件的签署</w:t>
            </w:r>
          </w:p>
        </w:tc>
        <w:tc>
          <w:tcPr>
            <w:tcW w:w="5493" w:type="dxa"/>
            <w:vAlign w:val="center"/>
          </w:tcPr>
          <w:p w14:paraId="2E274121">
            <w:pPr>
              <w:spacing w:line="360" w:lineRule="auto"/>
              <w:ind w:firstLine="420" w:firstLineChars="200"/>
              <w:rPr>
                <w:rFonts w:hint="eastAsia" w:ascii="宋体" w:hAnsi="宋体" w:cs="仿宋"/>
                <w:kern w:val="0"/>
                <w:szCs w:val="21"/>
              </w:rPr>
            </w:pPr>
            <w:r>
              <w:rPr>
                <w:rFonts w:hint="eastAsia" w:ascii="宋体" w:hAnsi="宋体" w:cs="仿宋"/>
                <w:kern w:val="0"/>
                <w:szCs w:val="21"/>
              </w:rPr>
              <w:t>竞选文件格式中要求法定代表人或其委托代理人签字（或盖章）的须齐全。</w:t>
            </w:r>
          </w:p>
        </w:tc>
      </w:tr>
      <w:tr w14:paraId="59E148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B2CE358">
            <w:pPr>
              <w:spacing w:line="360" w:lineRule="auto"/>
              <w:rPr>
                <w:rFonts w:hint="eastAsia" w:ascii="宋体" w:hAnsi="宋体" w:cs="仿宋"/>
                <w:kern w:val="0"/>
                <w:szCs w:val="21"/>
              </w:rPr>
            </w:pPr>
          </w:p>
        </w:tc>
        <w:tc>
          <w:tcPr>
            <w:tcW w:w="567" w:type="dxa"/>
            <w:vMerge w:val="continue"/>
          </w:tcPr>
          <w:p w14:paraId="141A7B44">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56F7A071">
            <w:pPr>
              <w:spacing w:line="360" w:lineRule="auto"/>
              <w:rPr>
                <w:rFonts w:hint="eastAsia" w:ascii="宋体" w:hAnsi="宋体" w:cs="仿宋"/>
                <w:kern w:val="0"/>
                <w:szCs w:val="21"/>
              </w:rPr>
            </w:pPr>
            <w:r>
              <w:rPr>
                <w:rFonts w:hint="eastAsia" w:ascii="宋体" w:hAnsi="宋体" w:cs="仿宋"/>
                <w:kern w:val="0"/>
                <w:szCs w:val="21"/>
              </w:rPr>
              <w:t>委托代理人</w:t>
            </w:r>
          </w:p>
        </w:tc>
        <w:tc>
          <w:tcPr>
            <w:tcW w:w="5493" w:type="dxa"/>
            <w:vAlign w:val="center"/>
          </w:tcPr>
          <w:p w14:paraId="74D2E67D">
            <w:pPr>
              <w:spacing w:line="360" w:lineRule="auto"/>
              <w:ind w:firstLine="420" w:firstLineChars="200"/>
              <w:rPr>
                <w:rFonts w:hint="eastAsia" w:ascii="宋体" w:hAnsi="宋体" w:cs="仿宋"/>
                <w:kern w:val="0"/>
                <w:szCs w:val="21"/>
              </w:rPr>
            </w:pPr>
            <w:r>
              <w:rPr>
                <w:rFonts w:hint="eastAsia" w:ascii="宋体" w:hAnsi="宋体" w:cs="仿宋"/>
                <w:kern w:val="0"/>
                <w:szCs w:val="21"/>
              </w:rPr>
              <w:t>竞选人法定代表人的委托代理人有法定代表人签署的授权委托书和竞选人为其缴纳的养老保险。</w:t>
            </w:r>
          </w:p>
        </w:tc>
      </w:tr>
      <w:tr w14:paraId="7ED336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32AC7F8A">
            <w:pPr>
              <w:spacing w:line="360" w:lineRule="auto"/>
              <w:rPr>
                <w:rFonts w:hint="eastAsia" w:ascii="宋体" w:hAnsi="宋体" w:cs="仿宋"/>
                <w:kern w:val="0"/>
                <w:szCs w:val="21"/>
              </w:rPr>
            </w:pPr>
            <w:r>
              <w:rPr>
                <w:rFonts w:hint="eastAsia" w:ascii="宋体" w:hAnsi="宋体" w:cs="仿宋"/>
                <w:kern w:val="0"/>
                <w:szCs w:val="21"/>
              </w:rPr>
              <w:t>2.2.4</w:t>
            </w:r>
          </w:p>
        </w:tc>
        <w:tc>
          <w:tcPr>
            <w:tcW w:w="567" w:type="dxa"/>
            <w:vMerge w:val="restart"/>
            <w:vAlign w:val="center"/>
          </w:tcPr>
          <w:p w14:paraId="1EA5A14F">
            <w:pPr>
              <w:spacing w:line="360" w:lineRule="auto"/>
              <w:rPr>
                <w:rFonts w:hint="eastAsia" w:ascii="宋体" w:hAnsi="宋体" w:cs="仿宋"/>
                <w:kern w:val="0"/>
                <w:szCs w:val="21"/>
              </w:rPr>
            </w:pPr>
            <w:r>
              <w:rPr>
                <w:rFonts w:hint="eastAsia" w:ascii="宋体" w:hAnsi="宋体" w:cs="仿宋"/>
                <w:kern w:val="0"/>
                <w:szCs w:val="21"/>
              </w:rPr>
              <w:t>响应性评审标准</w:t>
            </w:r>
          </w:p>
        </w:tc>
        <w:tc>
          <w:tcPr>
            <w:tcW w:w="2559" w:type="dxa"/>
            <w:gridSpan w:val="2"/>
            <w:vAlign w:val="center"/>
          </w:tcPr>
          <w:p w14:paraId="532A14D0">
            <w:pPr>
              <w:spacing w:line="360" w:lineRule="auto"/>
              <w:rPr>
                <w:rFonts w:hint="eastAsia" w:ascii="宋体" w:hAnsi="宋体" w:cs="仿宋"/>
                <w:kern w:val="0"/>
                <w:szCs w:val="21"/>
              </w:rPr>
            </w:pPr>
            <w:r>
              <w:rPr>
                <w:rFonts w:hint="eastAsia" w:ascii="宋体" w:hAnsi="宋体" w:cs="仿宋"/>
                <w:kern w:val="0"/>
                <w:szCs w:val="21"/>
              </w:rPr>
              <w:t>竞选报价</w:t>
            </w:r>
          </w:p>
        </w:tc>
        <w:tc>
          <w:tcPr>
            <w:tcW w:w="5493" w:type="dxa"/>
            <w:vAlign w:val="center"/>
          </w:tcPr>
          <w:p w14:paraId="106D437C">
            <w:pPr>
              <w:snapToGrid w:val="0"/>
              <w:spacing w:line="400" w:lineRule="exact"/>
              <w:ind w:firstLine="420" w:firstLineChars="200"/>
              <w:rPr>
                <w:rFonts w:hint="eastAsia" w:ascii="宋体" w:hAnsi="宋体" w:cs="宋体"/>
                <w:szCs w:val="21"/>
              </w:rPr>
            </w:pPr>
            <w:r>
              <w:rPr>
                <w:rFonts w:hint="eastAsia" w:ascii="宋体" w:hAnsi="宋体" w:cs="宋体"/>
                <w:szCs w:val="21"/>
              </w:rPr>
              <w:t>1.竞选总价必须与已标价工程量清单总价一致。</w:t>
            </w:r>
          </w:p>
          <w:p w14:paraId="4AC2B04E">
            <w:pPr>
              <w:spacing w:line="400" w:lineRule="exact"/>
              <w:ind w:firstLine="420" w:firstLineChars="200"/>
              <w:rPr>
                <w:rFonts w:hint="eastAsia" w:ascii="宋体" w:hAnsi="宋体"/>
                <w:kern w:val="0"/>
              </w:rPr>
            </w:pPr>
            <w:r>
              <w:rPr>
                <w:rFonts w:hint="eastAsia" w:ascii="宋体" w:hAnsi="宋体" w:cs="宋体"/>
                <w:szCs w:val="21"/>
              </w:rPr>
              <w:t>2</w:t>
            </w:r>
            <w:r>
              <w:rPr>
                <w:rFonts w:ascii="宋体" w:hAnsi="宋体" w:cs="宋体"/>
                <w:szCs w:val="21"/>
              </w:rPr>
              <w:t>.</w:t>
            </w:r>
            <w:r>
              <w:rPr>
                <w:rFonts w:hint="eastAsia" w:ascii="宋体" w:hAnsi="宋体" w:cs="宋体"/>
                <w:szCs w:val="21"/>
              </w:rPr>
              <w:t>竞选总价不得高于比选人公布的竞选总价最高限价</w:t>
            </w:r>
            <w:r>
              <w:rPr>
                <w:rFonts w:hint="eastAsia" w:ascii="宋体" w:hAnsi="宋体"/>
                <w:kern w:val="0"/>
              </w:rPr>
              <w:t>。</w:t>
            </w:r>
          </w:p>
          <w:p w14:paraId="29F28C62">
            <w:pPr>
              <w:spacing w:line="400" w:lineRule="exact"/>
              <w:ind w:firstLine="420" w:firstLineChars="200"/>
              <w:rPr>
                <w:rFonts w:hint="eastAsia" w:ascii="宋体" w:hAnsi="宋体" w:cs="宋体"/>
                <w:kern w:val="0"/>
              </w:rPr>
            </w:pPr>
            <w:r>
              <w:rPr>
                <w:rFonts w:hint="eastAsia" w:ascii="宋体" w:hAnsi="宋体"/>
                <w:kern w:val="0"/>
              </w:rPr>
              <w:t>3.</w:t>
            </w:r>
            <w:r>
              <w:rPr>
                <w:rFonts w:hint="eastAsia" w:ascii="宋体" w:hAnsi="宋体" w:cs="宋体"/>
                <w:kern w:val="0"/>
              </w:rPr>
              <w:t>每项工程量清单综合单价报价不得高于对应工程量清单综合单价最高限价。</w:t>
            </w:r>
          </w:p>
          <w:p w14:paraId="59006298">
            <w:pPr>
              <w:spacing w:line="360" w:lineRule="auto"/>
              <w:ind w:firstLine="420" w:firstLineChars="200"/>
              <w:rPr>
                <w:rFonts w:hint="eastAsia" w:ascii="宋体" w:hAnsi="宋体" w:cs="仿宋"/>
                <w:kern w:val="0"/>
                <w:szCs w:val="21"/>
              </w:rPr>
            </w:pPr>
            <w:r>
              <w:rPr>
                <w:rFonts w:hint="eastAsia" w:ascii="宋体" w:hAnsi="宋体" w:cs="宋体"/>
                <w:kern w:val="0"/>
              </w:rPr>
              <w:t>4.比选文件中规定工程量清单不允许修改的内容不得修改。</w:t>
            </w:r>
          </w:p>
        </w:tc>
      </w:tr>
      <w:tr w14:paraId="2D358A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86" w:hRule="atLeast"/>
          <w:jc w:val="center"/>
        </w:trPr>
        <w:tc>
          <w:tcPr>
            <w:tcW w:w="851" w:type="dxa"/>
            <w:vMerge w:val="continue"/>
            <w:vAlign w:val="center"/>
          </w:tcPr>
          <w:p w14:paraId="07E3E7C1">
            <w:pPr>
              <w:spacing w:line="360" w:lineRule="auto"/>
              <w:rPr>
                <w:rFonts w:hint="eastAsia" w:ascii="宋体" w:hAnsi="宋体" w:cs="仿宋"/>
                <w:kern w:val="0"/>
                <w:szCs w:val="21"/>
              </w:rPr>
            </w:pPr>
          </w:p>
        </w:tc>
        <w:tc>
          <w:tcPr>
            <w:tcW w:w="567" w:type="dxa"/>
            <w:vMerge w:val="continue"/>
            <w:textDirection w:val="tbRlV"/>
            <w:vAlign w:val="center"/>
          </w:tcPr>
          <w:p w14:paraId="4D3E972D">
            <w:pPr>
              <w:spacing w:line="360" w:lineRule="auto"/>
              <w:rPr>
                <w:rFonts w:hint="eastAsia" w:ascii="宋体" w:hAnsi="宋体" w:cs="仿宋"/>
                <w:kern w:val="0"/>
                <w:szCs w:val="21"/>
              </w:rPr>
            </w:pPr>
          </w:p>
        </w:tc>
        <w:tc>
          <w:tcPr>
            <w:tcW w:w="2559" w:type="dxa"/>
            <w:gridSpan w:val="2"/>
            <w:vAlign w:val="center"/>
          </w:tcPr>
          <w:p w14:paraId="753A7ECC">
            <w:pPr>
              <w:spacing w:line="360" w:lineRule="auto"/>
              <w:rPr>
                <w:rFonts w:hint="eastAsia" w:ascii="宋体" w:hAnsi="宋体" w:cs="仿宋"/>
                <w:kern w:val="0"/>
                <w:szCs w:val="21"/>
              </w:rPr>
            </w:pPr>
            <w:r>
              <w:rPr>
                <w:rFonts w:hint="eastAsia" w:ascii="宋体" w:hAnsi="宋体" w:cs="仿宋"/>
                <w:kern w:val="0"/>
                <w:szCs w:val="21"/>
              </w:rPr>
              <w:t>竞选内容</w:t>
            </w:r>
          </w:p>
        </w:tc>
        <w:tc>
          <w:tcPr>
            <w:tcW w:w="5493" w:type="dxa"/>
            <w:vAlign w:val="center"/>
          </w:tcPr>
          <w:p w14:paraId="601F5610">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符合第二章“竞选人须知”第1.3.1项规定</w:t>
            </w:r>
          </w:p>
        </w:tc>
      </w:tr>
      <w:tr w14:paraId="7271D0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87" w:hRule="atLeast"/>
          <w:jc w:val="center"/>
        </w:trPr>
        <w:tc>
          <w:tcPr>
            <w:tcW w:w="851" w:type="dxa"/>
            <w:vMerge w:val="continue"/>
          </w:tcPr>
          <w:p w14:paraId="7A166AD5">
            <w:pPr>
              <w:spacing w:line="360" w:lineRule="auto"/>
              <w:rPr>
                <w:rFonts w:hint="eastAsia" w:ascii="宋体" w:hAnsi="宋体" w:cs="仿宋"/>
                <w:kern w:val="0"/>
                <w:szCs w:val="21"/>
              </w:rPr>
            </w:pPr>
          </w:p>
        </w:tc>
        <w:tc>
          <w:tcPr>
            <w:tcW w:w="567" w:type="dxa"/>
            <w:vMerge w:val="continue"/>
          </w:tcPr>
          <w:p w14:paraId="490D78F8">
            <w:pPr>
              <w:spacing w:line="360" w:lineRule="auto"/>
              <w:rPr>
                <w:rFonts w:hint="eastAsia" w:ascii="宋体" w:hAnsi="宋体" w:cs="仿宋"/>
                <w:kern w:val="0"/>
                <w:szCs w:val="21"/>
              </w:rPr>
            </w:pPr>
          </w:p>
        </w:tc>
        <w:tc>
          <w:tcPr>
            <w:tcW w:w="2559" w:type="dxa"/>
            <w:gridSpan w:val="2"/>
            <w:vAlign w:val="center"/>
          </w:tcPr>
          <w:p w14:paraId="24E6AB38">
            <w:pPr>
              <w:spacing w:line="360" w:lineRule="auto"/>
              <w:rPr>
                <w:rFonts w:hint="eastAsia" w:ascii="宋体" w:hAnsi="宋体" w:cs="仿宋"/>
                <w:kern w:val="0"/>
                <w:szCs w:val="21"/>
              </w:rPr>
            </w:pPr>
            <w:r>
              <w:rPr>
                <w:rFonts w:hint="eastAsia" w:ascii="宋体" w:hAnsi="宋体" w:cs="仿宋"/>
                <w:kern w:val="0"/>
                <w:szCs w:val="21"/>
              </w:rPr>
              <w:t>服务期限</w:t>
            </w:r>
          </w:p>
        </w:tc>
        <w:tc>
          <w:tcPr>
            <w:tcW w:w="5493" w:type="dxa"/>
            <w:vAlign w:val="center"/>
          </w:tcPr>
          <w:p w14:paraId="4043571D">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符合第二章“竞选人须知”第1.3.2项规定</w:t>
            </w:r>
          </w:p>
        </w:tc>
      </w:tr>
      <w:tr w14:paraId="19F785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5" w:hRule="atLeast"/>
          <w:jc w:val="center"/>
        </w:trPr>
        <w:tc>
          <w:tcPr>
            <w:tcW w:w="851" w:type="dxa"/>
            <w:vMerge w:val="continue"/>
          </w:tcPr>
          <w:p w14:paraId="134DE8A3">
            <w:pPr>
              <w:spacing w:line="360" w:lineRule="auto"/>
              <w:rPr>
                <w:rFonts w:hint="eastAsia" w:ascii="宋体" w:hAnsi="宋体" w:cs="仿宋"/>
                <w:kern w:val="0"/>
                <w:szCs w:val="21"/>
              </w:rPr>
            </w:pPr>
          </w:p>
        </w:tc>
        <w:tc>
          <w:tcPr>
            <w:tcW w:w="567" w:type="dxa"/>
            <w:vMerge w:val="continue"/>
          </w:tcPr>
          <w:p w14:paraId="2EE26518">
            <w:pPr>
              <w:spacing w:line="360" w:lineRule="auto"/>
              <w:rPr>
                <w:rFonts w:hint="eastAsia" w:ascii="宋体" w:hAnsi="宋体" w:cs="仿宋"/>
                <w:kern w:val="0"/>
                <w:szCs w:val="21"/>
              </w:rPr>
            </w:pPr>
          </w:p>
        </w:tc>
        <w:tc>
          <w:tcPr>
            <w:tcW w:w="2559" w:type="dxa"/>
            <w:gridSpan w:val="2"/>
            <w:vAlign w:val="center"/>
          </w:tcPr>
          <w:p w14:paraId="3E4D262E">
            <w:pPr>
              <w:spacing w:line="360" w:lineRule="auto"/>
              <w:rPr>
                <w:rFonts w:hint="eastAsia" w:ascii="宋体" w:hAnsi="宋体" w:cs="仿宋"/>
                <w:kern w:val="0"/>
                <w:szCs w:val="21"/>
              </w:rPr>
            </w:pPr>
            <w:r>
              <w:rPr>
                <w:rFonts w:hint="eastAsia" w:ascii="宋体" w:hAnsi="宋体" w:cs="仿宋"/>
                <w:kern w:val="0"/>
                <w:szCs w:val="21"/>
              </w:rPr>
              <w:t>竞选有效期</w:t>
            </w:r>
          </w:p>
        </w:tc>
        <w:tc>
          <w:tcPr>
            <w:tcW w:w="5493" w:type="dxa"/>
            <w:vAlign w:val="center"/>
          </w:tcPr>
          <w:p w14:paraId="30BE9219">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符合第二章“竞选人须知”第3.3.1项规定</w:t>
            </w:r>
          </w:p>
        </w:tc>
      </w:tr>
      <w:tr w14:paraId="35E1DD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5" w:hRule="atLeast"/>
          <w:jc w:val="center"/>
        </w:trPr>
        <w:tc>
          <w:tcPr>
            <w:tcW w:w="851" w:type="dxa"/>
            <w:vMerge w:val="continue"/>
          </w:tcPr>
          <w:p w14:paraId="47C29C7D">
            <w:pPr>
              <w:spacing w:line="360" w:lineRule="auto"/>
              <w:rPr>
                <w:rFonts w:hint="eastAsia" w:ascii="宋体" w:hAnsi="宋体" w:cs="仿宋"/>
                <w:kern w:val="0"/>
                <w:szCs w:val="21"/>
              </w:rPr>
            </w:pPr>
          </w:p>
        </w:tc>
        <w:tc>
          <w:tcPr>
            <w:tcW w:w="567" w:type="dxa"/>
            <w:vMerge w:val="continue"/>
          </w:tcPr>
          <w:p w14:paraId="0FFA515D">
            <w:pPr>
              <w:spacing w:line="360" w:lineRule="auto"/>
              <w:rPr>
                <w:rFonts w:hint="eastAsia" w:ascii="宋体" w:hAnsi="宋体" w:cs="仿宋"/>
                <w:kern w:val="0"/>
                <w:szCs w:val="21"/>
              </w:rPr>
            </w:pPr>
          </w:p>
        </w:tc>
        <w:tc>
          <w:tcPr>
            <w:tcW w:w="2559" w:type="dxa"/>
            <w:gridSpan w:val="2"/>
            <w:vAlign w:val="center"/>
          </w:tcPr>
          <w:p w14:paraId="11100A1F">
            <w:pPr>
              <w:spacing w:line="360" w:lineRule="auto"/>
              <w:rPr>
                <w:rFonts w:hint="eastAsia" w:ascii="宋体" w:hAnsi="宋体" w:cs="仿宋"/>
                <w:kern w:val="0"/>
                <w:szCs w:val="21"/>
              </w:rPr>
            </w:pPr>
            <w:r>
              <w:rPr>
                <w:rFonts w:hint="eastAsia" w:ascii="宋体" w:hAnsi="宋体" w:cs="仿宋"/>
                <w:kern w:val="0"/>
                <w:szCs w:val="21"/>
              </w:rPr>
              <w:t>竞选保证金</w:t>
            </w:r>
          </w:p>
        </w:tc>
        <w:tc>
          <w:tcPr>
            <w:tcW w:w="5493" w:type="dxa"/>
            <w:vAlign w:val="center"/>
          </w:tcPr>
          <w:p w14:paraId="2F60F69E">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符合第二章“竞选人须知”前附表第3.4款规定</w:t>
            </w:r>
          </w:p>
        </w:tc>
      </w:tr>
      <w:tr w14:paraId="06C0CC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34F93448">
            <w:pPr>
              <w:spacing w:line="360" w:lineRule="auto"/>
              <w:rPr>
                <w:rFonts w:hint="eastAsia" w:ascii="宋体" w:hAnsi="宋体" w:cs="仿宋"/>
                <w:kern w:val="0"/>
                <w:szCs w:val="21"/>
              </w:rPr>
            </w:pPr>
          </w:p>
        </w:tc>
        <w:tc>
          <w:tcPr>
            <w:tcW w:w="567" w:type="dxa"/>
            <w:vMerge w:val="continue"/>
          </w:tcPr>
          <w:p w14:paraId="57578E23">
            <w:pPr>
              <w:spacing w:line="360" w:lineRule="auto"/>
              <w:rPr>
                <w:rFonts w:hint="eastAsia" w:ascii="宋体" w:hAnsi="宋体" w:cs="仿宋"/>
                <w:kern w:val="0"/>
                <w:szCs w:val="21"/>
              </w:rPr>
            </w:pPr>
          </w:p>
        </w:tc>
        <w:tc>
          <w:tcPr>
            <w:tcW w:w="2559" w:type="dxa"/>
            <w:gridSpan w:val="2"/>
            <w:vAlign w:val="center"/>
          </w:tcPr>
          <w:p w14:paraId="54F4C8B4">
            <w:pPr>
              <w:spacing w:line="360" w:lineRule="auto"/>
              <w:rPr>
                <w:rFonts w:hint="eastAsia" w:ascii="宋体" w:hAnsi="宋体" w:cs="仿宋"/>
                <w:kern w:val="0"/>
                <w:szCs w:val="21"/>
              </w:rPr>
            </w:pPr>
            <w:r>
              <w:rPr>
                <w:rFonts w:hint="eastAsia" w:ascii="宋体" w:hAnsi="宋体" w:cs="仿宋"/>
                <w:kern w:val="0"/>
                <w:szCs w:val="21"/>
              </w:rPr>
              <w:t>权利义务</w:t>
            </w:r>
          </w:p>
        </w:tc>
        <w:tc>
          <w:tcPr>
            <w:tcW w:w="5493" w:type="dxa"/>
            <w:vAlign w:val="center"/>
          </w:tcPr>
          <w:p w14:paraId="4DC4821F">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符合第四章“合同条款及格式”规定，竞选文件不应附有比选人不能接受的条件。（由竞选人自行承诺。）</w:t>
            </w:r>
          </w:p>
        </w:tc>
      </w:tr>
      <w:tr w14:paraId="5C7BA1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2D66EB24">
            <w:pPr>
              <w:spacing w:line="360" w:lineRule="auto"/>
              <w:rPr>
                <w:rFonts w:hint="eastAsia" w:ascii="宋体" w:hAnsi="宋体" w:cs="仿宋"/>
                <w:kern w:val="0"/>
                <w:szCs w:val="21"/>
              </w:rPr>
            </w:pPr>
          </w:p>
        </w:tc>
        <w:tc>
          <w:tcPr>
            <w:tcW w:w="567" w:type="dxa"/>
            <w:vMerge w:val="continue"/>
          </w:tcPr>
          <w:p w14:paraId="60578E68">
            <w:pPr>
              <w:spacing w:line="360" w:lineRule="auto"/>
              <w:rPr>
                <w:rFonts w:hint="eastAsia" w:ascii="宋体" w:hAnsi="宋体" w:cs="仿宋"/>
                <w:kern w:val="0"/>
                <w:szCs w:val="21"/>
              </w:rPr>
            </w:pPr>
          </w:p>
        </w:tc>
        <w:tc>
          <w:tcPr>
            <w:tcW w:w="2559" w:type="dxa"/>
            <w:gridSpan w:val="2"/>
            <w:vAlign w:val="center"/>
          </w:tcPr>
          <w:p w14:paraId="19FF0CD1">
            <w:pPr>
              <w:spacing w:line="360" w:lineRule="auto"/>
              <w:rPr>
                <w:rFonts w:hint="eastAsia" w:ascii="宋体" w:hAnsi="宋体" w:cs="仿宋"/>
                <w:kern w:val="0"/>
                <w:szCs w:val="21"/>
              </w:rPr>
            </w:pPr>
            <w:r>
              <w:rPr>
                <w:rFonts w:hint="eastAsia" w:ascii="宋体" w:hAnsi="宋体" w:cs="仿宋"/>
                <w:kern w:val="0"/>
                <w:szCs w:val="21"/>
              </w:rPr>
              <w:t>实质性要求</w:t>
            </w:r>
          </w:p>
        </w:tc>
        <w:tc>
          <w:tcPr>
            <w:tcW w:w="5493" w:type="dxa"/>
            <w:vAlign w:val="center"/>
          </w:tcPr>
          <w:p w14:paraId="689B6A04">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符合第二章“竞选人须知”第1.4.3项规定。</w:t>
            </w:r>
          </w:p>
          <w:p w14:paraId="2D3F0F38">
            <w:pPr>
              <w:spacing w:line="360" w:lineRule="auto"/>
              <w:ind w:firstLine="420" w:firstLineChars="200"/>
              <w:rPr>
                <w:rFonts w:hint="eastAsia" w:ascii="宋体" w:hAnsi="宋体" w:cs="仿宋"/>
                <w:kern w:val="0"/>
                <w:szCs w:val="21"/>
              </w:rPr>
            </w:pPr>
            <w:r>
              <w:rPr>
                <w:rFonts w:hint="eastAsia" w:ascii="宋体" w:hAnsi="宋体" w:cs="仿宋"/>
                <w:kern w:val="0"/>
                <w:szCs w:val="21"/>
              </w:rPr>
              <w:t>本次竞选不得有串通</w:t>
            </w:r>
            <w:r>
              <w:rPr>
                <w:rFonts w:hint="eastAsia" w:ascii="宋体" w:hAnsi="宋体" w:cs="仿宋"/>
                <w:kern w:val="0"/>
                <w:szCs w:val="21"/>
                <w:lang w:eastAsia="zh-CN"/>
              </w:rPr>
              <w:t>竞选</w:t>
            </w:r>
            <w:r>
              <w:rPr>
                <w:rFonts w:hint="eastAsia" w:ascii="宋体" w:hAnsi="宋体" w:cs="仿宋"/>
                <w:kern w:val="0"/>
                <w:szCs w:val="21"/>
              </w:rPr>
              <w:t>、弄虚作假等其他违反招</w:t>
            </w:r>
            <w:r>
              <w:rPr>
                <w:rFonts w:hint="eastAsia" w:ascii="宋体" w:hAnsi="宋体" w:cs="仿宋"/>
                <w:kern w:val="0"/>
                <w:szCs w:val="21"/>
                <w:lang w:eastAsia="zh-CN"/>
              </w:rPr>
              <w:t>竞选</w:t>
            </w:r>
            <w:r>
              <w:rPr>
                <w:rFonts w:hint="eastAsia" w:ascii="宋体" w:hAnsi="宋体" w:cs="仿宋"/>
                <w:kern w:val="0"/>
                <w:szCs w:val="21"/>
              </w:rPr>
              <w:t>相关法律、法规行为。</w:t>
            </w:r>
          </w:p>
          <w:p w14:paraId="6737A32B">
            <w:pPr>
              <w:spacing w:line="360" w:lineRule="auto"/>
              <w:ind w:firstLine="420" w:firstLineChars="200"/>
              <w:rPr>
                <w:rFonts w:hint="eastAsia" w:ascii="宋体" w:hAnsi="宋体" w:cs="仿宋"/>
                <w:kern w:val="0"/>
                <w:szCs w:val="21"/>
              </w:rPr>
            </w:pPr>
            <w:r>
              <w:rPr>
                <w:rFonts w:hint="eastAsia" w:ascii="宋体" w:hAnsi="宋体" w:cs="仿宋"/>
                <w:kern w:val="0"/>
                <w:szCs w:val="21"/>
              </w:rPr>
              <w:t>按评标委员会要求澄清、说明或补正。</w:t>
            </w:r>
          </w:p>
        </w:tc>
      </w:tr>
      <w:tr w14:paraId="6B3A63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18" w:type="dxa"/>
            <w:gridSpan w:val="2"/>
            <w:vAlign w:val="center"/>
          </w:tcPr>
          <w:p w14:paraId="0E00043A">
            <w:pPr>
              <w:spacing w:line="360" w:lineRule="auto"/>
              <w:rPr>
                <w:rFonts w:hint="eastAsia" w:ascii="宋体" w:hAnsi="宋体" w:cs="仿宋"/>
                <w:kern w:val="0"/>
                <w:szCs w:val="21"/>
              </w:rPr>
            </w:pPr>
            <w:r>
              <w:rPr>
                <w:rFonts w:ascii="宋体" w:hAnsi="宋体"/>
              </w:rPr>
              <w:t>3</w:t>
            </w:r>
          </w:p>
        </w:tc>
        <w:tc>
          <w:tcPr>
            <w:tcW w:w="2559" w:type="dxa"/>
            <w:gridSpan w:val="2"/>
            <w:vAlign w:val="center"/>
          </w:tcPr>
          <w:p w14:paraId="31AED39A">
            <w:pPr>
              <w:spacing w:line="360" w:lineRule="auto"/>
              <w:rPr>
                <w:rFonts w:hint="eastAsia" w:ascii="宋体" w:hAnsi="宋体" w:cs="仿宋"/>
                <w:kern w:val="0"/>
                <w:szCs w:val="21"/>
              </w:rPr>
            </w:pPr>
            <w:r>
              <w:rPr>
                <w:rFonts w:hint="eastAsia" w:ascii="宋体" w:hAnsi="宋体"/>
              </w:rPr>
              <w:t>评标程序</w:t>
            </w:r>
          </w:p>
        </w:tc>
        <w:tc>
          <w:tcPr>
            <w:tcW w:w="5493" w:type="dxa"/>
            <w:vAlign w:val="center"/>
          </w:tcPr>
          <w:p w14:paraId="1AF88D12">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1.对报价不高于最高限价的所有竞选人的</w:t>
            </w:r>
            <w:r>
              <w:rPr>
                <w:rFonts w:hint="eastAsia" w:ascii="宋体" w:hAnsi="宋体"/>
                <w:kern w:val="0"/>
                <w:szCs w:val="21"/>
                <w:lang w:eastAsia="zh-CN"/>
              </w:rPr>
              <w:t>竞选</w:t>
            </w:r>
            <w:r>
              <w:rPr>
                <w:rFonts w:hint="eastAsia" w:ascii="宋体" w:hAnsi="宋体"/>
                <w:kern w:val="0"/>
                <w:szCs w:val="21"/>
              </w:rPr>
              <w:t>文件，按照报价由低到高的顺序排序。</w:t>
            </w:r>
          </w:p>
          <w:p w14:paraId="4C48A203">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合格的竞选人中，报价最低的成为第一中标候选人，报价次低的成为第二中标候选人，依次类推。</w:t>
            </w:r>
          </w:p>
          <w:p w14:paraId="197C28F4">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w:t>
            </w:r>
            <w:r>
              <w:rPr>
                <w:rFonts w:hint="eastAsia" w:ascii="宋体" w:hAnsi="宋体"/>
                <w:kern w:val="0"/>
                <w:szCs w:val="21"/>
                <w:lang w:eastAsia="zh-CN"/>
              </w:rPr>
              <w:t>竞选</w:t>
            </w:r>
            <w:r>
              <w:rPr>
                <w:rFonts w:hint="eastAsia" w:ascii="宋体" w:hAnsi="宋体"/>
                <w:kern w:val="0"/>
                <w:szCs w:val="21"/>
              </w:rPr>
              <w:t>文件继续按上述第2条进行评审，直至评出三名中标候选人，或者评审完所有</w:t>
            </w:r>
            <w:r>
              <w:rPr>
                <w:rFonts w:hint="eastAsia" w:ascii="宋体" w:hAnsi="宋体"/>
                <w:kern w:val="0"/>
                <w:szCs w:val="21"/>
                <w:lang w:eastAsia="zh-CN"/>
              </w:rPr>
              <w:t>竞选</w:t>
            </w:r>
            <w:r>
              <w:rPr>
                <w:rFonts w:hint="eastAsia" w:ascii="宋体" w:hAnsi="宋体"/>
                <w:kern w:val="0"/>
                <w:szCs w:val="21"/>
              </w:rPr>
              <w:t>文件。</w:t>
            </w:r>
          </w:p>
          <w:p w14:paraId="4B3BE6A4">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w:t>
            </w:r>
            <w:r>
              <w:rPr>
                <w:rFonts w:hint="eastAsia" w:ascii="宋体" w:hAnsi="宋体"/>
                <w:kern w:val="0"/>
                <w:szCs w:val="21"/>
                <w:lang w:eastAsia="zh-CN"/>
              </w:rPr>
              <w:t>竞选</w:t>
            </w:r>
            <w:r>
              <w:rPr>
                <w:rFonts w:hint="eastAsia" w:ascii="宋体" w:hAnsi="宋体"/>
                <w:kern w:val="0"/>
                <w:szCs w:val="21"/>
              </w:rPr>
              <w:t>处理，导致有效竞选人不足三个的，评标委员会应当否决所有</w:t>
            </w:r>
            <w:r>
              <w:rPr>
                <w:rFonts w:hint="eastAsia" w:ascii="宋体" w:hAnsi="宋体"/>
                <w:kern w:val="0"/>
                <w:szCs w:val="21"/>
                <w:lang w:eastAsia="zh-CN"/>
              </w:rPr>
              <w:t>竞选</w:t>
            </w:r>
            <w:r>
              <w:rPr>
                <w:rFonts w:hint="eastAsia" w:ascii="宋体" w:hAnsi="宋体"/>
                <w:kern w:val="0"/>
                <w:szCs w:val="21"/>
              </w:rPr>
              <w:t>。但是有效竞选人的经济、技术等指标仍然具有市场竞争力，并满足招标文件要求的，评标委员会可以继续评标并确定中标候选人。</w:t>
            </w:r>
          </w:p>
          <w:p w14:paraId="540BFECA">
            <w:pPr>
              <w:spacing w:line="360" w:lineRule="auto"/>
              <w:ind w:firstLine="420" w:firstLineChars="200"/>
              <w:rPr>
                <w:rFonts w:hint="eastAsia" w:ascii="宋体" w:hAnsi="宋体" w:cs="仿宋"/>
                <w:kern w:val="0"/>
                <w:szCs w:val="21"/>
              </w:rPr>
            </w:pPr>
            <w:r>
              <w:rPr>
                <w:rFonts w:hint="eastAsia" w:ascii="宋体" w:hAnsi="宋体"/>
                <w:kern w:val="0"/>
                <w:szCs w:val="21"/>
              </w:rPr>
              <w:t>注：若出现竞选人</w:t>
            </w:r>
            <w:r>
              <w:rPr>
                <w:rFonts w:hint="eastAsia" w:ascii="宋体" w:hAnsi="宋体"/>
                <w:kern w:val="0"/>
                <w:szCs w:val="21"/>
                <w:lang w:eastAsia="zh-CN"/>
              </w:rPr>
              <w:t>竞选</w:t>
            </w:r>
            <w:r>
              <w:rPr>
                <w:rFonts w:hint="eastAsia" w:ascii="宋体" w:hAnsi="宋体"/>
                <w:kern w:val="0"/>
                <w:szCs w:val="21"/>
              </w:rPr>
              <w:t>报价相同的，</w:t>
            </w:r>
            <w:r>
              <w:rPr>
                <w:rFonts w:hint="eastAsia" w:ascii="宋体" w:hAnsi="宋体"/>
                <w:spacing w:val="4"/>
                <w:kern w:val="0"/>
                <w:szCs w:val="21"/>
              </w:rPr>
              <w:t>由评标委员会按照</w:t>
            </w:r>
            <w:r>
              <w:rPr>
                <w:rFonts w:hint="eastAsia" w:ascii="宋体" w:hAnsi="宋体"/>
                <w:spacing w:val="4"/>
                <w:kern w:val="0"/>
                <w:szCs w:val="21"/>
                <w:u w:val="single"/>
              </w:rPr>
              <w:t xml:space="preserve">  投票表决   </w:t>
            </w:r>
            <w:r>
              <w:rPr>
                <w:rFonts w:hint="eastAsia" w:ascii="宋体" w:hAnsi="宋体"/>
                <w:spacing w:val="4"/>
                <w:kern w:val="0"/>
                <w:szCs w:val="21"/>
              </w:rPr>
              <w:t>原则排序。</w:t>
            </w:r>
          </w:p>
        </w:tc>
      </w:tr>
      <w:tr w14:paraId="1C0A15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Align w:val="center"/>
          </w:tcPr>
          <w:p w14:paraId="3A108FF7">
            <w:pPr>
              <w:spacing w:line="360" w:lineRule="auto"/>
              <w:jc w:val="center"/>
              <w:rPr>
                <w:rFonts w:hint="eastAsia" w:ascii="宋体" w:hAnsi="宋体" w:cs="仿宋"/>
                <w:kern w:val="0"/>
                <w:szCs w:val="21"/>
              </w:rPr>
            </w:pPr>
            <w:r>
              <w:rPr>
                <w:rFonts w:hint="eastAsia" w:ascii="宋体" w:hAnsi="宋体" w:cs="仿宋"/>
                <w:kern w:val="0"/>
                <w:szCs w:val="21"/>
              </w:rPr>
              <w:t>3</w:t>
            </w:r>
          </w:p>
        </w:tc>
        <w:tc>
          <w:tcPr>
            <w:tcW w:w="1135" w:type="dxa"/>
            <w:gridSpan w:val="2"/>
            <w:vAlign w:val="center"/>
          </w:tcPr>
          <w:p w14:paraId="286FD5F7">
            <w:pPr>
              <w:spacing w:line="360" w:lineRule="auto"/>
              <w:rPr>
                <w:rFonts w:hint="eastAsia" w:ascii="宋体" w:hAnsi="宋体" w:cs="仿宋"/>
                <w:kern w:val="0"/>
                <w:szCs w:val="21"/>
              </w:rPr>
            </w:pPr>
            <w:r>
              <w:rPr>
                <w:rFonts w:hint="eastAsia" w:ascii="宋体" w:hAnsi="宋体" w:cs="仿宋"/>
                <w:kern w:val="0"/>
                <w:szCs w:val="21"/>
              </w:rPr>
              <w:t>评标程序</w:t>
            </w:r>
          </w:p>
        </w:tc>
        <w:tc>
          <w:tcPr>
            <w:tcW w:w="7484" w:type="dxa"/>
            <w:gridSpan w:val="2"/>
          </w:tcPr>
          <w:p w14:paraId="65703966">
            <w:pPr>
              <w:spacing w:line="360" w:lineRule="auto"/>
              <w:ind w:firstLine="420" w:firstLineChars="200"/>
              <w:rPr>
                <w:rFonts w:hint="eastAsia" w:ascii="宋体" w:hAnsi="宋体" w:cs="仿宋"/>
                <w:kern w:val="0"/>
                <w:szCs w:val="21"/>
              </w:rPr>
            </w:pPr>
            <w:r>
              <w:rPr>
                <w:rFonts w:hint="eastAsia" w:ascii="宋体" w:hAnsi="宋体" w:cs="仿宋"/>
                <w:kern w:val="0"/>
                <w:szCs w:val="21"/>
              </w:rPr>
              <w:t>1.按本章评标办法第3.1款进行初步评审。未通过初步评审或评标委员会认定为无效的竞选文件的不再进行后续评审。</w:t>
            </w:r>
          </w:p>
          <w:p w14:paraId="1D56E1A3">
            <w:pPr>
              <w:spacing w:line="360" w:lineRule="auto"/>
              <w:ind w:firstLine="420" w:firstLineChars="200"/>
              <w:rPr>
                <w:rFonts w:hint="eastAsia" w:ascii="宋体" w:hAnsi="宋体" w:cs="仿宋"/>
                <w:kern w:val="0"/>
                <w:szCs w:val="21"/>
              </w:rPr>
            </w:pPr>
            <w:r>
              <w:rPr>
                <w:rFonts w:hint="eastAsia" w:ascii="宋体" w:hAnsi="宋体" w:cs="仿宋"/>
                <w:kern w:val="0"/>
                <w:szCs w:val="21"/>
              </w:rPr>
              <w:t>2.因评标委员会作否决</w:t>
            </w:r>
            <w:r>
              <w:rPr>
                <w:rFonts w:hint="eastAsia" w:ascii="宋体" w:hAnsi="宋体" w:cs="仿宋"/>
                <w:kern w:val="0"/>
                <w:szCs w:val="21"/>
                <w:lang w:eastAsia="zh-CN"/>
              </w:rPr>
              <w:t>竞选</w:t>
            </w:r>
            <w:r>
              <w:rPr>
                <w:rFonts w:hint="eastAsia" w:ascii="宋体" w:hAnsi="宋体" w:cs="仿宋"/>
                <w:kern w:val="0"/>
                <w:szCs w:val="21"/>
              </w:rPr>
              <w:t>处理导致有效竞选人不足三个的，评标委员会判定有效竞选人的经济、技术等指标仍然具有市场竞争力，能够满足比选文件要求的，评标委员会可以继续评标并确定中标候选人。</w:t>
            </w:r>
          </w:p>
          <w:p w14:paraId="291AED0D">
            <w:pPr>
              <w:spacing w:line="360" w:lineRule="auto"/>
              <w:ind w:firstLine="420" w:firstLineChars="200"/>
              <w:rPr>
                <w:rFonts w:hint="eastAsia" w:ascii="宋体" w:hAnsi="宋体" w:cs="仿宋"/>
                <w:kern w:val="0"/>
                <w:szCs w:val="21"/>
              </w:rPr>
            </w:pPr>
            <w:r>
              <w:rPr>
                <w:rFonts w:hint="eastAsia" w:ascii="宋体" w:hAnsi="宋体" w:cs="仿宋"/>
                <w:kern w:val="0"/>
                <w:szCs w:val="21"/>
              </w:rPr>
              <w:t>3.对初步评审合格的竞选人按照本章第2.2.3项计算方法计算评标基准价，并按本附表第3.2.1（2）目规定的评分方法对竞选总报价进行评分。</w:t>
            </w:r>
          </w:p>
          <w:p w14:paraId="0904E677">
            <w:pPr>
              <w:spacing w:line="360" w:lineRule="auto"/>
              <w:ind w:firstLine="420" w:firstLineChars="200"/>
              <w:rPr>
                <w:rFonts w:hint="eastAsia" w:ascii="宋体" w:hAnsi="宋体" w:cs="仿宋"/>
                <w:kern w:val="0"/>
                <w:szCs w:val="21"/>
              </w:rPr>
            </w:pPr>
            <w:r>
              <w:rPr>
                <w:rFonts w:hint="eastAsia" w:ascii="宋体" w:hAnsi="宋体" w:cs="仿宋"/>
                <w:kern w:val="0"/>
                <w:szCs w:val="21"/>
              </w:rPr>
              <w:t>4.对技术部分、商务部分、竞选总报价得分进行汇总，确定得分由高至低前三名竞选人为中标候选人。</w:t>
            </w:r>
          </w:p>
        </w:tc>
      </w:tr>
      <w:tr w14:paraId="509E55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Align w:val="center"/>
          </w:tcPr>
          <w:p w14:paraId="49E511A0">
            <w:pPr>
              <w:spacing w:line="360" w:lineRule="auto"/>
              <w:jc w:val="center"/>
              <w:rPr>
                <w:rFonts w:hint="eastAsia" w:ascii="宋体" w:hAnsi="宋体" w:cs="仿宋"/>
                <w:kern w:val="0"/>
                <w:szCs w:val="21"/>
              </w:rPr>
            </w:pPr>
            <w:r>
              <w:rPr>
                <w:rFonts w:hint="eastAsia" w:ascii="宋体" w:hAnsi="宋体"/>
              </w:rPr>
              <w:t>3.4</w:t>
            </w:r>
          </w:p>
        </w:tc>
        <w:tc>
          <w:tcPr>
            <w:tcW w:w="1135" w:type="dxa"/>
            <w:gridSpan w:val="2"/>
            <w:vAlign w:val="center"/>
          </w:tcPr>
          <w:p w14:paraId="73E1F9D8">
            <w:pPr>
              <w:spacing w:line="360" w:lineRule="auto"/>
              <w:rPr>
                <w:rFonts w:hint="eastAsia" w:ascii="宋体" w:hAnsi="宋体" w:cs="仿宋"/>
                <w:kern w:val="0"/>
                <w:szCs w:val="21"/>
              </w:rPr>
            </w:pPr>
            <w:r>
              <w:rPr>
                <w:rFonts w:ascii="宋体" w:hAnsi="宋体"/>
              </w:rPr>
              <w:t>评标结果</w:t>
            </w:r>
          </w:p>
        </w:tc>
        <w:tc>
          <w:tcPr>
            <w:tcW w:w="7484" w:type="dxa"/>
            <w:gridSpan w:val="2"/>
            <w:vAlign w:val="center"/>
          </w:tcPr>
          <w:p w14:paraId="3F3AC1B0">
            <w:pPr>
              <w:autoSpaceDE w:val="0"/>
              <w:autoSpaceDN w:val="0"/>
              <w:adjustRightInd w:val="0"/>
              <w:snapToGrid w:val="0"/>
              <w:spacing w:line="400" w:lineRule="exact"/>
              <w:ind w:firstLine="420"/>
              <w:jc w:val="left"/>
              <w:rPr>
                <w:rFonts w:hint="eastAsia"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w:t>
            </w:r>
            <w:r>
              <w:rPr>
                <w:rFonts w:hint="eastAsia" w:ascii="宋体" w:hAnsi="宋体"/>
                <w:kern w:val="0"/>
                <w:szCs w:val="21"/>
              </w:rPr>
              <w:t>竞选人须知</w:t>
            </w:r>
            <w:r>
              <w:rPr>
                <w:rFonts w:ascii="宋体" w:hAnsi="宋体"/>
                <w:kern w:val="0"/>
                <w:szCs w:val="21"/>
              </w:rPr>
              <w:t>”前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w:t>
            </w:r>
            <w:r>
              <w:rPr>
                <w:rFonts w:hint="eastAsia" w:ascii="宋体" w:hAnsi="宋体"/>
                <w:kern w:val="0"/>
                <w:szCs w:val="21"/>
                <w:lang w:eastAsia="zh-CN"/>
              </w:rPr>
              <w:t>竞选</w:t>
            </w:r>
            <w:r>
              <w:rPr>
                <w:rFonts w:hint="eastAsia" w:ascii="宋体" w:hAnsi="宋体"/>
                <w:kern w:val="0"/>
                <w:szCs w:val="21"/>
              </w:rPr>
              <w:t>价法</w:t>
            </w:r>
            <w:r>
              <w:rPr>
                <w:rFonts w:ascii="宋体" w:hAnsi="宋体"/>
                <w:kern w:val="0"/>
                <w:szCs w:val="21"/>
              </w:rPr>
              <w:t>推荐中标候选人。</w:t>
            </w:r>
          </w:p>
          <w:p w14:paraId="4C255E45">
            <w:pPr>
              <w:spacing w:line="360" w:lineRule="auto"/>
              <w:ind w:firstLine="424" w:firstLineChars="200"/>
              <w:rPr>
                <w:rFonts w:hint="eastAsia" w:ascii="宋体" w:hAnsi="宋体" w:cs="仿宋"/>
                <w:kern w:val="0"/>
                <w:szCs w:val="21"/>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w:t>
            </w:r>
            <w:r>
              <w:rPr>
                <w:rFonts w:hint="eastAsia" w:ascii="宋体" w:hAnsi="宋体"/>
                <w:kern w:val="0"/>
                <w:szCs w:val="21"/>
              </w:rPr>
              <w:t>比选人</w:t>
            </w:r>
            <w:r>
              <w:rPr>
                <w:rFonts w:ascii="宋体" w:hAnsi="宋体"/>
                <w:kern w:val="0"/>
                <w:szCs w:val="21"/>
              </w:rPr>
              <w:t>提交书面评标报告。</w:t>
            </w:r>
          </w:p>
        </w:tc>
      </w:tr>
    </w:tbl>
    <w:p w14:paraId="6530F72F">
      <w:pPr>
        <w:pStyle w:val="106"/>
        <w:ind w:firstLine="480"/>
        <w:rPr>
          <w:snapToGrid w:val="0"/>
        </w:rPr>
      </w:pPr>
    </w:p>
    <w:bookmarkEnd w:id="644"/>
    <w:bookmarkEnd w:id="645"/>
    <w:bookmarkEnd w:id="646"/>
    <w:bookmarkEnd w:id="647"/>
    <w:bookmarkEnd w:id="648"/>
    <w:bookmarkEnd w:id="649"/>
    <w:bookmarkEnd w:id="665"/>
    <w:p w14:paraId="2287B9C4">
      <w:pPr>
        <w:widowControl/>
        <w:jc w:val="left"/>
        <w:rPr>
          <w:rFonts w:hint="eastAsia" w:ascii="宋体" w:hAnsi="宋体"/>
          <w:bCs/>
          <w:snapToGrid w:val="0"/>
          <w:sz w:val="32"/>
          <w:szCs w:val="32"/>
        </w:rPr>
      </w:pPr>
      <w:bookmarkStart w:id="666" w:name="_Toc57905886"/>
      <w:bookmarkStart w:id="667" w:name="_Toc12666"/>
      <w:bookmarkStart w:id="668" w:name="_Toc175920937"/>
      <w:bookmarkStart w:id="669" w:name="_Toc175920972"/>
      <w:bookmarkStart w:id="670" w:name="_Toc27750"/>
      <w:bookmarkStart w:id="671" w:name="_Toc22842"/>
      <w:r>
        <w:rPr>
          <w:rFonts w:hint="eastAsia" w:ascii="宋体" w:hAnsi="宋体"/>
          <w:b/>
          <w:snapToGrid w:val="0"/>
        </w:rPr>
        <w:br w:type="page"/>
      </w:r>
    </w:p>
    <w:bookmarkEnd w:id="666"/>
    <w:bookmarkEnd w:id="667"/>
    <w:bookmarkEnd w:id="668"/>
    <w:bookmarkEnd w:id="669"/>
    <w:bookmarkEnd w:id="670"/>
    <w:bookmarkEnd w:id="671"/>
    <w:p w14:paraId="4BEE5910">
      <w:pPr>
        <w:spacing w:line="360" w:lineRule="auto"/>
        <w:ind w:firstLine="420" w:firstLineChars="200"/>
        <w:rPr>
          <w:rFonts w:hint="eastAsia" w:ascii="宋体" w:hAnsi="宋体" w:cs="仿宋"/>
          <w:kern w:val="0"/>
          <w:szCs w:val="21"/>
        </w:rPr>
      </w:pPr>
      <w:r>
        <w:rPr>
          <w:rFonts w:hint="eastAsia" w:ascii="宋体" w:hAnsi="宋体" w:cs="仿宋"/>
          <w:kern w:val="0"/>
          <w:szCs w:val="21"/>
        </w:rPr>
        <w:t>1.  评标方法</w:t>
      </w:r>
    </w:p>
    <w:p w14:paraId="11DB91E2">
      <w:pPr>
        <w:spacing w:line="360" w:lineRule="auto"/>
        <w:ind w:firstLine="420" w:firstLineChars="200"/>
        <w:rPr>
          <w:rFonts w:hint="eastAsia" w:ascii="宋体" w:hAnsi="宋体" w:cs="仿宋"/>
          <w:kern w:val="0"/>
          <w:szCs w:val="21"/>
        </w:rPr>
      </w:pPr>
      <w:r>
        <w:rPr>
          <w:rFonts w:hint="eastAsia" w:ascii="宋体" w:hAnsi="宋体" w:cs="仿宋"/>
          <w:kern w:val="0"/>
          <w:szCs w:val="21"/>
        </w:rPr>
        <w:t>本次评标采用综合评估法。评标委员会按照本章第 2.2 款规定的评分标准进行打分，按得分由高到低顺序推荐中标候选人，或根据比选人授权直接确定中选人，若出现竞选人竞选报价相同的，以评标办法前附表约定的原则确定排序。</w:t>
      </w:r>
    </w:p>
    <w:p w14:paraId="2F784120">
      <w:pPr>
        <w:spacing w:line="360" w:lineRule="auto"/>
        <w:ind w:firstLine="420" w:firstLineChars="200"/>
        <w:rPr>
          <w:rFonts w:hint="eastAsia" w:ascii="宋体" w:hAnsi="宋体" w:cs="仿宋"/>
          <w:kern w:val="0"/>
          <w:szCs w:val="21"/>
        </w:rPr>
      </w:pPr>
      <w:bookmarkStart w:id="672" w:name="_Toc430530501"/>
      <w:bookmarkStart w:id="673" w:name="_Toc28040"/>
      <w:bookmarkStart w:id="674" w:name="_Toc224103385"/>
      <w:bookmarkStart w:id="675" w:name="_Toc287620752"/>
      <w:bookmarkStart w:id="676" w:name="_Toc57905898"/>
      <w:bookmarkStart w:id="677" w:name="_Toc509218777"/>
      <w:bookmarkStart w:id="678" w:name="_Toc287607813"/>
      <w:bookmarkStart w:id="679" w:name="_Toc200513199"/>
      <w:bookmarkStart w:id="680" w:name="_Toc277082619"/>
      <w:r>
        <w:rPr>
          <w:rFonts w:hint="eastAsia" w:ascii="宋体" w:hAnsi="宋体" w:cs="仿宋"/>
          <w:kern w:val="0"/>
          <w:szCs w:val="21"/>
        </w:rPr>
        <w:t>2.  评审标准</w:t>
      </w:r>
      <w:bookmarkEnd w:id="672"/>
      <w:bookmarkEnd w:id="673"/>
      <w:bookmarkEnd w:id="674"/>
      <w:bookmarkEnd w:id="675"/>
      <w:bookmarkEnd w:id="676"/>
      <w:bookmarkEnd w:id="677"/>
      <w:bookmarkEnd w:id="678"/>
      <w:bookmarkEnd w:id="679"/>
      <w:bookmarkEnd w:id="680"/>
    </w:p>
    <w:p w14:paraId="3367410B">
      <w:pPr>
        <w:spacing w:line="360" w:lineRule="auto"/>
        <w:ind w:firstLine="420" w:firstLineChars="200"/>
        <w:rPr>
          <w:rFonts w:hint="eastAsia" w:ascii="宋体" w:hAnsi="宋体" w:cs="仿宋"/>
          <w:kern w:val="0"/>
          <w:szCs w:val="21"/>
        </w:rPr>
      </w:pPr>
      <w:bookmarkStart w:id="681" w:name="_Toc430530502"/>
      <w:bookmarkStart w:id="682" w:name="_Toc200513200"/>
      <w:bookmarkStart w:id="683" w:name="_Toc2588"/>
      <w:bookmarkStart w:id="684" w:name="_Toc287607814"/>
      <w:bookmarkStart w:id="685" w:name="_Toc287620753"/>
      <w:bookmarkStart w:id="686" w:name="_Toc57905899"/>
      <w:bookmarkStart w:id="687" w:name="_Toc224103386"/>
      <w:bookmarkStart w:id="688" w:name="_Toc509218778"/>
      <w:bookmarkStart w:id="689" w:name="_Toc277082620"/>
      <w:r>
        <w:rPr>
          <w:rFonts w:hint="eastAsia" w:ascii="宋体" w:hAnsi="宋体" w:cs="仿宋"/>
          <w:kern w:val="0"/>
          <w:szCs w:val="21"/>
        </w:rPr>
        <w:t>2.1  初步评审标准</w:t>
      </w:r>
      <w:bookmarkEnd w:id="681"/>
      <w:bookmarkEnd w:id="682"/>
      <w:bookmarkEnd w:id="683"/>
      <w:bookmarkEnd w:id="684"/>
      <w:bookmarkEnd w:id="685"/>
      <w:bookmarkEnd w:id="686"/>
      <w:bookmarkEnd w:id="687"/>
      <w:bookmarkEnd w:id="688"/>
      <w:bookmarkEnd w:id="689"/>
    </w:p>
    <w:p w14:paraId="1B37035D">
      <w:pPr>
        <w:spacing w:line="360" w:lineRule="auto"/>
        <w:ind w:firstLine="420" w:firstLineChars="200"/>
        <w:rPr>
          <w:rFonts w:hint="eastAsia" w:ascii="宋体" w:hAnsi="宋体" w:cs="仿宋"/>
          <w:kern w:val="0"/>
          <w:szCs w:val="21"/>
        </w:rPr>
      </w:pPr>
      <w:r>
        <w:rPr>
          <w:rFonts w:hint="eastAsia" w:ascii="宋体" w:hAnsi="宋体" w:cs="仿宋"/>
          <w:kern w:val="0"/>
          <w:szCs w:val="21"/>
        </w:rPr>
        <w:t>2.1.1  资格评审标准：见评标办法前附表。</w:t>
      </w:r>
    </w:p>
    <w:p w14:paraId="2888BB63">
      <w:pPr>
        <w:spacing w:line="360" w:lineRule="auto"/>
        <w:ind w:firstLine="420" w:firstLineChars="200"/>
        <w:rPr>
          <w:rFonts w:hint="eastAsia" w:ascii="宋体" w:hAnsi="宋体" w:cs="仿宋"/>
          <w:kern w:val="0"/>
          <w:szCs w:val="21"/>
        </w:rPr>
      </w:pPr>
      <w:r>
        <w:rPr>
          <w:rFonts w:hint="eastAsia" w:ascii="宋体" w:hAnsi="宋体" w:cs="仿宋"/>
          <w:kern w:val="0"/>
          <w:szCs w:val="21"/>
        </w:rPr>
        <w:t>2.1.2  形式评审标准：见评标办法前附表。</w:t>
      </w:r>
    </w:p>
    <w:p w14:paraId="20898C13">
      <w:pPr>
        <w:spacing w:line="360" w:lineRule="auto"/>
        <w:ind w:firstLine="420" w:firstLineChars="200"/>
        <w:rPr>
          <w:rFonts w:hint="eastAsia" w:ascii="宋体" w:hAnsi="宋体" w:cs="仿宋"/>
          <w:kern w:val="0"/>
          <w:szCs w:val="21"/>
        </w:rPr>
      </w:pPr>
      <w:r>
        <w:rPr>
          <w:rFonts w:hint="eastAsia" w:ascii="宋体" w:hAnsi="宋体" w:cs="仿宋"/>
          <w:kern w:val="0"/>
          <w:szCs w:val="21"/>
        </w:rPr>
        <w:t>2.1.3  响应性评审标准：见评标办法前附表。</w:t>
      </w:r>
    </w:p>
    <w:p w14:paraId="57CF76D7">
      <w:pPr>
        <w:spacing w:line="360" w:lineRule="auto"/>
        <w:ind w:firstLine="420" w:firstLineChars="200"/>
        <w:rPr>
          <w:rFonts w:hint="eastAsia" w:ascii="宋体" w:hAnsi="宋体" w:cs="仿宋"/>
          <w:kern w:val="0"/>
          <w:szCs w:val="21"/>
        </w:rPr>
      </w:pPr>
      <w:bookmarkStart w:id="690" w:name="_Toc287607815"/>
      <w:bookmarkStart w:id="691" w:name="_Toc430530503"/>
      <w:bookmarkStart w:id="692" w:name="_Toc17923"/>
      <w:bookmarkStart w:id="693" w:name="_Toc287620754"/>
      <w:bookmarkStart w:id="694" w:name="_Toc224103387"/>
      <w:bookmarkStart w:id="695" w:name="_Toc277082621"/>
      <w:bookmarkStart w:id="696" w:name="_Toc57905900"/>
      <w:bookmarkStart w:id="697" w:name="_Toc200513201"/>
      <w:bookmarkStart w:id="698" w:name="_Toc509218779"/>
      <w:r>
        <w:rPr>
          <w:rFonts w:hint="eastAsia" w:ascii="宋体" w:hAnsi="宋体" w:cs="仿宋"/>
          <w:kern w:val="0"/>
          <w:szCs w:val="21"/>
        </w:rPr>
        <w:t>2.2  分值构成与评分标准</w:t>
      </w:r>
      <w:bookmarkEnd w:id="690"/>
      <w:bookmarkEnd w:id="691"/>
      <w:bookmarkEnd w:id="692"/>
      <w:bookmarkEnd w:id="693"/>
      <w:bookmarkEnd w:id="694"/>
      <w:bookmarkEnd w:id="695"/>
      <w:bookmarkEnd w:id="696"/>
      <w:bookmarkEnd w:id="697"/>
      <w:bookmarkEnd w:id="698"/>
    </w:p>
    <w:p w14:paraId="4D0EE9F3">
      <w:pPr>
        <w:spacing w:line="360" w:lineRule="auto"/>
        <w:ind w:firstLine="420" w:firstLineChars="200"/>
        <w:rPr>
          <w:rFonts w:hint="eastAsia" w:ascii="宋体" w:hAnsi="宋体" w:cs="仿宋"/>
          <w:kern w:val="0"/>
          <w:szCs w:val="21"/>
        </w:rPr>
      </w:pPr>
      <w:r>
        <w:rPr>
          <w:rFonts w:hint="eastAsia" w:ascii="宋体" w:hAnsi="宋体" w:cs="仿宋"/>
          <w:kern w:val="0"/>
          <w:szCs w:val="21"/>
        </w:rPr>
        <w:t>2.2.1  分值构成</w:t>
      </w:r>
    </w:p>
    <w:p w14:paraId="5031F2EE">
      <w:pPr>
        <w:pStyle w:val="2"/>
        <w:ind w:firstLine="420" w:firstLineChars="200"/>
        <w:rPr>
          <w:rFonts w:hint="eastAsia" w:ascii="宋体" w:hAnsi="宋体"/>
        </w:rPr>
      </w:pPr>
      <w:r>
        <w:rPr>
          <w:rFonts w:hint="eastAsia" w:ascii="宋体" w:hAnsi="宋体" w:cs="仿宋"/>
          <w:kern w:val="0"/>
          <w:szCs w:val="21"/>
        </w:rPr>
        <w:t>（1）技术部分：见评标办法前附表；</w:t>
      </w:r>
    </w:p>
    <w:p w14:paraId="274184A1">
      <w:pPr>
        <w:spacing w:line="360" w:lineRule="auto"/>
        <w:ind w:firstLine="420" w:firstLineChars="200"/>
        <w:rPr>
          <w:rFonts w:hint="eastAsia" w:ascii="宋体" w:hAnsi="宋体" w:cs="仿宋"/>
          <w:kern w:val="0"/>
          <w:szCs w:val="21"/>
        </w:rPr>
      </w:pPr>
      <w:r>
        <w:rPr>
          <w:rFonts w:hint="eastAsia" w:ascii="宋体" w:hAnsi="宋体" w:cs="仿宋"/>
          <w:kern w:val="0"/>
          <w:szCs w:val="21"/>
        </w:rPr>
        <w:t>（2）竞选总报价：见评标办法前附表。</w:t>
      </w:r>
    </w:p>
    <w:p w14:paraId="1789EB1C">
      <w:pPr>
        <w:spacing w:line="360" w:lineRule="auto"/>
        <w:ind w:firstLine="420" w:firstLineChars="200"/>
        <w:rPr>
          <w:rFonts w:hint="eastAsia" w:ascii="宋体" w:hAnsi="宋体" w:cs="仿宋"/>
          <w:kern w:val="0"/>
          <w:szCs w:val="21"/>
        </w:rPr>
      </w:pPr>
      <w:r>
        <w:rPr>
          <w:rFonts w:hint="eastAsia" w:ascii="宋体" w:hAnsi="宋体" w:cs="仿宋"/>
          <w:kern w:val="0"/>
          <w:szCs w:val="21"/>
        </w:rPr>
        <w:t>2.2.2  评分标准</w:t>
      </w:r>
    </w:p>
    <w:p w14:paraId="210D43C0">
      <w:pPr>
        <w:spacing w:line="360" w:lineRule="auto"/>
        <w:ind w:firstLine="420" w:firstLineChars="200"/>
        <w:rPr>
          <w:rFonts w:hint="eastAsia" w:ascii="宋体" w:hAnsi="宋体" w:cs="仿宋"/>
          <w:kern w:val="0"/>
          <w:szCs w:val="21"/>
        </w:rPr>
      </w:pPr>
      <w:r>
        <w:rPr>
          <w:rFonts w:hint="eastAsia" w:ascii="宋体" w:hAnsi="宋体" w:cs="仿宋"/>
          <w:kern w:val="0"/>
          <w:szCs w:val="21"/>
        </w:rPr>
        <w:t>见评标办法前附表。</w:t>
      </w:r>
    </w:p>
    <w:p w14:paraId="14ECE788">
      <w:pPr>
        <w:spacing w:line="360" w:lineRule="auto"/>
        <w:ind w:firstLine="420" w:firstLineChars="200"/>
        <w:rPr>
          <w:rFonts w:hint="eastAsia" w:ascii="宋体" w:hAnsi="宋体" w:cs="仿宋"/>
          <w:kern w:val="0"/>
          <w:szCs w:val="21"/>
        </w:rPr>
      </w:pPr>
      <w:r>
        <w:rPr>
          <w:rFonts w:hint="eastAsia" w:ascii="宋体" w:hAnsi="宋体" w:cs="仿宋"/>
          <w:kern w:val="0"/>
          <w:szCs w:val="21"/>
        </w:rPr>
        <w:t>2.2.3  评标基准价计算</w:t>
      </w:r>
    </w:p>
    <w:p w14:paraId="5F7B0A85">
      <w:pPr>
        <w:spacing w:line="360" w:lineRule="auto"/>
        <w:ind w:firstLine="420" w:firstLineChars="200"/>
        <w:rPr>
          <w:rFonts w:hint="eastAsia" w:ascii="宋体" w:hAnsi="宋体" w:cs="仿宋"/>
          <w:kern w:val="0"/>
          <w:szCs w:val="21"/>
        </w:rPr>
      </w:pPr>
      <w:r>
        <w:rPr>
          <w:rFonts w:hint="eastAsia" w:ascii="宋体" w:hAnsi="宋体" w:cs="仿宋"/>
          <w:kern w:val="0"/>
          <w:szCs w:val="21"/>
        </w:rPr>
        <w:t>评标基准价计算方法：见评标办法前附表。</w:t>
      </w:r>
    </w:p>
    <w:p w14:paraId="0E4F806A">
      <w:pPr>
        <w:spacing w:line="360" w:lineRule="auto"/>
        <w:ind w:firstLine="420" w:firstLineChars="200"/>
        <w:rPr>
          <w:rFonts w:hint="eastAsia" w:ascii="宋体" w:hAnsi="宋体" w:cs="仿宋"/>
          <w:kern w:val="0"/>
          <w:szCs w:val="21"/>
        </w:rPr>
      </w:pPr>
      <w:r>
        <w:rPr>
          <w:rFonts w:hint="eastAsia" w:ascii="宋体" w:hAnsi="宋体" w:cs="仿宋"/>
          <w:kern w:val="0"/>
          <w:szCs w:val="21"/>
        </w:rPr>
        <w:t>2.2.4  竞选报价的偏差率计算和允许偏差范围</w:t>
      </w:r>
    </w:p>
    <w:p w14:paraId="1AFE0BCC">
      <w:pPr>
        <w:spacing w:line="360" w:lineRule="auto"/>
        <w:ind w:firstLine="420" w:firstLineChars="200"/>
        <w:rPr>
          <w:rFonts w:hint="eastAsia" w:ascii="宋体" w:hAnsi="宋体" w:cs="仿宋"/>
          <w:kern w:val="0"/>
          <w:szCs w:val="21"/>
        </w:rPr>
      </w:pPr>
      <w:r>
        <w:rPr>
          <w:rFonts w:hint="eastAsia" w:ascii="宋体" w:hAnsi="宋体" w:cs="仿宋"/>
          <w:kern w:val="0"/>
          <w:szCs w:val="21"/>
        </w:rPr>
        <w:t>（1）竞选报价的偏差率计算公式：见评标办法前附表；</w:t>
      </w:r>
    </w:p>
    <w:p w14:paraId="1F1747CF">
      <w:pPr>
        <w:spacing w:line="360" w:lineRule="auto"/>
        <w:ind w:firstLine="420" w:firstLineChars="200"/>
        <w:rPr>
          <w:rFonts w:hint="eastAsia" w:ascii="宋体" w:hAnsi="宋体" w:cs="仿宋"/>
          <w:kern w:val="0"/>
          <w:szCs w:val="21"/>
        </w:rPr>
      </w:pPr>
      <w:r>
        <w:rPr>
          <w:rFonts w:hint="eastAsia" w:ascii="宋体" w:hAnsi="宋体" w:cs="仿宋"/>
          <w:kern w:val="0"/>
          <w:szCs w:val="21"/>
        </w:rPr>
        <w:t>（2）竞选报价的允许偏差范围：见评标办法前附表。</w:t>
      </w:r>
    </w:p>
    <w:p w14:paraId="5B2A9A9A">
      <w:pPr>
        <w:spacing w:line="360" w:lineRule="auto"/>
        <w:ind w:firstLine="420" w:firstLineChars="200"/>
        <w:rPr>
          <w:rFonts w:hint="eastAsia" w:ascii="宋体" w:hAnsi="宋体" w:cs="仿宋"/>
          <w:kern w:val="0"/>
          <w:szCs w:val="21"/>
        </w:rPr>
      </w:pPr>
      <w:bookmarkStart w:id="699" w:name="_Toc277082622"/>
      <w:bookmarkStart w:id="700" w:name="_Toc224103388"/>
      <w:bookmarkStart w:id="701" w:name="_Toc287620755"/>
      <w:bookmarkStart w:id="702" w:name="_Toc430530504"/>
      <w:bookmarkStart w:id="703" w:name="_Toc4568"/>
      <w:bookmarkStart w:id="704" w:name="_Toc509218780"/>
      <w:bookmarkStart w:id="705" w:name="_Toc57905901"/>
      <w:bookmarkStart w:id="706" w:name="_Toc287607816"/>
      <w:bookmarkStart w:id="707" w:name="_Toc200513202"/>
      <w:r>
        <w:rPr>
          <w:rFonts w:hint="eastAsia" w:ascii="宋体" w:hAnsi="宋体" w:cs="仿宋"/>
          <w:kern w:val="0"/>
          <w:szCs w:val="21"/>
        </w:rPr>
        <w:t>3.  评标程序</w:t>
      </w:r>
      <w:bookmarkEnd w:id="699"/>
      <w:bookmarkEnd w:id="700"/>
      <w:bookmarkEnd w:id="701"/>
      <w:bookmarkEnd w:id="702"/>
      <w:bookmarkEnd w:id="703"/>
      <w:bookmarkEnd w:id="704"/>
      <w:bookmarkEnd w:id="705"/>
      <w:bookmarkEnd w:id="706"/>
      <w:bookmarkEnd w:id="707"/>
    </w:p>
    <w:p w14:paraId="0C79EDF3">
      <w:pPr>
        <w:spacing w:line="360" w:lineRule="auto"/>
        <w:ind w:firstLine="420" w:firstLineChars="200"/>
        <w:rPr>
          <w:rFonts w:hint="eastAsia" w:ascii="宋体" w:hAnsi="宋体" w:cs="仿宋"/>
          <w:kern w:val="0"/>
          <w:szCs w:val="21"/>
        </w:rPr>
      </w:pPr>
      <w:bookmarkStart w:id="708" w:name="_Toc287620756"/>
      <w:bookmarkStart w:id="709" w:name="_Toc21102"/>
      <w:bookmarkStart w:id="710" w:name="_Toc57905902"/>
      <w:bookmarkStart w:id="711" w:name="_Toc200513203"/>
      <w:bookmarkStart w:id="712" w:name="_Toc287607817"/>
      <w:bookmarkStart w:id="713" w:name="_Toc224103389"/>
      <w:bookmarkStart w:id="714" w:name="_Toc509218781"/>
      <w:bookmarkStart w:id="715" w:name="_Toc430530505"/>
      <w:bookmarkStart w:id="716" w:name="_Toc277082623"/>
      <w:r>
        <w:rPr>
          <w:rFonts w:hint="eastAsia" w:ascii="宋体" w:hAnsi="宋体" w:cs="仿宋"/>
          <w:kern w:val="0"/>
          <w:szCs w:val="21"/>
        </w:rPr>
        <w:t>3.1  初步评审</w:t>
      </w:r>
      <w:bookmarkEnd w:id="708"/>
      <w:bookmarkEnd w:id="709"/>
      <w:bookmarkEnd w:id="710"/>
      <w:bookmarkEnd w:id="711"/>
      <w:bookmarkEnd w:id="712"/>
      <w:bookmarkEnd w:id="713"/>
      <w:bookmarkEnd w:id="714"/>
      <w:bookmarkEnd w:id="715"/>
      <w:bookmarkEnd w:id="716"/>
    </w:p>
    <w:p w14:paraId="3CAA3B40">
      <w:pPr>
        <w:spacing w:line="360" w:lineRule="auto"/>
        <w:ind w:firstLine="420" w:firstLineChars="200"/>
        <w:rPr>
          <w:rFonts w:hint="eastAsia" w:ascii="宋体" w:hAnsi="宋体" w:cs="仿宋"/>
          <w:kern w:val="0"/>
          <w:szCs w:val="21"/>
        </w:rPr>
      </w:pPr>
      <w:r>
        <w:rPr>
          <w:rFonts w:hint="eastAsia" w:ascii="宋体" w:hAnsi="宋体" w:cs="仿宋"/>
          <w:kern w:val="0"/>
          <w:szCs w:val="21"/>
        </w:rPr>
        <w:t>3.1.1  评标委员会依据本章第 2.1 款规定的标准对竞选文件进行初步评审。有一项不符合评审标准的，作否决</w:t>
      </w:r>
      <w:r>
        <w:rPr>
          <w:rFonts w:hint="eastAsia" w:ascii="宋体" w:hAnsi="宋体" w:cs="仿宋"/>
          <w:kern w:val="0"/>
          <w:szCs w:val="21"/>
          <w:lang w:eastAsia="zh-CN"/>
        </w:rPr>
        <w:t>竞选</w:t>
      </w:r>
      <w:r>
        <w:rPr>
          <w:rFonts w:hint="eastAsia" w:ascii="宋体" w:hAnsi="宋体" w:cs="仿宋"/>
          <w:kern w:val="0"/>
          <w:szCs w:val="21"/>
        </w:rPr>
        <w:t>处理。</w:t>
      </w:r>
    </w:p>
    <w:p w14:paraId="69AFD406">
      <w:pPr>
        <w:spacing w:line="360" w:lineRule="auto"/>
        <w:ind w:firstLine="420" w:firstLineChars="200"/>
        <w:rPr>
          <w:rFonts w:hint="eastAsia" w:ascii="宋体" w:hAnsi="宋体" w:cs="仿宋"/>
          <w:kern w:val="0"/>
          <w:szCs w:val="21"/>
        </w:rPr>
      </w:pPr>
      <w:r>
        <w:rPr>
          <w:rFonts w:hint="eastAsia" w:ascii="宋体" w:hAnsi="宋体" w:cs="仿宋"/>
          <w:kern w:val="0"/>
          <w:szCs w:val="21"/>
        </w:rPr>
        <w:t>3.1.2  竞选人有以下情形之一的，其</w:t>
      </w:r>
      <w:r>
        <w:rPr>
          <w:rFonts w:hint="eastAsia" w:ascii="宋体" w:hAnsi="宋体" w:cs="仿宋"/>
          <w:kern w:val="0"/>
          <w:szCs w:val="21"/>
          <w:lang w:eastAsia="zh-CN"/>
        </w:rPr>
        <w:t>竞选</w:t>
      </w:r>
      <w:r>
        <w:rPr>
          <w:rFonts w:hint="eastAsia" w:ascii="宋体" w:hAnsi="宋体" w:cs="仿宋"/>
          <w:kern w:val="0"/>
          <w:szCs w:val="21"/>
        </w:rPr>
        <w:t>作否决</w:t>
      </w:r>
      <w:r>
        <w:rPr>
          <w:rFonts w:hint="eastAsia" w:ascii="宋体" w:hAnsi="宋体" w:cs="仿宋"/>
          <w:kern w:val="0"/>
          <w:szCs w:val="21"/>
          <w:lang w:eastAsia="zh-CN"/>
        </w:rPr>
        <w:t>竞选</w:t>
      </w:r>
      <w:r>
        <w:rPr>
          <w:rFonts w:hint="eastAsia" w:ascii="宋体" w:hAnsi="宋体" w:cs="仿宋"/>
          <w:kern w:val="0"/>
          <w:szCs w:val="21"/>
        </w:rPr>
        <w:t>处理：</w:t>
      </w:r>
    </w:p>
    <w:p w14:paraId="1965D8DA">
      <w:pPr>
        <w:spacing w:line="360" w:lineRule="auto"/>
        <w:ind w:firstLine="420" w:firstLineChars="200"/>
        <w:rPr>
          <w:rFonts w:hint="eastAsia" w:ascii="宋体" w:hAnsi="宋体" w:cs="仿宋"/>
          <w:kern w:val="0"/>
          <w:szCs w:val="21"/>
        </w:rPr>
      </w:pPr>
      <w:r>
        <w:rPr>
          <w:rFonts w:hint="eastAsia" w:ascii="宋体" w:hAnsi="宋体" w:cs="仿宋"/>
          <w:kern w:val="0"/>
          <w:szCs w:val="21"/>
        </w:rPr>
        <w:t>（1）第二章“竞选人须知”第1.4.3项规定的任何一种情形的；</w:t>
      </w:r>
    </w:p>
    <w:p w14:paraId="733CE188">
      <w:pPr>
        <w:spacing w:line="360" w:lineRule="auto"/>
        <w:ind w:firstLine="420" w:firstLineChars="200"/>
        <w:rPr>
          <w:rFonts w:hint="eastAsia" w:ascii="宋体" w:hAnsi="宋体" w:cs="仿宋"/>
          <w:kern w:val="0"/>
          <w:szCs w:val="21"/>
        </w:rPr>
      </w:pPr>
      <w:r>
        <w:rPr>
          <w:rFonts w:hint="eastAsia" w:ascii="宋体" w:hAnsi="宋体" w:cs="仿宋"/>
          <w:kern w:val="0"/>
          <w:szCs w:val="21"/>
        </w:rPr>
        <w:t>（2）本次</w:t>
      </w:r>
      <w:r>
        <w:rPr>
          <w:rFonts w:hint="eastAsia" w:ascii="宋体" w:hAnsi="宋体" w:cs="仿宋"/>
          <w:kern w:val="0"/>
          <w:szCs w:val="21"/>
          <w:lang w:eastAsia="zh-CN"/>
        </w:rPr>
        <w:t>竞选</w:t>
      </w:r>
      <w:r>
        <w:rPr>
          <w:rFonts w:hint="eastAsia" w:ascii="宋体" w:hAnsi="宋体" w:cs="仿宋"/>
          <w:kern w:val="0"/>
          <w:szCs w:val="21"/>
        </w:rPr>
        <w:t>有串通</w:t>
      </w:r>
      <w:r>
        <w:rPr>
          <w:rFonts w:hint="eastAsia" w:ascii="宋体" w:hAnsi="宋体" w:cs="仿宋"/>
          <w:kern w:val="0"/>
          <w:szCs w:val="21"/>
          <w:lang w:eastAsia="zh-CN"/>
        </w:rPr>
        <w:t>竞选</w:t>
      </w:r>
      <w:r>
        <w:rPr>
          <w:rFonts w:hint="eastAsia" w:ascii="宋体" w:hAnsi="宋体" w:cs="仿宋"/>
          <w:kern w:val="0"/>
          <w:szCs w:val="21"/>
        </w:rPr>
        <w:t>、弄虚作假等其他违反招</w:t>
      </w:r>
      <w:r>
        <w:rPr>
          <w:rFonts w:hint="eastAsia" w:ascii="宋体" w:hAnsi="宋体" w:cs="仿宋"/>
          <w:kern w:val="0"/>
          <w:szCs w:val="21"/>
          <w:lang w:eastAsia="zh-CN"/>
        </w:rPr>
        <w:t>竞选</w:t>
      </w:r>
      <w:r>
        <w:rPr>
          <w:rFonts w:hint="eastAsia" w:ascii="宋体" w:hAnsi="宋体" w:cs="仿宋"/>
          <w:kern w:val="0"/>
          <w:szCs w:val="21"/>
        </w:rPr>
        <w:t>相关法律、法规行为的；</w:t>
      </w:r>
    </w:p>
    <w:p w14:paraId="01A52368">
      <w:pPr>
        <w:spacing w:line="360" w:lineRule="auto"/>
        <w:ind w:firstLine="420" w:firstLineChars="200"/>
        <w:rPr>
          <w:rFonts w:hint="eastAsia" w:ascii="宋体" w:hAnsi="宋体" w:cs="仿宋"/>
          <w:kern w:val="0"/>
          <w:szCs w:val="21"/>
        </w:rPr>
      </w:pPr>
      <w:r>
        <w:rPr>
          <w:rFonts w:hint="eastAsia" w:ascii="宋体" w:hAnsi="宋体" w:cs="仿宋"/>
          <w:kern w:val="0"/>
          <w:szCs w:val="21"/>
        </w:rPr>
        <w:t>（3）拒绝按评标委员会要求澄清、说明或补正的。</w:t>
      </w:r>
    </w:p>
    <w:p w14:paraId="374C1025">
      <w:pPr>
        <w:spacing w:line="360" w:lineRule="auto"/>
        <w:ind w:firstLine="420" w:firstLineChars="200"/>
        <w:rPr>
          <w:rFonts w:hint="eastAsia" w:ascii="宋体" w:hAnsi="宋体" w:cs="仿宋"/>
          <w:kern w:val="0"/>
          <w:szCs w:val="21"/>
        </w:rPr>
      </w:pPr>
      <w:r>
        <w:rPr>
          <w:rFonts w:hint="eastAsia" w:ascii="宋体" w:hAnsi="宋体" w:cs="仿宋"/>
          <w:kern w:val="0"/>
          <w:szCs w:val="21"/>
        </w:rPr>
        <w:t>3.1.3  竞选报价有算术错误的，评标委员会按以下原则对竞选报价进行修正，修正的价格经竞选人书面确认后具有约束力，修正原则如下：</w:t>
      </w:r>
    </w:p>
    <w:p w14:paraId="7C141A3B">
      <w:pPr>
        <w:spacing w:line="360" w:lineRule="auto"/>
        <w:ind w:firstLine="420" w:firstLineChars="200"/>
        <w:rPr>
          <w:rFonts w:hint="eastAsia" w:ascii="宋体" w:hAnsi="宋体" w:cs="仿宋"/>
          <w:kern w:val="0"/>
          <w:szCs w:val="21"/>
        </w:rPr>
      </w:pPr>
      <w:r>
        <w:rPr>
          <w:rFonts w:hint="eastAsia" w:ascii="宋体" w:hAnsi="宋体" w:cs="仿宋"/>
          <w:kern w:val="0"/>
          <w:szCs w:val="21"/>
        </w:rPr>
        <w:t>竞选文件中的大写金额与小写金额不一致的，以大写金额为准；</w:t>
      </w:r>
    </w:p>
    <w:p w14:paraId="2A3F36FB">
      <w:pPr>
        <w:spacing w:line="360" w:lineRule="auto"/>
        <w:ind w:firstLine="420" w:firstLineChars="200"/>
        <w:rPr>
          <w:rFonts w:hint="eastAsia" w:ascii="宋体" w:hAnsi="宋体" w:cs="仿宋"/>
          <w:kern w:val="0"/>
          <w:szCs w:val="21"/>
        </w:rPr>
      </w:pPr>
      <w:bookmarkStart w:id="717" w:name="_Toc430530506"/>
      <w:bookmarkStart w:id="718" w:name="_Toc57905903"/>
      <w:bookmarkStart w:id="719" w:name="_Toc224103390"/>
      <w:bookmarkStart w:id="720" w:name="_Toc509218782"/>
      <w:bookmarkStart w:id="721" w:name="_Toc200513204"/>
      <w:bookmarkStart w:id="722" w:name="_Toc287620757"/>
      <w:bookmarkStart w:id="723" w:name="_Toc287607818"/>
      <w:bookmarkStart w:id="724" w:name="_Toc277082624"/>
      <w:bookmarkStart w:id="725" w:name="_Toc31837"/>
      <w:r>
        <w:rPr>
          <w:rFonts w:hint="eastAsia" w:ascii="宋体" w:hAnsi="宋体" w:cs="仿宋"/>
          <w:kern w:val="0"/>
          <w:szCs w:val="21"/>
        </w:rPr>
        <w:t>3.2  详细评审</w:t>
      </w:r>
      <w:bookmarkEnd w:id="717"/>
      <w:bookmarkEnd w:id="718"/>
      <w:bookmarkEnd w:id="719"/>
      <w:bookmarkEnd w:id="720"/>
      <w:bookmarkEnd w:id="721"/>
      <w:bookmarkEnd w:id="722"/>
      <w:bookmarkEnd w:id="723"/>
      <w:bookmarkEnd w:id="724"/>
      <w:bookmarkEnd w:id="725"/>
    </w:p>
    <w:p w14:paraId="562D043D">
      <w:pPr>
        <w:spacing w:line="360" w:lineRule="auto"/>
        <w:ind w:firstLine="420" w:firstLineChars="200"/>
        <w:rPr>
          <w:rFonts w:hint="eastAsia" w:ascii="宋体" w:hAnsi="宋体" w:cs="仿宋"/>
          <w:kern w:val="0"/>
          <w:szCs w:val="21"/>
        </w:rPr>
      </w:pPr>
      <w:r>
        <w:rPr>
          <w:rFonts w:hint="eastAsia" w:ascii="宋体" w:hAnsi="宋体" w:cs="仿宋"/>
          <w:kern w:val="0"/>
          <w:szCs w:val="21"/>
        </w:rPr>
        <w:t>3.2.1  评标委员会按本章第2.2款规定的量化因素和分值进行打分，并计算出综合评估得分。</w:t>
      </w:r>
    </w:p>
    <w:p w14:paraId="180875D3">
      <w:pPr>
        <w:spacing w:line="360" w:lineRule="auto"/>
        <w:ind w:firstLine="420" w:firstLineChars="200"/>
        <w:rPr>
          <w:rFonts w:hint="eastAsia" w:ascii="宋体" w:hAnsi="宋体" w:cs="仿宋"/>
          <w:kern w:val="0"/>
          <w:szCs w:val="21"/>
        </w:rPr>
      </w:pPr>
      <w:r>
        <w:rPr>
          <w:rFonts w:hint="eastAsia" w:ascii="宋体" w:hAnsi="宋体" w:cs="仿宋"/>
          <w:kern w:val="0"/>
          <w:szCs w:val="21"/>
        </w:rPr>
        <w:t>（1）按本章第3.2.1（1）目规定的评审因素和分值对技术方案计算出得分A</w:t>
      </w:r>
    </w:p>
    <w:p w14:paraId="179CD514">
      <w:pPr>
        <w:spacing w:line="360" w:lineRule="auto"/>
        <w:ind w:firstLine="420" w:firstLineChars="200"/>
        <w:rPr>
          <w:rFonts w:hint="eastAsia" w:ascii="宋体" w:hAnsi="宋体" w:cs="仿宋"/>
          <w:kern w:val="0"/>
          <w:szCs w:val="21"/>
        </w:rPr>
      </w:pPr>
      <w:r>
        <w:rPr>
          <w:rFonts w:hint="eastAsia" w:ascii="宋体" w:hAnsi="宋体" w:cs="仿宋"/>
          <w:kern w:val="0"/>
          <w:szCs w:val="21"/>
        </w:rPr>
        <w:t>（2）按本章第 3.2.1（2）目规定的评审因素和分值对竞选报价计算出得分B；</w:t>
      </w:r>
    </w:p>
    <w:p w14:paraId="76A7274B">
      <w:pPr>
        <w:spacing w:line="360" w:lineRule="auto"/>
        <w:ind w:firstLine="420" w:firstLineChars="200"/>
        <w:rPr>
          <w:rFonts w:hint="eastAsia" w:ascii="宋体" w:hAnsi="宋体" w:cs="仿宋"/>
          <w:kern w:val="0"/>
          <w:szCs w:val="21"/>
        </w:rPr>
      </w:pPr>
      <w:r>
        <w:rPr>
          <w:rFonts w:hint="eastAsia" w:ascii="宋体" w:hAnsi="宋体" w:cs="仿宋"/>
          <w:kern w:val="0"/>
          <w:szCs w:val="21"/>
        </w:rPr>
        <w:t>（3）按本章第 3.2.1（3）目规定的评审因素和分值对商务部分计算出得分C；</w:t>
      </w:r>
    </w:p>
    <w:p w14:paraId="059B6FF2">
      <w:pPr>
        <w:spacing w:line="360" w:lineRule="auto"/>
        <w:ind w:firstLine="420" w:firstLineChars="200"/>
        <w:rPr>
          <w:rFonts w:hint="eastAsia" w:ascii="宋体" w:hAnsi="宋体" w:cs="仿宋"/>
          <w:kern w:val="0"/>
          <w:szCs w:val="21"/>
        </w:rPr>
      </w:pPr>
      <w:r>
        <w:rPr>
          <w:rFonts w:hint="eastAsia" w:ascii="宋体" w:hAnsi="宋体" w:cs="仿宋"/>
          <w:kern w:val="0"/>
          <w:szCs w:val="21"/>
        </w:rPr>
        <w:t>3.2.2  各类评分分值的最终计算结果保留小数点后两位，小数点后第三位“四舍五入”。</w:t>
      </w:r>
    </w:p>
    <w:p w14:paraId="37224898">
      <w:pPr>
        <w:spacing w:line="360" w:lineRule="auto"/>
        <w:ind w:firstLine="420" w:firstLineChars="200"/>
        <w:rPr>
          <w:rFonts w:hint="eastAsia" w:ascii="宋体" w:hAnsi="宋体" w:cs="仿宋"/>
          <w:kern w:val="0"/>
          <w:szCs w:val="21"/>
        </w:rPr>
      </w:pPr>
      <w:r>
        <w:rPr>
          <w:rFonts w:hint="eastAsia" w:ascii="宋体" w:hAnsi="宋体" w:cs="仿宋"/>
          <w:kern w:val="0"/>
          <w:szCs w:val="21"/>
        </w:rPr>
        <w:t>3.2.3  竞选人得分=A+B+C。</w:t>
      </w:r>
    </w:p>
    <w:p w14:paraId="3947B31B">
      <w:pPr>
        <w:spacing w:line="360" w:lineRule="auto"/>
        <w:ind w:firstLine="420" w:firstLineChars="200"/>
        <w:rPr>
          <w:rFonts w:hint="eastAsia" w:ascii="宋体" w:hAnsi="宋体" w:cs="仿宋"/>
          <w:kern w:val="0"/>
          <w:szCs w:val="21"/>
        </w:rPr>
      </w:pPr>
      <w:bookmarkStart w:id="726" w:name="_Toc277082625"/>
      <w:bookmarkStart w:id="727" w:name="_Toc224103391"/>
      <w:bookmarkStart w:id="728" w:name="_Toc509218783"/>
      <w:bookmarkStart w:id="729" w:name="_Toc287620758"/>
      <w:bookmarkStart w:id="730" w:name="_Toc287607819"/>
      <w:bookmarkStart w:id="731" w:name="_Toc29615"/>
      <w:bookmarkStart w:id="732" w:name="_Toc430530507"/>
      <w:bookmarkStart w:id="733" w:name="_Toc57905904"/>
      <w:bookmarkStart w:id="734" w:name="_Toc200513205"/>
      <w:r>
        <w:rPr>
          <w:rFonts w:hint="eastAsia" w:ascii="宋体" w:hAnsi="宋体" w:cs="仿宋"/>
          <w:kern w:val="0"/>
          <w:szCs w:val="21"/>
        </w:rPr>
        <w:t>3.3  竞选文件的澄清和补正</w:t>
      </w:r>
      <w:bookmarkEnd w:id="726"/>
      <w:bookmarkEnd w:id="727"/>
      <w:bookmarkEnd w:id="728"/>
      <w:bookmarkEnd w:id="729"/>
      <w:bookmarkEnd w:id="730"/>
      <w:bookmarkEnd w:id="731"/>
      <w:bookmarkEnd w:id="732"/>
      <w:bookmarkEnd w:id="733"/>
      <w:bookmarkEnd w:id="734"/>
    </w:p>
    <w:p w14:paraId="0EAEDC04">
      <w:pPr>
        <w:spacing w:line="360" w:lineRule="auto"/>
        <w:ind w:firstLine="420" w:firstLineChars="200"/>
        <w:rPr>
          <w:rFonts w:hint="eastAsia" w:ascii="宋体" w:hAnsi="宋体" w:cs="仿宋"/>
          <w:kern w:val="0"/>
          <w:szCs w:val="21"/>
        </w:rPr>
      </w:pPr>
      <w:r>
        <w:rPr>
          <w:rFonts w:hint="eastAsia" w:ascii="宋体" w:hAnsi="宋体" w:cs="仿宋"/>
          <w:kern w:val="0"/>
          <w:szCs w:val="21"/>
        </w:rPr>
        <w:t>3.3.1  在评标过程中，评标委员会可以书面形式要求竞选人对所提交竞选文件中不明确的内容进行书面澄清或说明，或者对细微偏差进行补正。评标委员会不接受竞选人主动提出的澄清、说明或补正。</w:t>
      </w:r>
    </w:p>
    <w:p w14:paraId="653B4AAF">
      <w:pPr>
        <w:spacing w:line="360" w:lineRule="auto"/>
        <w:ind w:firstLine="420" w:firstLineChars="200"/>
        <w:rPr>
          <w:rFonts w:hint="eastAsia" w:ascii="宋体" w:hAnsi="宋体" w:cs="仿宋"/>
          <w:kern w:val="0"/>
          <w:szCs w:val="21"/>
        </w:rPr>
      </w:pPr>
      <w:r>
        <w:rPr>
          <w:rFonts w:hint="eastAsia" w:ascii="宋体" w:hAnsi="宋体" w:cs="仿宋"/>
          <w:kern w:val="0"/>
          <w:szCs w:val="21"/>
        </w:rPr>
        <w:t>3.3.2  澄清、说明和补正不得改变竞选文件的实质性内容（算术性错误修正的除外）。竞选人的书面澄清、说明和补正属于竞选文件的组成部分。</w:t>
      </w:r>
    </w:p>
    <w:p w14:paraId="2EAD157C">
      <w:pPr>
        <w:spacing w:line="360" w:lineRule="auto"/>
        <w:ind w:firstLine="420" w:firstLineChars="200"/>
        <w:rPr>
          <w:rFonts w:hint="eastAsia" w:ascii="宋体" w:hAnsi="宋体" w:cs="仿宋"/>
          <w:kern w:val="0"/>
          <w:szCs w:val="21"/>
        </w:rPr>
      </w:pPr>
      <w:r>
        <w:rPr>
          <w:rFonts w:hint="eastAsia" w:ascii="宋体" w:hAnsi="宋体" w:cs="仿宋"/>
          <w:kern w:val="0"/>
          <w:szCs w:val="21"/>
        </w:rPr>
        <w:t>3.3.3  评标委员会对竞选人提交的澄清、说明或补正有疑问的，可以要求竞选人进一步澄清、说明或补正，直至满足评标委员会的要求。</w:t>
      </w:r>
    </w:p>
    <w:p w14:paraId="411DFDD4">
      <w:pPr>
        <w:spacing w:line="360" w:lineRule="auto"/>
        <w:ind w:firstLine="420" w:firstLineChars="200"/>
        <w:rPr>
          <w:rFonts w:hint="eastAsia" w:ascii="宋体" w:hAnsi="宋体" w:cs="仿宋"/>
          <w:kern w:val="0"/>
          <w:szCs w:val="21"/>
        </w:rPr>
      </w:pPr>
      <w:bookmarkStart w:id="735" w:name="_Toc17868"/>
      <w:bookmarkStart w:id="736" w:name="_Toc200513206"/>
      <w:bookmarkStart w:id="737" w:name="_Toc224103392"/>
      <w:bookmarkStart w:id="738" w:name="_Toc57905905"/>
      <w:bookmarkStart w:id="739" w:name="_Toc287607820"/>
      <w:bookmarkStart w:id="740" w:name="_Toc277082626"/>
      <w:bookmarkStart w:id="741" w:name="_Toc287620759"/>
      <w:bookmarkStart w:id="742" w:name="_Toc509218784"/>
      <w:bookmarkStart w:id="743" w:name="_Toc430530508"/>
      <w:r>
        <w:rPr>
          <w:rFonts w:hint="eastAsia" w:ascii="宋体" w:hAnsi="宋体" w:cs="仿宋"/>
          <w:kern w:val="0"/>
          <w:szCs w:val="21"/>
        </w:rPr>
        <w:t>3.4  评标结果</w:t>
      </w:r>
      <w:bookmarkEnd w:id="735"/>
      <w:bookmarkEnd w:id="736"/>
      <w:bookmarkEnd w:id="737"/>
      <w:bookmarkEnd w:id="738"/>
      <w:bookmarkEnd w:id="739"/>
      <w:bookmarkEnd w:id="740"/>
      <w:bookmarkEnd w:id="741"/>
      <w:bookmarkEnd w:id="742"/>
      <w:bookmarkEnd w:id="743"/>
    </w:p>
    <w:p w14:paraId="369F884E">
      <w:pPr>
        <w:spacing w:line="360" w:lineRule="auto"/>
        <w:ind w:firstLine="420" w:firstLineChars="200"/>
        <w:rPr>
          <w:rFonts w:hint="eastAsia" w:ascii="宋体" w:hAnsi="宋体" w:cs="仿宋"/>
          <w:kern w:val="0"/>
          <w:szCs w:val="21"/>
        </w:rPr>
      </w:pPr>
      <w:r>
        <w:rPr>
          <w:rFonts w:hint="eastAsia" w:ascii="宋体" w:hAnsi="宋体" w:cs="仿宋"/>
          <w:kern w:val="0"/>
          <w:szCs w:val="21"/>
        </w:rPr>
        <w:t>3.4.1  除第二章“竞选人须知”前附表授权直接确定中选人外，评标委员会按照得分由高到低的顺序推荐中标候选人。</w:t>
      </w:r>
    </w:p>
    <w:p w14:paraId="213CED75">
      <w:pPr>
        <w:spacing w:line="360" w:lineRule="auto"/>
        <w:ind w:firstLine="420" w:firstLineChars="200"/>
        <w:rPr>
          <w:rFonts w:hint="eastAsia" w:ascii="宋体" w:hAnsi="宋体" w:cs="仿宋"/>
          <w:kern w:val="0"/>
          <w:szCs w:val="21"/>
        </w:rPr>
      </w:pPr>
      <w:r>
        <w:rPr>
          <w:rFonts w:hint="eastAsia" w:ascii="宋体" w:hAnsi="宋体" w:cs="仿宋"/>
          <w:kern w:val="0"/>
          <w:szCs w:val="21"/>
        </w:rPr>
        <w:t>3.4.2  评标委员会完成评标后，应当向比选人提交书面评标报告。</w:t>
      </w:r>
    </w:p>
    <w:p w14:paraId="396E622B">
      <w:pPr>
        <w:spacing w:line="360" w:lineRule="auto"/>
        <w:rPr>
          <w:rFonts w:hint="eastAsia" w:ascii="宋体" w:hAnsi="宋体" w:cs="仿宋"/>
          <w:b/>
          <w:szCs w:val="20"/>
        </w:rPr>
      </w:pPr>
    </w:p>
    <w:p w14:paraId="5AB8DC18">
      <w:pPr>
        <w:spacing w:line="360" w:lineRule="auto"/>
        <w:rPr>
          <w:rFonts w:hint="eastAsia" w:ascii="宋体" w:hAnsi="宋体"/>
          <w:b/>
          <w:szCs w:val="20"/>
        </w:rPr>
      </w:pPr>
      <w:r>
        <w:rPr>
          <w:rFonts w:ascii="宋体" w:hAnsi="宋体"/>
          <w:kern w:val="0"/>
          <w:sz w:val="20"/>
          <w:szCs w:val="20"/>
        </w:rPr>
        <w:br w:type="page"/>
      </w:r>
    </w:p>
    <w:p w14:paraId="00E061B5">
      <w:pPr>
        <w:pStyle w:val="33"/>
        <w:spacing w:line="360" w:lineRule="auto"/>
        <w:outlineLvl w:val="0"/>
        <w:rPr>
          <w:rFonts w:hint="eastAsia" w:ascii="宋体" w:hAnsi="宋体"/>
          <w:b/>
          <w:sz w:val="28"/>
          <w:szCs w:val="28"/>
          <w:u w:val="none"/>
          <w:lang w:eastAsia="zh-CN"/>
        </w:rPr>
      </w:pPr>
      <w:bookmarkStart w:id="744" w:name="招标文件03章02评标办法综合评估法02附件02"/>
      <w:bookmarkEnd w:id="744"/>
      <w:bookmarkStart w:id="745" w:name="招标文件04章合同条款及格式"/>
      <w:bookmarkEnd w:id="745"/>
      <w:bookmarkStart w:id="746" w:name="_Toc181626935"/>
      <w:r>
        <w:rPr>
          <w:rFonts w:hint="eastAsia" w:ascii="宋体" w:hAnsi="宋体"/>
          <w:b/>
          <w:sz w:val="28"/>
          <w:szCs w:val="28"/>
          <w:u w:val="none"/>
          <w:lang w:eastAsia="zh-CN"/>
        </w:rPr>
        <w:t>经评审的最低投标价法</w:t>
      </w:r>
      <w:r>
        <w:rPr>
          <w:rFonts w:ascii="宋体" w:hAnsi="宋体"/>
          <w:b/>
          <w:sz w:val="28"/>
          <w:szCs w:val="28"/>
          <w:u w:val="none"/>
          <w:lang w:eastAsia="zh-CN"/>
        </w:rPr>
        <w:t>否决</w:t>
      </w:r>
      <w:r>
        <w:rPr>
          <w:rFonts w:hint="eastAsia" w:ascii="宋体" w:hAnsi="宋体"/>
          <w:b/>
          <w:sz w:val="28"/>
          <w:szCs w:val="28"/>
          <w:u w:val="none"/>
          <w:lang w:eastAsia="zh-CN"/>
        </w:rPr>
        <w:t>竞选</w:t>
      </w:r>
      <w:r>
        <w:rPr>
          <w:rFonts w:ascii="宋体" w:hAnsi="宋体"/>
          <w:b/>
          <w:sz w:val="28"/>
          <w:szCs w:val="28"/>
          <w:u w:val="none"/>
          <w:lang w:eastAsia="zh-CN"/>
        </w:rPr>
        <w:t>情况一览表</w:t>
      </w:r>
      <w:bookmarkEnd w:id="746"/>
    </w:p>
    <w:p w14:paraId="3B112031">
      <w:pPr>
        <w:pStyle w:val="33"/>
        <w:spacing w:line="360" w:lineRule="auto"/>
        <w:ind w:firstLine="420" w:firstLineChars="200"/>
        <w:jc w:val="both"/>
        <w:rPr>
          <w:rFonts w:hint="eastAsia" w:ascii="宋体" w:hAnsi="宋体"/>
          <w:sz w:val="21"/>
          <w:szCs w:val="21"/>
          <w:u w:val="none"/>
          <w:lang w:eastAsia="zh-CN"/>
        </w:rPr>
      </w:pPr>
      <w:r>
        <w:rPr>
          <w:rFonts w:hint="eastAsia" w:ascii="宋体" w:hAnsi="宋体"/>
          <w:sz w:val="21"/>
          <w:szCs w:val="21"/>
          <w:u w:val="none"/>
          <w:lang w:eastAsia="zh-CN"/>
        </w:rPr>
        <w:t>竞选文件存在本一览表下列情形之一的，竞选文件视为重大偏差并作否决竞选处理，否则，评标委员会不得视为重大偏差而否决竞选人的竞选文件</w:t>
      </w:r>
      <w:r>
        <w:rPr>
          <w:rFonts w:ascii="宋体" w:hAnsi="宋体"/>
          <w:sz w:val="21"/>
          <w:szCs w:val="21"/>
          <w:u w:val="none"/>
          <w:lang w:eastAsia="zh-CN"/>
        </w:rPr>
        <w:t>。</w:t>
      </w:r>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4F92C6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1B0CBD90">
            <w:pPr>
              <w:spacing w:line="400" w:lineRule="exact"/>
              <w:jc w:val="center"/>
              <w:rPr>
                <w:rFonts w:hint="eastAsia" w:ascii="宋体" w:hAnsi="宋体"/>
                <w:b/>
                <w:szCs w:val="21"/>
              </w:rPr>
            </w:pPr>
            <w:r>
              <w:rPr>
                <w:rFonts w:ascii="宋体" w:hAnsi="宋体"/>
                <w:b/>
                <w:szCs w:val="21"/>
              </w:rPr>
              <w:t>章节号</w:t>
            </w:r>
          </w:p>
        </w:tc>
        <w:tc>
          <w:tcPr>
            <w:tcW w:w="1899" w:type="dxa"/>
            <w:vAlign w:val="center"/>
          </w:tcPr>
          <w:p w14:paraId="52D1005F">
            <w:pPr>
              <w:spacing w:line="400" w:lineRule="exact"/>
              <w:jc w:val="center"/>
              <w:rPr>
                <w:rFonts w:hint="eastAsia" w:ascii="宋体" w:hAnsi="宋体"/>
                <w:b/>
                <w:szCs w:val="21"/>
              </w:rPr>
            </w:pPr>
            <w:r>
              <w:rPr>
                <w:rFonts w:ascii="宋体" w:hAnsi="宋体"/>
                <w:b/>
                <w:szCs w:val="21"/>
              </w:rPr>
              <w:t>条款名称</w:t>
            </w:r>
          </w:p>
        </w:tc>
        <w:tc>
          <w:tcPr>
            <w:tcW w:w="6333" w:type="dxa"/>
            <w:vAlign w:val="center"/>
          </w:tcPr>
          <w:p w14:paraId="37082C28">
            <w:pPr>
              <w:spacing w:line="400" w:lineRule="exact"/>
              <w:jc w:val="center"/>
              <w:rPr>
                <w:rFonts w:hint="eastAsia" w:ascii="宋体" w:hAnsi="宋体"/>
                <w:b/>
                <w:szCs w:val="21"/>
              </w:rPr>
            </w:pPr>
            <w:r>
              <w:rPr>
                <w:rFonts w:ascii="宋体" w:hAnsi="宋体"/>
                <w:b/>
                <w:szCs w:val="21"/>
              </w:rPr>
              <w:t>否决</w:t>
            </w:r>
            <w:r>
              <w:rPr>
                <w:rFonts w:hint="eastAsia" w:ascii="宋体" w:hAnsi="宋体"/>
                <w:b/>
                <w:szCs w:val="21"/>
                <w:lang w:eastAsia="zh-CN"/>
              </w:rPr>
              <w:t>投标</w:t>
            </w:r>
            <w:r>
              <w:rPr>
                <w:rFonts w:ascii="宋体" w:hAnsi="宋体"/>
                <w:b/>
                <w:szCs w:val="21"/>
              </w:rPr>
              <w:t>条件</w:t>
            </w:r>
          </w:p>
        </w:tc>
      </w:tr>
      <w:tr w14:paraId="5B1EC3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4CDEE9B8">
            <w:pPr>
              <w:spacing w:line="400" w:lineRule="exact"/>
              <w:jc w:val="center"/>
              <w:rPr>
                <w:rFonts w:hint="eastAsia" w:ascii="宋体" w:hAnsi="宋体"/>
                <w:szCs w:val="21"/>
              </w:rPr>
            </w:pPr>
            <w:r>
              <w:rPr>
                <w:rFonts w:hint="eastAsia" w:ascii="宋体" w:hAnsi="宋体"/>
                <w:szCs w:val="21"/>
              </w:rPr>
              <w:t>第三章</w:t>
            </w:r>
          </w:p>
        </w:tc>
        <w:tc>
          <w:tcPr>
            <w:tcW w:w="1899" w:type="dxa"/>
            <w:vAlign w:val="center"/>
          </w:tcPr>
          <w:p w14:paraId="1EB9265E">
            <w:pPr>
              <w:spacing w:line="400" w:lineRule="exact"/>
              <w:jc w:val="center"/>
              <w:rPr>
                <w:rFonts w:hint="eastAsia" w:ascii="宋体" w:hAnsi="宋体"/>
                <w:szCs w:val="21"/>
              </w:rPr>
            </w:pPr>
            <w:r>
              <w:rPr>
                <w:rFonts w:hint="eastAsia" w:ascii="宋体" w:hAnsi="宋体"/>
                <w:szCs w:val="21"/>
              </w:rPr>
              <w:t>技术方案评审</w:t>
            </w:r>
          </w:p>
          <w:p w14:paraId="4001948D">
            <w:pPr>
              <w:spacing w:line="400" w:lineRule="exact"/>
              <w:jc w:val="center"/>
              <w:rPr>
                <w:rFonts w:hint="eastAsia" w:ascii="宋体" w:hAnsi="宋体"/>
                <w:szCs w:val="21"/>
              </w:rPr>
            </w:pPr>
            <w:r>
              <w:rPr>
                <w:rFonts w:hint="eastAsia" w:ascii="宋体" w:hAnsi="宋体"/>
                <w:szCs w:val="21"/>
              </w:rPr>
              <w:t>（如有）</w:t>
            </w:r>
          </w:p>
        </w:tc>
        <w:tc>
          <w:tcPr>
            <w:tcW w:w="6333" w:type="dxa"/>
            <w:vAlign w:val="center"/>
          </w:tcPr>
          <w:p w14:paraId="17ACCC1A">
            <w:pPr>
              <w:spacing w:line="400" w:lineRule="exact"/>
              <w:ind w:firstLine="420" w:firstLineChars="200"/>
              <w:rPr>
                <w:rFonts w:hint="eastAsia" w:ascii="宋体" w:hAnsi="宋体"/>
                <w:szCs w:val="21"/>
              </w:rPr>
            </w:pPr>
            <w:r>
              <w:rPr>
                <w:rFonts w:hint="eastAsia" w:ascii="宋体" w:hAnsi="宋体"/>
                <w:szCs w:val="21"/>
              </w:rPr>
              <w:t>A-1竞选人的技术方案综合性评审不合格，由评标委员会作否决</w:t>
            </w:r>
            <w:r>
              <w:rPr>
                <w:rFonts w:hint="eastAsia" w:ascii="宋体" w:hAnsi="宋体"/>
                <w:szCs w:val="21"/>
                <w:lang w:eastAsia="zh-CN"/>
              </w:rPr>
              <w:t>竞选</w:t>
            </w:r>
            <w:r>
              <w:rPr>
                <w:rFonts w:hint="eastAsia" w:ascii="宋体" w:hAnsi="宋体"/>
                <w:szCs w:val="21"/>
              </w:rPr>
              <w:t>处理。技术方案采用暗标评审时，其形式应符合第二章竞选人须知前附表第3.7.5项（4）技术部分的装订要求，否则由评标委员会作否决</w:t>
            </w:r>
            <w:r>
              <w:rPr>
                <w:rFonts w:hint="eastAsia" w:ascii="宋体" w:hAnsi="宋体"/>
                <w:szCs w:val="21"/>
                <w:lang w:eastAsia="zh-CN"/>
              </w:rPr>
              <w:t>竞选</w:t>
            </w:r>
            <w:r>
              <w:rPr>
                <w:rFonts w:hint="eastAsia" w:ascii="宋体" w:hAnsi="宋体"/>
                <w:szCs w:val="21"/>
              </w:rPr>
              <w:t>处理。</w:t>
            </w:r>
          </w:p>
        </w:tc>
      </w:tr>
      <w:tr w14:paraId="46FA10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6515969">
            <w:pPr>
              <w:spacing w:line="400" w:lineRule="exact"/>
              <w:jc w:val="center"/>
              <w:rPr>
                <w:rFonts w:hint="eastAsia" w:ascii="宋体" w:hAnsi="宋体"/>
                <w:szCs w:val="21"/>
              </w:rPr>
            </w:pPr>
          </w:p>
        </w:tc>
        <w:tc>
          <w:tcPr>
            <w:tcW w:w="1899" w:type="dxa"/>
            <w:vMerge w:val="restart"/>
            <w:vAlign w:val="center"/>
          </w:tcPr>
          <w:p w14:paraId="39DFFA32">
            <w:pPr>
              <w:spacing w:line="400" w:lineRule="exact"/>
              <w:jc w:val="center"/>
              <w:rPr>
                <w:rFonts w:hint="eastAsia" w:ascii="宋体" w:hAnsi="宋体"/>
                <w:szCs w:val="21"/>
              </w:rPr>
            </w:pPr>
            <w:r>
              <w:rPr>
                <w:rFonts w:hint="eastAsia" w:ascii="宋体" w:hAnsi="宋体"/>
                <w:szCs w:val="21"/>
              </w:rPr>
              <w:t>资格评审</w:t>
            </w:r>
          </w:p>
        </w:tc>
        <w:tc>
          <w:tcPr>
            <w:tcW w:w="6333" w:type="dxa"/>
            <w:vAlign w:val="center"/>
          </w:tcPr>
          <w:p w14:paraId="608E1CF7">
            <w:pPr>
              <w:spacing w:line="400" w:lineRule="exact"/>
              <w:ind w:firstLine="420" w:firstLineChars="200"/>
              <w:rPr>
                <w:rFonts w:hint="eastAsia" w:ascii="宋体" w:hAnsi="宋体"/>
                <w:szCs w:val="21"/>
              </w:rPr>
            </w:pPr>
            <w:r>
              <w:rPr>
                <w:rFonts w:hint="eastAsia" w:ascii="宋体" w:hAnsi="宋体"/>
                <w:szCs w:val="21"/>
              </w:rPr>
              <w:t>A-2竞选人的资质条件、营业执照及安全生产条件须满足竞选人须知前附表第1.4.1项的要求，否则由评标委员会作否决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w:t>
            </w:r>
          </w:p>
        </w:tc>
      </w:tr>
      <w:tr w14:paraId="3FFE31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2594BB0">
            <w:pPr>
              <w:spacing w:line="400" w:lineRule="exact"/>
              <w:jc w:val="center"/>
              <w:rPr>
                <w:rFonts w:hint="eastAsia" w:ascii="宋体" w:hAnsi="宋体"/>
                <w:szCs w:val="21"/>
              </w:rPr>
            </w:pPr>
          </w:p>
        </w:tc>
        <w:tc>
          <w:tcPr>
            <w:tcW w:w="1899" w:type="dxa"/>
            <w:vMerge w:val="continue"/>
            <w:vAlign w:val="center"/>
          </w:tcPr>
          <w:p w14:paraId="36B95257">
            <w:pPr>
              <w:spacing w:line="400" w:lineRule="exact"/>
              <w:jc w:val="center"/>
              <w:rPr>
                <w:rFonts w:hint="eastAsia" w:ascii="宋体" w:hAnsi="宋体"/>
                <w:szCs w:val="21"/>
              </w:rPr>
            </w:pPr>
          </w:p>
        </w:tc>
        <w:tc>
          <w:tcPr>
            <w:tcW w:w="6333" w:type="dxa"/>
            <w:vAlign w:val="center"/>
          </w:tcPr>
          <w:p w14:paraId="7E989E4F">
            <w:pPr>
              <w:spacing w:line="400" w:lineRule="exact"/>
              <w:ind w:firstLine="420" w:firstLineChars="200"/>
              <w:rPr>
                <w:rFonts w:hint="eastAsia" w:ascii="宋体" w:hAnsi="宋体"/>
                <w:szCs w:val="21"/>
              </w:rPr>
            </w:pPr>
            <w:r>
              <w:rPr>
                <w:rFonts w:hint="eastAsia" w:ascii="宋体" w:hAnsi="宋体"/>
                <w:szCs w:val="21"/>
              </w:rPr>
              <w:t>A-3竞选人的财务须满足竞选人须知前附表第1.4.1项的要求，否则由评标委员会作否决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处理（如有）。</w:t>
            </w:r>
          </w:p>
        </w:tc>
      </w:tr>
      <w:tr w14:paraId="5B0E0A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5B2CFD8">
            <w:pPr>
              <w:spacing w:line="400" w:lineRule="exact"/>
              <w:jc w:val="center"/>
              <w:rPr>
                <w:rFonts w:hint="eastAsia" w:ascii="宋体" w:hAnsi="宋体"/>
                <w:szCs w:val="21"/>
              </w:rPr>
            </w:pPr>
          </w:p>
        </w:tc>
        <w:tc>
          <w:tcPr>
            <w:tcW w:w="1899" w:type="dxa"/>
            <w:vMerge w:val="continue"/>
            <w:vAlign w:val="center"/>
          </w:tcPr>
          <w:p w14:paraId="07DC422D">
            <w:pPr>
              <w:spacing w:line="400" w:lineRule="exact"/>
              <w:jc w:val="center"/>
              <w:rPr>
                <w:rFonts w:hint="eastAsia" w:ascii="宋体" w:hAnsi="宋体"/>
                <w:szCs w:val="21"/>
              </w:rPr>
            </w:pPr>
          </w:p>
        </w:tc>
        <w:tc>
          <w:tcPr>
            <w:tcW w:w="6333" w:type="dxa"/>
            <w:vAlign w:val="center"/>
          </w:tcPr>
          <w:p w14:paraId="27E36E5F">
            <w:pPr>
              <w:spacing w:line="400" w:lineRule="exact"/>
              <w:ind w:firstLine="420" w:firstLineChars="200"/>
              <w:rPr>
                <w:rFonts w:hint="eastAsia" w:ascii="宋体" w:hAnsi="宋体"/>
                <w:szCs w:val="21"/>
              </w:rPr>
            </w:pPr>
            <w:r>
              <w:rPr>
                <w:rFonts w:hint="eastAsia" w:ascii="宋体" w:hAnsi="宋体"/>
                <w:szCs w:val="21"/>
              </w:rPr>
              <w:t>A-4竞选人的业绩须满足竞选人须知前附表第1.4.1项的要求，否则由评标委员会作否决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处理（如有）。</w:t>
            </w:r>
          </w:p>
        </w:tc>
      </w:tr>
      <w:tr w14:paraId="48149E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4C60CD3">
            <w:pPr>
              <w:spacing w:line="400" w:lineRule="exact"/>
              <w:jc w:val="center"/>
              <w:rPr>
                <w:rFonts w:hint="eastAsia" w:ascii="宋体" w:hAnsi="宋体"/>
                <w:szCs w:val="21"/>
              </w:rPr>
            </w:pPr>
          </w:p>
        </w:tc>
        <w:tc>
          <w:tcPr>
            <w:tcW w:w="1899" w:type="dxa"/>
            <w:vMerge w:val="continue"/>
            <w:vAlign w:val="center"/>
          </w:tcPr>
          <w:p w14:paraId="7CE6D59D">
            <w:pPr>
              <w:spacing w:line="400" w:lineRule="exact"/>
              <w:jc w:val="center"/>
              <w:rPr>
                <w:rFonts w:hint="eastAsia" w:ascii="宋体" w:hAnsi="宋体"/>
                <w:szCs w:val="21"/>
              </w:rPr>
            </w:pPr>
          </w:p>
        </w:tc>
        <w:tc>
          <w:tcPr>
            <w:tcW w:w="6333" w:type="dxa"/>
            <w:vAlign w:val="center"/>
          </w:tcPr>
          <w:p w14:paraId="3E9DD581">
            <w:pPr>
              <w:spacing w:line="400" w:lineRule="exact"/>
              <w:ind w:firstLine="420" w:firstLineChars="200"/>
              <w:rPr>
                <w:rFonts w:hint="eastAsia" w:ascii="宋体" w:hAnsi="宋体"/>
                <w:szCs w:val="21"/>
              </w:rPr>
            </w:pPr>
            <w:r>
              <w:rPr>
                <w:rFonts w:hint="eastAsia" w:ascii="宋体" w:hAnsi="宋体"/>
                <w:szCs w:val="21"/>
              </w:rPr>
              <w:t>A-5竞选人的</w:t>
            </w:r>
            <w:r>
              <w:rPr>
                <w:rFonts w:hint="eastAsia" w:ascii="宋体" w:hAnsi="宋体"/>
                <w:szCs w:val="21"/>
                <w:lang w:eastAsia="zh-CN"/>
              </w:rPr>
              <w:t>竞选</w:t>
            </w:r>
            <w:r>
              <w:rPr>
                <w:rFonts w:hint="eastAsia" w:ascii="宋体" w:hAnsi="宋体"/>
                <w:szCs w:val="21"/>
              </w:rPr>
              <w:t>截止日</w:t>
            </w:r>
            <w:r>
              <w:rPr>
                <w:rFonts w:hint="eastAsia" w:ascii="宋体" w:hAnsi="宋体"/>
                <w:szCs w:val="21"/>
                <w:lang w:eastAsia="zh-CN"/>
              </w:rPr>
              <w:t>竞选</w:t>
            </w:r>
            <w:r>
              <w:rPr>
                <w:rFonts w:hint="eastAsia" w:ascii="宋体" w:hAnsi="宋体"/>
                <w:szCs w:val="21"/>
              </w:rPr>
              <w:t>资格情况须满足竞选人须知前附表1.4.1项的要求，否则由评标委员会作否决</w:t>
            </w:r>
            <w:r>
              <w:rPr>
                <w:rFonts w:hint="eastAsia" w:ascii="宋体" w:hAnsi="宋体"/>
                <w:szCs w:val="21"/>
                <w:lang w:eastAsia="zh-CN"/>
              </w:rPr>
              <w:t>竞选</w:t>
            </w:r>
            <w:r>
              <w:rPr>
                <w:rFonts w:hint="eastAsia" w:ascii="宋体" w:hAnsi="宋体"/>
                <w:szCs w:val="21"/>
              </w:rPr>
              <w:t>处理。</w:t>
            </w:r>
          </w:p>
        </w:tc>
      </w:tr>
      <w:tr w14:paraId="755242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A0764F9">
            <w:pPr>
              <w:spacing w:line="400" w:lineRule="exact"/>
              <w:jc w:val="center"/>
              <w:rPr>
                <w:rFonts w:hint="eastAsia" w:ascii="宋体" w:hAnsi="宋体"/>
                <w:szCs w:val="21"/>
              </w:rPr>
            </w:pPr>
          </w:p>
        </w:tc>
        <w:tc>
          <w:tcPr>
            <w:tcW w:w="1899" w:type="dxa"/>
            <w:vMerge w:val="continue"/>
            <w:vAlign w:val="center"/>
          </w:tcPr>
          <w:p w14:paraId="68B983FD">
            <w:pPr>
              <w:spacing w:line="400" w:lineRule="exact"/>
              <w:jc w:val="center"/>
              <w:rPr>
                <w:rFonts w:hint="eastAsia" w:ascii="宋体" w:hAnsi="宋体"/>
                <w:szCs w:val="21"/>
              </w:rPr>
            </w:pPr>
          </w:p>
        </w:tc>
        <w:tc>
          <w:tcPr>
            <w:tcW w:w="6333" w:type="dxa"/>
            <w:vAlign w:val="center"/>
          </w:tcPr>
          <w:p w14:paraId="30097174">
            <w:pPr>
              <w:spacing w:line="400" w:lineRule="exact"/>
              <w:ind w:firstLine="420" w:firstLineChars="200"/>
              <w:rPr>
                <w:rFonts w:hint="eastAsia" w:ascii="宋体" w:hAnsi="宋体"/>
                <w:szCs w:val="21"/>
              </w:rPr>
            </w:pPr>
            <w:r>
              <w:rPr>
                <w:rFonts w:hint="eastAsia" w:ascii="宋体" w:hAnsi="宋体"/>
                <w:szCs w:val="21"/>
              </w:rPr>
              <w:t>A-6竞选人的项目经理资格须满足竞选人须知前附表第1.4.1项的要求，否则由评标委员会作否决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w:t>
            </w:r>
          </w:p>
        </w:tc>
      </w:tr>
      <w:tr w14:paraId="543609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FC3E27E">
            <w:pPr>
              <w:spacing w:line="400" w:lineRule="exact"/>
              <w:jc w:val="center"/>
              <w:rPr>
                <w:rFonts w:hint="eastAsia" w:ascii="宋体" w:hAnsi="宋体"/>
                <w:szCs w:val="21"/>
              </w:rPr>
            </w:pPr>
          </w:p>
        </w:tc>
        <w:tc>
          <w:tcPr>
            <w:tcW w:w="1899" w:type="dxa"/>
            <w:vMerge w:val="continue"/>
            <w:vAlign w:val="center"/>
          </w:tcPr>
          <w:p w14:paraId="48D4EECA">
            <w:pPr>
              <w:spacing w:line="400" w:lineRule="exact"/>
              <w:jc w:val="center"/>
              <w:rPr>
                <w:rFonts w:hint="eastAsia" w:ascii="宋体" w:hAnsi="宋体"/>
                <w:szCs w:val="21"/>
              </w:rPr>
            </w:pPr>
          </w:p>
        </w:tc>
        <w:tc>
          <w:tcPr>
            <w:tcW w:w="6333" w:type="dxa"/>
            <w:vAlign w:val="center"/>
          </w:tcPr>
          <w:p w14:paraId="2BD98E54">
            <w:pPr>
              <w:spacing w:line="400" w:lineRule="exact"/>
              <w:ind w:firstLine="420" w:firstLineChars="200"/>
              <w:rPr>
                <w:rFonts w:hint="eastAsia" w:ascii="宋体" w:hAnsi="宋体"/>
                <w:szCs w:val="21"/>
              </w:rPr>
            </w:pPr>
            <w:r>
              <w:rPr>
                <w:rFonts w:hint="eastAsia" w:ascii="宋体" w:hAnsi="宋体"/>
                <w:szCs w:val="21"/>
              </w:rPr>
              <w:t>A-7竞选人的其他要求须满足竞选人须知前附表第1.4.1项的要求，否则由评标委员会作否决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w:t>
            </w:r>
          </w:p>
        </w:tc>
      </w:tr>
      <w:tr w14:paraId="6A2B8D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80EBDB0">
            <w:pPr>
              <w:spacing w:line="400" w:lineRule="exact"/>
              <w:jc w:val="center"/>
              <w:rPr>
                <w:rFonts w:hint="eastAsia" w:ascii="宋体" w:hAnsi="宋体"/>
                <w:szCs w:val="21"/>
              </w:rPr>
            </w:pPr>
          </w:p>
        </w:tc>
        <w:tc>
          <w:tcPr>
            <w:tcW w:w="1899" w:type="dxa"/>
            <w:vMerge w:val="continue"/>
            <w:vAlign w:val="center"/>
          </w:tcPr>
          <w:p w14:paraId="288FDB10">
            <w:pPr>
              <w:spacing w:line="400" w:lineRule="exact"/>
              <w:jc w:val="center"/>
              <w:rPr>
                <w:rFonts w:hint="eastAsia" w:ascii="宋体" w:hAnsi="宋体"/>
                <w:szCs w:val="21"/>
              </w:rPr>
            </w:pPr>
          </w:p>
        </w:tc>
        <w:tc>
          <w:tcPr>
            <w:tcW w:w="6333" w:type="dxa"/>
            <w:vAlign w:val="center"/>
          </w:tcPr>
          <w:p w14:paraId="31D3AB49">
            <w:pPr>
              <w:spacing w:line="400" w:lineRule="exact"/>
              <w:ind w:firstLine="420" w:firstLineChars="200"/>
              <w:rPr>
                <w:rFonts w:hint="eastAsia" w:ascii="宋体" w:hAnsi="宋体"/>
                <w:szCs w:val="21"/>
              </w:rPr>
            </w:pPr>
            <w:r>
              <w:rPr>
                <w:rFonts w:hint="eastAsia" w:ascii="宋体" w:hAnsi="宋体"/>
                <w:szCs w:val="21"/>
              </w:rPr>
              <w:t>A-8若有联合体竞选人，则：</w:t>
            </w:r>
          </w:p>
          <w:p w14:paraId="205EEB62">
            <w:pPr>
              <w:spacing w:line="400" w:lineRule="exact"/>
              <w:ind w:firstLine="420" w:firstLineChars="200"/>
              <w:rPr>
                <w:rFonts w:hint="eastAsia" w:ascii="宋体" w:hAnsi="宋体"/>
                <w:szCs w:val="21"/>
              </w:rPr>
            </w:pPr>
            <w:r>
              <w:rPr>
                <w:rFonts w:hint="eastAsia" w:ascii="宋体" w:hAnsi="宋体"/>
                <w:szCs w:val="21"/>
              </w:rPr>
              <w:t>（1）联合体各方应按照招标文件提供的格式签订联合体协议书，明确联合体牵头人和各方权利义务；</w:t>
            </w:r>
          </w:p>
          <w:p w14:paraId="7478DC99">
            <w:pPr>
              <w:spacing w:line="400" w:lineRule="exact"/>
              <w:ind w:firstLine="420" w:firstLineChars="200"/>
              <w:rPr>
                <w:rFonts w:hint="eastAsia"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5BB3DD28">
            <w:pPr>
              <w:spacing w:line="400" w:lineRule="exact"/>
              <w:ind w:firstLine="420" w:firstLineChars="200"/>
              <w:rPr>
                <w:rFonts w:hint="eastAsia" w:ascii="宋体" w:hAnsi="宋体"/>
                <w:szCs w:val="21"/>
              </w:rPr>
            </w:pPr>
            <w:r>
              <w:rPr>
                <w:rFonts w:hint="eastAsia" w:ascii="宋体" w:hAnsi="宋体"/>
                <w:szCs w:val="21"/>
              </w:rPr>
              <w:t>（3）联合体各方不得再以自己名义单独或参加其他联合体在同一标段中</w:t>
            </w:r>
            <w:r>
              <w:rPr>
                <w:rFonts w:hint="eastAsia" w:ascii="宋体" w:hAnsi="宋体"/>
                <w:szCs w:val="21"/>
                <w:lang w:eastAsia="zh-CN"/>
              </w:rPr>
              <w:t>竞选</w:t>
            </w:r>
            <w:r>
              <w:rPr>
                <w:rFonts w:hint="eastAsia" w:ascii="宋体" w:hAnsi="宋体"/>
                <w:szCs w:val="21"/>
              </w:rPr>
              <w:t>。</w:t>
            </w:r>
          </w:p>
          <w:p w14:paraId="1E381FE0">
            <w:pPr>
              <w:spacing w:line="400" w:lineRule="exact"/>
              <w:ind w:firstLine="420" w:firstLineChars="200"/>
              <w:rPr>
                <w:rFonts w:hint="eastAsia" w:ascii="宋体" w:hAnsi="宋体"/>
                <w:szCs w:val="21"/>
              </w:rPr>
            </w:pPr>
            <w:r>
              <w:rPr>
                <w:rFonts w:hint="eastAsia" w:ascii="宋体" w:hAnsi="宋体"/>
                <w:szCs w:val="21"/>
              </w:rPr>
              <w:t>否则由评标委员会作否决</w:t>
            </w:r>
            <w:r>
              <w:rPr>
                <w:rFonts w:hint="eastAsia" w:ascii="宋体" w:hAnsi="宋体"/>
                <w:szCs w:val="21"/>
                <w:lang w:eastAsia="zh-CN"/>
              </w:rPr>
              <w:t>竞选</w:t>
            </w:r>
            <w:r>
              <w:rPr>
                <w:rFonts w:hint="eastAsia" w:ascii="宋体" w:hAnsi="宋体"/>
                <w:szCs w:val="21"/>
              </w:rPr>
              <w:t>处理。</w:t>
            </w:r>
          </w:p>
        </w:tc>
      </w:tr>
      <w:tr w14:paraId="356963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3EA9DA7">
            <w:pPr>
              <w:spacing w:line="400" w:lineRule="exact"/>
              <w:jc w:val="center"/>
              <w:rPr>
                <w:rFonts w:hint="eastAsia" w:ascii="宋体" w:hAnsi="宋体"/>
                <w:szCs w:val="21"/>
              </w:rPr>
            </w:pPr>
          </w:p>
        </w:tc>
        <w:tc>
          <w:tcPr>
            <w:tcW w:w="1899" w:type="dxa"/>
            <w:vMerge w:val="restart"/>
            <w:vAlign w:val="center"/>
          </w:tcPr>
          <w:p w14:paraId="7AAED666">
            <w:pPr>
              <w:spacing w:line="400" w:lineRule="exact"/>
              <w:jc w:val="center"/>
              <w:rPr>
                <w:rFonts w:hint="eastAsia" w:ascii="宋体" w:hAnsi="宋体"/>
                <w:szCs w:val="21"/>
              </w:rPr>
            </w:pPr>
            <w:r>
              <w:rPr>
                <w:rFonts w:hint="eastAsia" w:ascii="宋体" w:hAnsi="宋体"/>
                <w:szCs w:val="21"/>
              </w:rPr>
              <w:t>形式评审</w:t>
            </w:r>
          </w:p>
        </w:tc>
        <w:tc>
          <w:tcPr>
            <w:tcW w:w="6333" w:type="dxa"/>
          </w:tcPr>
          <w:p w14:paraId="2063F2E1">
            <w:pPr>
              <w:spacing w:line="400" w:lineRule="exact"/>
              <w:ind w:firstLine="420" w:firstLineChars="200"/>
              <w:rPr>
                <w:rFonts w:hint="eastAsia" w:ascii="宋体" w:hAnsi="宋体"/>
                <w:szCs w:val="21"/>
              </w:rPr>
            </w:pPr>
            <w:r>
              <w:rPr>
                <w:rFonts w:hint="eastAsia" w:ascii="宋体" w:hAnsi="宋体"/>
                <w:szCs w:val="21"/>
              </w:rPr>
              <w:t>A-9竞选人名称必须与营业执照、资质证书、安全生产许可证一致，依法变更名称的应提交相应证明材料，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w:t>
            </w:r>
            <w:r>
              <w:rPr>
                <w:rFonts w:hint="eastAsia" w:ascii="宋体" w:hAnsi="宋体"/>
                <w:szCs w:val="21"/>
                <w:lang w:eastAsia="zh-CN"/>
              </w:rPr>
              <w:t>竞选</w:t>
            </w:r>
            <w:r>
              <w:rPr>
                <w:rFonts w:ascii="宋体" w:hAnsi="宋体"/>
                <w:szCs w:val="21"/>
              </w:rPr>
              <w:t>处理。</w:t>
            </w:r>
          </w:p>
        </w:tc>
      </w:tr>
      <w:tr w14:paraId="1A20E5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72A574E">
            <w:pPr>
              <w:spacing w:line="400" w:lineRule="exact"/>
              <w:jc w:val="center"/>
              <w:rPr>
                <w:rFonts w:hint="eastAsia" w:ascii="宋体" w:hAnsi="宋体"/>
                <w:szCs w:val="21"/>
              </w:rPr>
            </w:pPr>
          </w:p>
        </w:tc>
        <w:tc>
          <w:tcPr>
            <w:tcW w:w="1899" w:type="dxa"/>
            <w:vMerge w:val="continue"/>
            <w:vAlign w:val="center"/>
          </w:tcPr>
          <w:p w14:paraId="1E6422A1">
            <w:pPr>
              <w:spacing w:line="400" w:lineRule="exact"/>
              <w:jc w:val="center"/>
              <w:rPr>
                <w:rFonts w:hint="eastAsia" w:ascii="宋体" w:hAnsi="宋体"/>
                <w:szCs w:val="21"/>
              </w:rPr>
            </w:pPr>
          </w:p>
        </w:tc>
        <w:tc>
          <w:tcPr>
            <w:tcW w:w="6333" w:type="dxa"/>
          </w:tcPr>
          <w:p w14:paraId="0291456C">
            <w:pPr>
              <w:spacing w:line="400" w:lineRule="exact"/>
              <w:ind w:firstLine="420" w:firstLineChars="200"/>
              <w:rPr>
                <w:rFonts w:hint="eastAsia" w:ascii="宋体" w:hAnsi="宋体"/>
                <w:szCs w:val="21"/>
              </w:rPr>
            </w:pPr>
            <w:r>
              <w:rPr>
                <w:rFonts w:hint="eastAsia" w:ascii="宋体" w:hAnsi="宋体"/>
                <w:szCs w:val="21"/>
              </w:rPr>
              <w:t>A-10</w:t>
            </w:r>
            <w:r>
              <w:rPr>
                <w:rFonts w:hint="eastAsia" w:ascii="宋体" w:hAnsi="宋体"/>
                <w:szCs w:val="21"/>
                <w:lang w:eastAsia="zh-CN"/>
              </w:rPr>
              <w:t>竞选</w:t>
            </w:r>
            <w:r>
              <w:rPr>
                <w:rFonts w:hint="eastAsia" w:ascii="宋体" w:hAnsi="宋体"/>
                <w:szCs w:val="21"/>
              </w:rPr>
              <w:t>函格式规定签名、盖章的位置有法定代表人或其委托代理人签名（或盖章）、加盖单位法人章，否则由评标委员会作否决</w:t>
            </w:r>
            <w:r>
              <w:rPr>
                <w:rFonts w:hint="eastAsia" w:ascii="宋体" w:hAnsi="宋体"/>
                <w:szCs w:val="21"/>
                <w:lang w:eastAsia="zh-CN"/>
              </w:rPr>
              <w:t>竞选</w:t>
            </w:r>
            <w:r>
              <w:rPr>
                <w:rFonts w:hint="eastAsia" w:ascii="宋体" w:hAnsi="宋体"/>
                <w:szCs w:val="21"/>
              </w:rPr>
              <w:t>处理。</w:t>
            </w:r>
          </w:p>
        </w:tc>
      </w:tr>
      <w:tr w14:paraId="078F53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B217696">
            <w:pPr>
              <w:spacing w:line="400" w:lineRule="exact"/>
              <w:jc w:val="center"/>
              <w:rPr>
                <w:rFonts w:hint="eastAsia" w:ascii="宋体" w:hAnsi="宋体"/>
                <w:szCs w:val="21"/>
              </w:rPr>
            </w:pPr>
          </w:p>
        </w:tc>
        <w:tc>
          <w:tcPr>
            <w:tcW w:w="1899" w:type="dxa"/>
            <w:vMerge w:val="continue"/>
            <w:vAlign w:val="center"/>
          </w:tcPr>
          <w:p w14:paraId="4DCF3FE5">
            <w:pPr>
              <w:spacing w:line="400" w:lineRule="exact"/>
              <w:jc w:val="center"/>
              <w:rPr>
                <w:rFonts w:hint="eastAsia" w:ascii="宋体" w:hAnsi="宋体"/>
                <w:szCs w:val="21"/>
              </w:rPr>
            </w:pPr>
          </w:p>
        </w:tc>
        <w:tc>
          <w:tcPr>
            <w:tcW w:w="6333" w:type="dxa"/>
          </w:tcPr>
          <w:p w14:paraId="22D30125">
            <w:pPr>
              <w:spacing w:line="400" w:lineRule="exact"/>
              <w:ind w:firstLine="420" w:firstLineChars="200"/>
              <w:rPr>
                <w:rFonts w:hint="eastAsia" w:ascii="宋体" w:hAnsi="宋体"/>
                <w:szCs w:val="21"/>
              </w:rPr>
            </w:pPr>
            <w:r>
              <w:rPr>
                <w:rFonts w:hint="eastAsia" w:ascii="宋体" w:hAnsi="宋体"/>
                <w:szCs w:val="21"/>
              </w:rPr>
              <w:t>A-11</w:t>
            </w:r>
            <w:r>
              <w:rPr>
                <w:rFonts w:hint="eastAsia" w:ascii="宋体" w:hAnsi="宋体"/>
                <w:szCs w:val="21"/>
                <w:lang w:eastAsia="zh-CN"/>
              </w:rPr>
              <w:t>竞选</w:t>
            </w:r>
            <w:r>
              <w:rPr>
                <w:rFonts w:hint="eastAsia" w:ascii="宋体" w:hAnsi="宋体"/>
                <w:szCs w:val="21"/>
              </w:rPr>
              <w:t>文件格式符合第二章“竞选人须知”第3.7款的要求，否则由评标委员会作否决</w:t>
            </w:r>
            <w:r>
              <w:rPr>
                <w:rFonts w:hint="eastAsia" w:ascii="宋体" w:hAnsi="宋体"/>
                <w:szCs w:val="21"/>
                <w:lang w:eastAsia="zh-CN"/>
              </w:rPr>
              <w:t>竞选</w:t>
            </w:r>
            <w:r>
              <w:rPr>
                <w:rFonts w:hint="eastAsia" w:ascii="宋体" w:hAnsi="宋体"/>
                <w:szCs w:val="21"/>
              </w:rPr>
              <w:t>处理。</w:t>
            </w:r>
          </w:p>
          <w:p w14:paraId="13DFB0D3">
            <w:pPr>
              <w:spacing w:line="400" w:lineRule="exact"/>
              <w:ind w:firstLine="420" w:firstLineChars="200"/>
              <w:rPr>
                <w:rFonts w:hint="eastAsia" w:ascii="宋体" w:hAnsi="宋体"/>
                <w:szCs w:val="21"/>
              </w:rPr>
            </w:pPr>
            <w:r>
              <w:rPr>
                <w:rFonts w:hint="eastAsia" w:ascii="宋体" w:hAnsi="宋体"/>
                <w:kern w:val="0"/>
                <w:szCs w:val="21"/>
              </w:rPr>
              <w:t>编制</w:t>
            </w:r>
            <w:r>
              <w:rPr>
                <w:rFonts w:hint="eastAsia" w:ascii="宋体" w:hAnsi="宋体"/>
                <w:kern w:val="0"/>
                <w:szCs w:val="21"/>
                <w:lang w:eastAsia="zh-CN"/>
              </w:rPr>
              <w:t>竞选</w:t>
            </w:r>
            <w:r>
              <w:rPr>
                <w:rFonts w:hint="eastAsia" w:ascii="宋体" w:hAnsi="宋体"/>
                <w:kern w:val="0"/>
                <w:szCs w:val="21"/>
              </w:rPr>
              <w:t>文件时不得对第六章“竞选文件格式”的相应要素作实质性修改，否则由评标委员会作否决</w:t>
            </w:r>
            <w:r>
              <w:rPr>
                <w:rFonts w:hint="eastAsia" w:ascii="宋体" w:hAnsi="宋体"/>
                <w:kern w:val="0"/>
                <w:szCs w:val="21"/>
                <w:lang w:eastAsia="zh-CN"/>
              </w:rPr>
              <w:t>竞选</w:t>
            </w:r>
            <w:r>
              <w:rPr>
                <w:rFonts w:hint="eastAsia" w:ascii="宋体" w:hAnsi="宋体"/>
                <w:kern w:val="0"/>
                <w:szCs w:val="21"/>
              </w:rPr>
              <w:t>处理。</w:t>
            </w:r>
          </w:p>
        </w:tc>
      </w:tr>
      <w:tr w14:paraId="060CCC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094DEE2">
            <w:pPr>
              <w:spacing w:line="400" w:lineRule="exact"/>
              <w:jc w:val="center"/>
              <w:rPr>
                <w:rFonts w:hint="eastAsia" w:ascii="宋体" w:hAnsi="宋体"/>
                <w:szCs w:val="21"/>
              </w:rPr>
            </w:pPr>
          </w:p>
        </w:tc>
        <w:tc>
          <w:tcPr>
            <w:tcW w:w="1899" w:type="dxa"/>
            <w:vMerge w:val="continue"/>
            <w:vAlign w:val="center"/>
          </w:tcPr>
          <w:p w14:paraId="0A3747C4">
            <w:pPr>
              <w:spacing w:line="400" w:lineRule="exact"/>
              <w:jc w:val="center"/>
              <w:rPr>
                <w:rFonts w:hint="eastAsia" w:ascii="宋体" w:hAnsi="宋体"/>
                <w:szCs w:val="21"/>
              </w:rPr>
            </w:pPr>
          </w:p>
        </w:tc>
        <w:tc>
          <w:tcPr>
            <w:tcW w:w="6333" w:type="dxa"/>
          </w:tcPr>
          <w:p w14:paraId="05C8DE82">
            <w:pPr>
              <w:autoSpaceDE w:val="0"/>
              <w:autoSpaceDN w:val="0"/>
              <w:adjustRightInd w:val="0"/>
              <w:snapToGrid w:val="0"/>
              <w:spacing w:line="400" w:lineRule="exact"/>
              <w:ind w:firstLine="420" w:firstLineChars="200"/>
              <w:rPr>
                <w:rFonts w:hint="eastAsia" w:ascii="宋体" w:hAnsi="宋体"/>
                <w:i/>
                <w:szCs w:val="21"/>
              </w:rPr>
            </w:pPr>
            <w:r>
              <w:rPr>
                <w:rFonts w:hint="eastAsia" w:ascii="宋体" w:hAnsi="宋体"/>
                <w:szCs w:val="21"/>
              </w:rPr>
              <w:t>A-12</w:t>
            </w:r>
            <w:r>
              <w:rPr>
                <w:rFonts w:hint="eastAsia" w:ascii="宋体" w:hAnsi="宋体"/>
                <w:szCs w:val="21"/>
                <w:lang w:eastAsia="zh-CN"/>
              </w:rPr>
              <w:t>竞选</w:t>
            </w:r>
            <w:r>
              <w:rPr>
                <w:rFonts w:hint="eastAsia" w:ascii="宋体" w:hAnsi="宋体"/>
                <w:szCs w:val="21"/>
              </w:rPr>
              <w:t>文件份数符合第二章“竞选人须知”第3.7.4项的规定，</w:t>
            </w:r>
            <w:r>
              <w:rPr>
                <w:rFonts w:hint="eastAsia" w:ascii="宋体" w:hAnsi="宋体"/>
                <w:kern w:val="0"/>
                <w:szCs w:val="21"/>
              </w:rPr>
              <w:t>否则由评标委员会作否决</w:t>
            </w:r>
            <w:r>
              <w:rPr>
                <w:rFonts w:hint="eastAsia" w:ascii="宋体" w:hAnsi="宋体"/>
                <w:kern w:val="0"/>
                <w:szCs w:val="21"/>
                <w:lang w:eastAsia="zh-CN"/>
              </w:rPr>
              <w:t>竞选</w:t>
            </w:r>
            <w:r>
              <w:rPr>
                <w:rFonts w:hint="eastAsia" w:ascii="宋体" w:hAnsi="宋体"/>
                <w:kern w:val="0"/>
                <w:szCs w:val="21"/>
              </w:rPr>
              <w:t>处理。</w:t>
            </w:r>
          </w:p>
        </w:tc>
      </w:tr>
      <w:tr w14:paraId="31C5D7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40C9D4A">
            <w:pPr>
              <w:spacing w:line="400" w:lineRule="exact"/>
              <w:jc w:val="center"/>
              <w:rPr>
                <w:rFonts w:hint="eastAsia" w:ascii="宋体" w:hAnsi="宋体"/>
                <w:szCs w:val="21"/>
              </w:rPr>
            </w:pPr>
          </w:p>
        </w:tc>
        <w:tc>
          <w:tcPr>
            <w:tcW w:w="1899" w:type="dxa"/>
            <w:vMerge w:val="continue"/>
            <w:vAlign w:val="center"/>
          </w:tcPr>
          <w:p w14:paraId="62FAF23A">
            <w:pPr>
              <w:spacing w:line="400" w:lineRule="exact"/>
              <w:jc w:val="center"/>
              <w:rPr>
                <w:rFonts w:hint="eastAsia" w:ascii="宋体" w:hAnsi="宋体"/>
                <w:szCs w:val="21"/>
              </w:rPr>
            </w:pPr>
          </w:p>
        </w:tc>
        <w:tc>
          <w:tcPr>
            <w:tcW w:w="6333" w:type="dxa"/>
          </w:tcPr>
          <w:p w14:paraId="502B8CD0">
            <w:pPr>
              <w:spacing w:line="400" w:lineRule="exact"/>
              <w:ind w:firstLine="420" w:firstLineChars="200"/>
              <w:rPr>
                <w:rFonts w:hint="eastAsia" w:ascii="宋体" w:hAnsi="宋体"/>
                <w:szCs w:val="21"/>
              </w:rPr>
            </w:pPr>
            <w:r>
              <w:rPr>
                <w:rFonts w:hint="eastAsia" w:ascii="宋体" w:hAnsi="宋体"/>
                <w:szCs w:val="21"/>
              </w:rPr>
              <w:t>A-13联合体参与</w:t>
            </w:r>
            <w:r>
              <w:rPr>
                <w:rFonts w:hint="eastAsia" w:ascii="宋体" w:hAnsi="宋体"/>
                <w:szCs w:val="21"/>
                <w:lang w:eastAsia="zh-CN"/>
              </w:rPr>
              <w:t>竞选</w:t>
            </w:r>
            <w:r>
              <w:rPr>
                <w:rFonts w:hint="eastAsia" w:ascii="宋体" w:hAnsi="宋体"/>
                <w:szCs w:val="21"/>
              </w:rPr>
              <w:t>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w:t>
            </w:r>
            <w:r>
              <w:rPr>
                <w:rFonts w:hint="eastAsia" w:ascii="宋体" w:hAnsi="宋体"/>
                <w:szCs w:val="21"/>
                <w:lang w:eastAsia="zh-CN"/>
              </w:rPr>
              <w:t>竞选</w:t>
            </w:r>
            <w:r>
              <w:rPr>
                <w:rFonts w:hint="eastAsia" w:ascii="宋体" w:hAnsi="宋体"/>
                <w:szCs w:val="21"/>
              </w:rPr>
              <w:t>处理。</w:t>
            </w:r>
          </w:p>
        </w:tc>
      </w:tr>
      <w:tr w14:paraId="563DAB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DD84FF1">
            <w:pPr>
              <w:spacing w:line="400" w:lineRule="exact"/>
              <w:jc w:val="center"/>
              <w:rPr>
                <w:rFonts w:hint="eastAsia" w:ascii="宋体" w:hAnsi="宋体"/>
                <w:szCs w:val="21"/>
              </w:rPr>
            </w:pPr>
          </w:p>
        </w:tc>
        <w:tc>
          <w:tcPr>
            <w:tcW w:w="1899" w:type="dxa"/>
            <w:vMerge w:val="continue"/>
            <w:vAlign w:val="center"/>
          </w:tcPr>
          <w:p w14:paraId="3E7F7CD5">
            <w:pPr>
              <w:spacing w:line="400" w:lineRule="exact"/>
              <w:jc w:val="center"/>
              <w:rPr>
                <w:rFonts w:hint="eastAsia" w:ascii="宋体" w:hAnsi="宋体"/>
                <w:szCs w:val="21"/>
              </w:rPr>
            </w:pPr>
          </w:p>
        </w:tc>
        <w:tc>
          <w:tcPr>
            <w:tcW w:w="6333" w:type="dxa"/>
          </w:tcPr>
          <w:p w14:paraId="3BE4DEA1">
            <w:pPr>
              <w:spacing w:line="400" w:lineRule="exact"/>
              <w:ind w:firstLine="420" w:firstLineChars="200"/>
              <w:rPr>
                <w:rFonts w:hint="eastAsia" w:ascii="宋体" w:hAnsi="宋体"/>
                <w:szCs w:val="21"/>
              </w:rPr>
            </w:pPr>
            <w:r>
              <w:rPr>
                <w:rFonts w:hint="eastAsia" w:ascii="宋体" w:hAnsi="宋体"/>
                <w:szCs w:val="21"/>
              </w:rPr>
              <w:t>A-14只能有一个有效报价。在招标文件没有规定的情况下，不得提交选择性报价，否则由评标委员会作否决</w:t>
            </w:r>
            <w:r>
              <w:rPr>
                <w:rFonts w:hint="eastAsia" w:ascii="宋体" w:hAnsi="宋体"/>
                <w:szCs w:val="21"/>
                <w:lang w:eastAsia="zh-CN"/>
              </w:rPr>
              <w:t>竞选</w:t>
            </w:r>
            <w:r>
              <w:rPr>
                <w:rFonts w:hint="eastAsia" w:ascii="宋体" w:hAnsi="宋体"/>
                <w:szCs w:val="21"/>
              </w:rPr>
              <w:t>处理。</w:t>
            </w:r>
          </w:p>
        </w:tc>
      </w:tr>
      <w:tr w14:paraId="65678E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6F73446">
            <w:pPr>
              <w:spacing w:line="400" w:lineRule="exact"/>
              <w:jc w:val="center"/>
              <w:rPr>
                <w:rFonts w:hint="eastAsia" w:ascii="宋体" w:hAnsi="宋体"/>
                <w:szCs w:val="21"/>
              </w:rPr>
            </w:pPr>
          </w:p>
        </w:tc>
        <w:tc>
          <w:tcPr>
            <w:tcW w:w="1899" w:type="dxa"/>
            <w:vMerge w:val="continue"/>
            <w:vAlign w:val="center"/>
          </w:tcPr>
          <w:p w14:paraId="249D25FE">
            <w:pPr>
              <w:spacing w:line="400" w:lineRule="exact"/>
              <w:jc w:val="center"/>
              <w:rPr>
                <w:rFonts w:hint="eastAsia" w:ascii="宋体" w:hAnsi="宋体"/>
                <w:szCs w:val="21"/>
              </w:rPr>
            </w:pPr>
          </w:p>
        </w:tc>
        <w:tc>
          <w:tcPr>
            <w:tcW w:w="6333" w:type="dxa"/>
          </w:tcPr>
          <w:p w14:paraId="3BC73C78">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A-15</w:t>
            </w:r>
            <w:r>
              <w:rPr>
                <w:rFonts w:hint="eastAsia" w:ascii="宋体" w:hAnsi="宋体" w:cs="宋体"/>
                <w:kern w:val="0"/>
              </w:rPr>
              <w:t>第六章 竞选文件格式要求法定代表人或其委托代理人签名（或盖章）的须齐全。</w:t>
            </w:r>
            <w:r>
              <w:rPr>
                <w:rFonts w:hint="eastAsia" w:ascii="宋体" w:hAnsi="宋体" w:cs="宋体"/>
                <w:snapToGrid w:val="0"/>
                <w:kern w:val="0"/>
                <w:szCs w:val="21"/>
              </w:rPr>
              <w:t>若</w:t>
            </w:r>
            <w:r>
              <w:rPr>
                <w:rFonts w:hint="eastAsia" w:ascii="宋体" w:hAnsi="宋体" w:cs="宋体"/>
                <w:snapToGrid w:val="0"/>
                <w:kern w:val="0"/>
                <w:szCs w:val="21"/>
                <w:lang w:eastAsia="zh-CN"/>
              </w:rPr>
              <w:t>竞选</w:t>
            </w:r>
            <w:r>
              <w:rPr>
                <w:rFonts w:hint="eastAsia" w:ascii="宋体" w:hAnsi="宋体" w:cs="宋体"/>
                <w:snapToGrid w:val="0"/>
                <w:kern w:val="0"/>
                <w:szCs w:val="21"/>
              </w:rPr>
              <w:t>单位为联合体，则联合体协议书中各联合体各成员单位签名（或盖章）须齐全，联合体协议书以外的</w:t>
            </w:r>
            <w:r>
              <w:rPr>
                <w:rFonts w:hint="eastAsia" w:ascii="宋体" w:hAnsi="宋体" w:cs="宋体"/>
                <w:kern w:val="0"/>
                <w:lang w:eastAsia="zh-CN"/>
              </w:rPr>
              <w:t>竞选</w:t>
            </w:r>
            <w:r>
              <w:rPr>
                <w:rFonts w:hint="eastAsia" w:ascii="宋体" w:hAnsi="宋体" w:cs="宋体"/>
                <w:kern w:val="0"/>
              </w:rPr>
              <w:t>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r>
              <w:rPr>
                <w:rFonts w:hint="eastAsia" w:ascii="宋体" w:hAnsi="宋体"/>
                <w:szCs w:val="21"/>
              </w:rPr>
              <w:t>，否则由评标委员会作否决</w:t>
            </w:r>
            <w:r>
              <w:rPr>
                <w:rFonts w:hint="eastAsia" w:ascii="宋体" w:hAnsi="宋体"/>
                <w:szCs w:val="21"/>
                <w:lang w:eastAsia="zh-CN"/>
              </w:rPr>
              <w:t>竞选</w:t>
            </w:r>
            <w:r>
              <w:rPr>
                <w:rFonts w:hint="eastAsia" w:ascii="宋体" w:hAnsi="宋体"/>
                <w:szCs w:val="21"/>
              </w:rPr>
              <w:t>处理。</w:t>
            </w:r>
          </w:p>
        </w:tc>
      </w:tr>
      <w:tr w14:paraId="3B29B6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0C3525D">
            <w:pPr>
              <w:spacing w:line="400" w:lineRule="exact"/>
              <w:jc w:val="center"/>
              <w:rPr>
                <w:rFonts w:hint="eastAsia" w:ascii="宋体" w:hAnsi="宋体"/>
                <w:szCs w:val="21"/>
              </w:rPr>
            </w:pPr>
          </w:p>
        </w:tc>
        <w:tc>
          <w:tcPr>
            <w:tcW w:w="1899" w:type="dxa"/>
            <w:vMerge w:val="continue"/>
            <w:vAlign w:val="center"/>
          </w:tcPr>
          <w:p w14:paraId="703B883C">
            <w:pPr>
              <w:spacing w:line="400" w:lineRule="exact"/>
              <w:jc w:val="center"/>
              <w:rPr>
                <w:rFonts w:hint="eastAsia" w:ascii="宋体" w:hAnsi="宋体"/>
                <w:szCs w:val="21"/>
              </w:rPr>
            </w:pPr>
          </w:p>
        </w:tc>
        <w:tc>
          <w:tcPr>
            <w:tcW w:w="6333" w:type="dxa"/>
          </w:tcPr>
          <w:p w14:paraId="36E64675">
            <w:pPr>
              <w:spacing w:line="400" w:lineRule="exact"/>
              <w:ind w:firstLine="420" w:firstLineChars="200"/>
              <w:rPr>
                <w:rFonts w:hint="eastAsia" w:ascii="宋体" w:hAnsi="宋体"/>
                <w:szCs w:val="21"/>
              </w:rPr>
            </w:pPr>
            <w:r>
              <w:rPr>
                <w:rFonts w:hint="eastAsia" w:ascii="宋体" w:hAnsi="宋体"/>
                <w:szCs w:val="21"/>
              </w:rPr>
              <w:t>A-16竞选人法定代表人的委托代理人有法定代表人签署的授权委托书和竞选人为其缴纳的养老保险证明材料，否则由评标委员会作否决</w:t>
            </w:r>
            <w:r>
              <w:rPr>
                <w:rFonts w:hint="eastAsia" w:ascii="宋体" w:hAnsi="宋体"/>
                <w:szCs w:val="21"/>
                <w:lang w:eastAsia="zh-CN"/>
              </w:rPr>
              <w:t>竞选</w:t>
            </w:r>
            <w:r>
              <w:rPr>
                <w:rFonts w:hint="eastAsia" w:ascii="宋体" w:hAnsi="宋体"/>
                <w:szCs w:val="21"/>
              </w:rPr>
              <w:t>处理。</w:t>
            </w:r>
          </w:p>
        </w:tc>
      </w:tr>
      <w:tr w14:paraId="34A60A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423EA5">
            <w:pPr>
              <w:spacing w:line="400" w:lineRule="exact"/>
              <w:jc w:val="center"/>
              <w:rPr>
                <w:rFonts w:hint="eastAsia" w:ascii="宋体" w:hAnsi="宋体"/>
                <w:szCs w:val="21"/>
              </w:rPr>
            </w:pPr>
          </w:p>
        </w:tc>
        <w:tc>
          <w:tcPr>
            <w:tcW w:w="1899" w:type="dxa"/>
            <w:vMerge w:val="restart"/>
            <w:vAlign w:val="center"/>
          </w:tcPr>
          <w:p w14:paraId="6A6A2804">
            <w:pPr>
              <w:spacing w:line="400" w:lineRule="exact"/>
              <w:jc w:val="center"/>
              <w:rPr>
                <w:rFonts w:hint="eastAsia" w:ascii="宋体" w:hAnsi="宋体"/>
                <w:szCs w:val="21"/>
              </w:rPr>
            </w:pPr>
            <w:r>
              <w:rPr>
                <w:rFonts w:hint="eastAsia" w:ascii="宋体" w:hAnsi="宋体"/>
                <w:szCs w:val="21"/>
              </w:rPr>
              <w:t>响应性评审</w:t>
            </w:r>
          </w:p>
        </w:tc>
        <w:tc>
          <w:tcPr>
            <w:tcW w:w="6333" w:type="dxa"/>
            <w:vAlign w:val="center"/>
          </w:tcPr>
          <w:p w14:paraId="058E06C3">
            <w:pPr>
              <w:spacing w:line="400" w:lineRule="exact"/>
              <w:ind w:firstLine="420" w:firstLineChars="200"/>
              <w:rPr>
                <w:rFonts w:hint="eastAsia" w:ascii="宋体" w:hAnsi="宋体"/>
                <w:szCs w:val="21"/>
              </w:rPr>
            </w:pPr>
            <w:r>
              <w:rPr>
                <w:rFonts w:hint="eastAsia" w:ascii="宋体" w:hAnsi="宋体"/>
                <w:szCs w:val="21"/>
              </w:rPr>
              <w:t>A-17</w:t>
            </w:r>
            <w:r>
              <w:rPr>
                <w:rFonts w:hint="eastAsia" w:ascii="宋体" w:hAnsi="宋体" w:cs="宋体"/>
                <w:szCs w:val="21"/>
                <w:lang w:eastAsia="zh-CN"/>
              </w:rPr>
              <w:t>投标</w:t>
            </w:r>
            <w:r>
              <w:rPr>
                <w:rFonts w:hint="eastAsia" w:ascii="宋体" w:hAnsi="宋体" w:cs="宋体"/>
                <w:szCs w:val="21"/>
              </w:rPr>
              <w:t>总报价必须与已标价工程量清单总报价一致</w:t>
            </w:r>
            <w:r>
              <w:rPr>
                <w:rFonts w:hint="eastAsia" w:ascii="宋体" w:hAnsi="宋体"/>
                <w:szCs w:val="21"/>
              </w:rPr>
              <w:t>，否则由评标委员会作否决</w:t>
            </w:r>
            <w:r>
              <w:rPr>
                <w:rFonts w:hint="eastAsia" w:ascii="宋体" w:hAnsi="宋体"/>
                <w:szCs w:val="21"/>
                <w:lang w:eastAsia="zh-CN"/>
              </w:rPr>
              <w:t>竞选</w:t>
            </w:r>
            <w:r>
              <w:rPr>
                <w:rFonts w:hint="eastAsia" w:ascii="宋体" w:hAnsi="宋体"/>
                <w:szCs w:val="21"/>
              </w:rPr>
              <w:t>处理。</w:t>
            </w:r>
          </w:p>
        </w:tc>
      </w:tr>
      <w:tr w14:paraId="6370AA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0DF8308">
            <w:pPr>
              <w:spacing w:line="400" w:lineRule="exact"/>
              <w:jc w:val="center"/>
              <w:rPr>
                <w:rFonts w:hint="eastAsia" w:ascii="宋体" w:hAnsi="宋体"/>
                <w:szCs w:val="21"/>
              </w:rPr>
            </w:pPr>
          </w:p>
        </w:tc>
        <w:tc>
          <w:tcPr>
            <w:tcW w:w="1899" w:type="dxa"/>
            <w:vMerge w:val="continue"/>
            <w:vAlign w:val="center"/>
          </w:tcPr>
          <w:p w14:paraId="79B2AB16">
            <w:pPr>
              <w:spacing w:line="400" w:lineRule="exact"/>
              <w:jc w:val="center"/>
              <w:rPr>
                <w:rFonts w:hint="eastAsia" w:ascii="宋体" w:hAnsi="宋体"/>
                <w:szCs w:val="21"/>
              </w:rPr>
            </w:pPr>
          </w:p>
        </w:tc>
        <w:tc>
          <w:tcPr>
            <w:tcW w:w="6333" w:type="dxa"/>
            <w:vAlign w:val="center"/>
          </w:tcPr>
          <w:p w14:paraId="565A5B62">
            <w:pPr>
              <w:spacing w:line="400" w:lineRule="exact"/>
              <w:ind w:firstLine="420" w:firstLineChars="200"/>
              <w:rPr>
                <w:rFonts w:hint="eastAsia" w:ascii="宋体" w:hAnsi="宋体"/>
                <w:szCs w:val="21"/>
              </w:rPr>
            </w:pPr>
            <w:r>
              <w:rPr>
                <w:rFonts w:hint="eastAsia" w:ascii="宋体" w:hAnsi="宋体"/>
                <w:szCs w:val="21"/>
              </w:rPr>
              <w:t>A-18</w:t>
            </w:r>
            <w:r>
              <w:rPr>
                <w:rFonts w:hint="eastAsia" w:ascii="宋体" w:hAnsi="宋体"/>
                <w:szCs w:val="21"/>
                <w:lang w:eastAsia="zh-CN"/>
              </w:rPr>
              <w:t>竞选</w:t>
            </w:r>
            <w:r>
              <w:rPr>
                <w:rFonts w:hint="eastAsia" w:ascii="宋体" w:hAnsi="宋体"/>
                <w:szCs w:val="21"/>
              </w:rPr>
              <w:t>总报价不得高于比选人公布的</w:t>
            </w:r>
            <w:r>
              <w:rPr>
                <w:rFonts w:hint="eastAsia" w:ascii="宋体" w:hAnsi="宋体"/>
                <w:szCs w:val="21"/>
                <w:lang w:eastAsia="zh-CN"/>
              </w:rPr>
              <w:t>竞选</w:t>
            </w:r>
            <w:r>
              <w:rPr>
                <w:rFonts w:hint="eastAsia" w:ascii="宋体" w:hAnsi="宋体"/>
                <w:szCs w:val="21"/>
              </w:rPr>
              <w:t>总报价最高限价，否则由评标委员会作否决</w:t>
            </w:r>
            <w:r>
              <w:rPr>
                <w:rFonts w:hint="eastAsia" w:ascii="宋体" w:hAnsi="宋体"/>
                <w:szCs w:val="21"/>
                <w:lang w:eastAsia="zh-CN"/>
              </w:rPr>
              <w:t>竞选</w:t>
            </w:r>
            <w:r>
              <w:rPr>
                <w:rFonts w:hint="eastAsia" w:ascii="宋体" w:hAnsi="宋体"/>
                <w:szCs w:val="21"/>
              </w:rPr>
              <w:t>处理。</w:t>
            </w:r>
          </w:p>
        </w:tc>
      </w:tr>
      <w:tr w14:paraId="177FA4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43B5A33">
            <w:pPr>
              <w:spacing w:line="400" w:lineRule="exact"/>
              <w:jc w:val="center"/>
              <w:rPr>
                <w:rFonts w:hint="eastAsia" w:ascii="宋体" w:hAnsi="宋体"/>
                <w:szCs w:val="21"/>
              </w:rPr>
            </w:pPr>
          </w:p>
        </w:tc>
        <w:tc>
          <w:tcPr>
            <w:tcW w:w="1899" w:type="dxa"/>
            <w:vMerge w:val="continue"/>
            <w:vAlign w:val="center"/>
          </w:tcPr>
          <w:p w14:paraId="240048CC">
            <w:pPr>
              <w:spacing w:line="400" w:lineRule="exact"/>
              <w:jc w:val="center"/>
              <w:rPr>
                <w:rFonts w:hint="eastAsia" w:ascii="宋体" w:hAnsi="宋体"/>
                <w:szCs w:val="21"/>
              </w:rPr>
            </w:pPr>
          </w:p>
        </w:tc>
        <w:tc>
          <w:tcPr>
            <w:tcW w:w="6333" w:type="dxa"/>
            <w:vAlign w:val="center"/>
          </w:tcPr>
          <w:p w14:paraId="39F56DBC">
            <w:pPr>
              <w:spacing w:line="400" w:lineRule="exact"/>
              <w:ind w:firstLine="420" w:firstLineChars="200"/>
              <w:rPr>
                <w:rFonts w:hint="eastAsia" w:ascii="宋体" w:hAnsi="宋体"/>
                <w:szCs w:val="21"/>
              </w:rPr>
            </w:pPr>
            <w:r>
              <w:rPr>
                <w:rFonts w:hint="eastAsia" w:ascii="宋体" w:hAnsi="宋体"/>
                <w:szCs w:val="21"/>
              </w:rPr>
              <w:t>A-19</w:t>
            </w:r>
            <w:r>
              <w:rPr>
                <w:rFonts w:hint="eastAsia" w:ascii="宋体" w:hAnsi="宋体"/>
                <w:szCs w:val="21"/>
                <w:lang w:eastAsia="zh-CN"/>
              </w:rPr>
              <w:t>竞选</w:t>
            </w:r>
            <w:r>
              <w:rPr>
                <w:rFonts w:hint="eastAsia" w:ascii="宋体" w:hAnsi="宋体"/>
                <w:szCs w:val="21"/>
              </w:rPr>
              <w:t>总报价低于最高限价85%的，竞选人应在编制</w:t>
            </w:r>
            <w:r>
              <w:rPr>
                <w:rFonts w:hint="eastAsia" w:ascii="宋体" w:hAnsi="宋体"/>
                <w:szCs w:val="21"/>
                <w:lang w:eastAsia="zh-CN"/>
              </w:rPr>
              <w:t>竞选</w:t>
            </w:r>
            <w:r>
              <w:rPr>
                <w:rFonts w:hint="eastAsia" w:ascii="宋体" w:hAnsi="宋体"/>
                <w:szCs w:val="21"/>
              </w:rPr>
              <w:t>文件时，在</w:t>
            </w:r>
            <w:r>
              <w:rPr>
                <w:rFonts w:hint="eastAsia" w:ascii="宋体" w:hAnsi="宋体"/>
                <w:szCs w:val="21"/>
                <w:lang w:eastAsia="zh-CN"/>
              </w:rPr>
              <w:t>竞选</w:t>
            </w:r>
            <w:r>
              <w:rPr>
                <w:rFonts w:hint="eastAsia" w:ascii="宋体" w:hAnsi="宋体"/>
                <w:szCs w:val="21"/>
              </w:rPr>
              <w:t>函部分中递交低价风险担保提交承诺书，承诺书格式详见第六章竞选文件格式否则由评标委员会作否决</w:t>
            </w:r>
            <w:r>
              <w:rPr>
                <w:rFonts w:hint="eastAsia" w:ascii="宋体" w:hAnsi="宋体"/>
                <w:szCs w:val="21"/>
                <w:lang w:eastAsia="zh-CN"/>
              </w:rPr>
              <w:t>竞选</w:t>
            </w:r>
            <w:r>
              <w:rPr>
                <w:rFonts w:hint="eastAsia" w:ascii="宋体" w:hAnsi="宋体"/>
                <w:szCs w:val="21"/>
              </w:rPr>
              <w:t>处理。</w:t>
            </w:r>
          </w:p>
        </w:tc>
      </w:tr>
      <w:tr w14:paraId="64CD16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6E6296E">
            <w:pPr>
              <w:spacing w:line="400" w:lineRule="exact"/>
              <w:jc w:val="center"/>
              <w:rPr>
                <w:rFonts w:hint="eastAsia" w:ascii="宋体" w:hAnsi="宋体"/>
                <w:szCs w:val="21"/>
              </w:rPr>
            </w:pPr>
          </w:p>
        </w:tc>
        <w:tc>
          <w:tcPr>
            <w:tcW w:w="1899" w:type="dxa"/>
            <w:vMerge w:val="continue"/>
            <w:vAlign w:val="center"/>
          </w:tcPr>
          <w:p w14:paraId="16D02FF0">
            <w:pPr>
              <w:spacing w:line="400" w:lineRule="exact"/>
              <w:jc w:val="center"/>
              <w:rPr>
                <w:rFonts w:hint="eastAsia" w:ascii="宋体" w:hAnsi="宋体"/>
                <w:szCs w:val="21"/>
              </w:rPr>
            </w:pPr>
          </w:p>
        </w:tc>
        <w:tc>
          <w:tcPr>
            <w:tcW w:w="6333" w:type="dxa"/>
            <w:vAlign w:val="center"/>
          </w:tcPr>
          <w:p w14:paraId="4BCBCEE5">
            <w:pPr>
              <w:spacing w:line="400" w:lineRule="exact"/>
              <w:ind w:firstLine="420" w:firstLineChars="200"/>
              <w:rPr>
                <w:rFonts w:hint="eastAsia" w:ascii="宋体" w:hAnsi="宋体"/>
                <w:szCs w:val="21"/>
              </w:rPr>
            </w:pPr>
            <w:r>
              <w:rPr>
                <w:rFonts w:hint="eastAsia" w:ascii="宋体" w:hAnsi="宋体"/>
                <w:szCs w:val="21"/>
              </w:rPr>
              <w:t>A-20暂列金额、暂估价、安全文明施工费等暂定金额必须按照招标文件给定的金额填报，否则由评标委员会作否决</w:t>
            </w:r>
            <w:r>
              <w:rPr>
                <w:rFonts w:hint="eastAsia" w:ascii="宋体" w:hAnsi="宋体"/>
                <w:szCs w:val="21"/>
                <w:lang w:eastAsia="zh-CN"/>
              </w:rPr>
              <w:t>竞选</w:t>
            </w:r>
            <w:r>
              <w:rPr>
                <w:rFonts w:hint="eastAsia" w:ascii="宋体" w:hAnsi="宋体"/>
                <w:szCs w:val="21"/>
              </w:rPr>
              <w:t>处理。</w:t>
            </w:r>
          </w:p>
        </w:tc>
      </w:tr>
      <w:tr w14:paraId="47AF7F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AEC1C34">
            <w:pPr>
              <w:spacing w:line="400" w:lineRule="exact"/>
              <w:jc w:val="center"/>
              <w:rPr>
                <w:rFonts w:hint="eastAsia" w:ascii="宋体" w:hAnsi="宋体"/>
                <w:szCs w:val="21"/>
              </w:rPr>
            </w:pPr>
          </w:p>
        </w:tc>
        <w:tc>
          <w:tcPr>
            <w:tcW w:w="1899" w:type="dxa"/>
            <w:vMerge w:val="continue"/>
            <w:vAlign w:val="center"/>
          </w:tcPr>
          <w:p w14:paraId="3F02CE8F">
            <w:pPr>
              <w:spacing w:line="400" w:lineRule="exact"/>
              <w:jc w:val="center"/>
              <w:rPr>
                <w:rFonts w:hint="eastAsia" w:ascii="宋体" w:hAnsi="宋体"/>
                <w:szCs w:val="21"/>
              </w:rPr>
            </w:pPr>
          </w:p>
        </w:tc>
        <w:tc>
          <w:tcPr>
            <w:tcW w:w="6333" w:type="dxa"/>
            <w:vAlign w:val="center"/>
          </w:tcPr>
          <w:p w14:paraId="69BB0B5B">
            <w:pPr>
              <w:spacing w:line="400" w:lineRule="exact"/>
              <w:ind w:firstLine="420" w:firstLineChars="200"/>
              <w:rPr>
                <w:rFonts w:hint="eastAsia" w:ascii="宋体" w:hAnsi="宋体"/>
                <w:szCs w:val="21"/>
              </w:rPr>
            </w:pPr>
            <w:r>
              <w:rPr>
                <w:rFonts w:hint="eastAsia" w:ascii="宋体" w:hAnsi="宋体"/>
                <w:szCs w:val="21"/>
              </w:rPr>
              <w:t>A-21</w:t>
            </w:r>
            <w:r>
              <w:rPr>
                <w:rFonts w:hint="eastAsia" w:ascii="宋体" w:hAnsi="宋体"/>
                <w:szCs w:val="21"/>
                <w:lang w:eastAsia="zh-CN"/>
              </w:rPr>
              <w:t>竞选</w:t>
            </w:r>
            <w:r>
              <w:rPr>
                <w:rFonts w:hint="eastAsia" w:ascii="宋体" w:hAnsi="宋体"/>
                <w:szCs w:val="21"/>
              </w:rPr>
              <w:t>内容符合第二章“竞选人须知”第1.3.1项规定，否则由评标委员会作否决</w:t>
            </w:r>
            <w:r>
              <w:rPr>
                <w:rFonts w:hint="eastAsia" w:ascii="宋体" w:hAnsi="宋体"/>
                <w:szCs w:val="21"/>
                <w:lang w:eastAsia="zh-CN"/>
              </w:rPr>
              <w:t>竞选</w:t>
            </w:r>
            <w:r>
              <w:rPr>
                <w:rFonts w:hint="eastAsia" w:ascii="宋体" w:hAnsi="宋体"/>
                <w:szCs w:val="21"/>
              </w:rPr>
              <w:t>处理。</w:t>
            </w:r>
          </w:p>
        </w:tc>
      </w:tr>
      <w:tr w14:paraId="207E9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2C95160">
            <w:pPr>
              <w:spacing w:line="400" w:lineRule="exact"/>
              <w:jc w:val="center"/>
              <w:rPr>
                <w:rFonts w:hint="eastAsia" w:ascii="宋体" w:hAnsi="宋体"/>
                <w:szCs w:val="21"/>
              </w:rPr>
            </w:pPr>
          </w:p>
        </w:tc>
        <w:tc>
          <w:tcPr>
            <w:tcW w:w="1899" w:type="dxa"/>
            <w:vMerge w:val="continue"/>
            <w:vAlign w:val="center"/>
          </w:tcPr>
          <w:p w14:paraId="70438EAA">
            <w:pPr>
              <w:spacing w:line="400" w:lineRule="exact"/>
              <w:jc w:val="center"/>
              <w:rPr>
                <w:rFonts w:hint="eastAsia" w:ascii="宋体" w:hAnsi="宋体"/>
                <w:szCs w:val="21"/>
              </w:rPr>
            </w:pPr>
          </w:p>
        </w:tc>
        <w:tc>
          <w:tcPr>
            <w:tcW w:w="6333" w:type="dxa"/>
            <w:vAlign w:val="center"/>
          </w:tcPr>
          <w:p w14:paraId="6AC4F1D6">
            <w:pPr>
              <w:spacing w:line="400" w:lineRule="exact"/>
              <w:ind w:firstLine="420" w:firstLineChars="200"/>
              <w:rPr>
                <w:rFonts w:hint="eastAsia" w:ascii="宋体" w:hAnsi="宋体"/>
                <w:szCs w:val="21"/>
              </w:rPr>
            </w:pPr>
            <w:r>
              <w:rPr>
                <w:rFonts w:hint="eastAsia" w:ascii="宋体" w:hAnsi="宋体"/>
                <w:szCs w:val="21"/>
              </w:rPr>
              <w:t>A-22工期符合第二章“竞选人须知”第1.3.2项规定，否则由评标委员会作否决</w:t>
            </w:r>
            <w:r>
              <w:rPr>
                <w:rFonts w:hint="eastAsia" w:ascii="宋体" w:hAnsi="宋体"/>
                <w:szCs w:val="21"/>
                <w:lang w:eastAsia="zh-CN"/>
              </w:rPr>
              <w:t>竞选</w:t>
            </w:r>
            <w:r>
              <w:rPr>
                <w:rFonts w:hint="eastAsia" w:ascii="宋体" w:hAnsi="宋体"/>
                <w:szCs w:val="21"/>
              </w:rPr>
              <w:t>处理。</w:t>
            </w:r>
          </w:p>
        </w:tc>
      </w:tr>
      <w:tr w14:paraId="16107A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514AEC">
            <w:pPr>
              <w:spacing w:line="400" w:lineRule="exact"/>
              <w:jc w:val="center"/>
              <w:rPr>
                <w:rFonts w:hint="eastAsia" w:ascii="宋体" w:hAnsi="宋体"/>
                <w:szCs w:val="21"/>
              </w:rPr>
            </w:pPr>
          </w:p>
        </w:tc>
        <w:tc>
          <w:tcPr>
            <w:tcW w:w="1899" w:type="dxa"/>
            <w:vMerge w:val="continue"/>
            <w:vAlign w:val="center"/>
          </w:tcPr>
          <w:p w14:paraId="50B413A7">
            <w:pPr>
              <w:spacing w:line="400" w:lineRule="exact"/>
              <w:jc w:val="center"/>
              <w:rPr>
                <w:rFonts w:hint="eastAsia" w:ascii="宋体" w:hAnsi="宋体"/>
                <w:szCs w:val="21"/>
              </w:rPr>
            </w:pPr>
          </w:p>
        </w:tc>
        <w:tc>
          <w:tcPr>
            <w:tcW w:w="6333" w:type="dxa"/>
            <w:vAlign w:val="center"/>
          </w:tcPr>
          <w:p w14:paraId="2762D84B">
            <w:pPr>
              <w:spacing w:line="400" w:lineRule="exact"/>
              <w:ind w:firstLine="420" w:firstLineChars="200"/>
              <w:rPr>
                <w:rFonts w:hint="eastAsia" w:ascii="宋体" w:hAnsi="宋体"/>
                <w:szCs w:val="21"/>
              </w:rPr>
            </w:pPr>
            <w:r>
              <w:rPr>
                <w:rFonts w:hint="eastAsia" w:ascii="宋体" w:hAnsi="宋体"/>
                <w:szCs w:val="21"/>
              </w:rPr>
              <w:t>A-23工程质量符合第二章“竞选人须知”第1.3.3项规定，否则由评标委员会作否决</w:t>
            </w:r>
            <w:r>
              <w:rPr>
                <w:rFonts w:hint="eastAsia" w:ascii="宋体" w:hAnsi="宋体"/>
                <w:szCs w:val="21"/>
                <w:lang w:eastAsia="zh-CN"/>
              </w:rPr>
              <w:t>竞选</w:t>
            </w:r>
            <w:r>
              <w:rPr>
                <w:rFonts w:hint="eastAsia" w:ascii="宋体" w:hAnsi="宋体"/>
                <w:szCs w:val="21"/>
              </w:rPr>
              <w:t>处理。</w:t>
            </w:r>
          </w:p>
        </w:tc>
      </w:tr>
      <w:tr w14:paraId="5428AB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148D375">
            <w:pPr>
              <w:spacing w:line="400" w:lineRule="exact"/>
              <w:jc w:val="center"/>
              <w:rPr>
                <w:rFonts w:hint="eastAsia" w:ascii="宋体" w:hAnsi="宋体"/>
                <w:szCs w:val="21"/>
              </w:rPr>
            </w:pPr>
          </w:p>
        </w:tc>
        <w:tc>
          <w:tcPr>
            <w:tcW w:w="1899" w:type="dxa"/>
            <w:vMerge w:val="continue"/>
            <w:vAlign w:val="center"/>
          </w:tcPr>
          <w:p w14:paraId="31E4DE8F">
            <w:pPr>
              <w:spacing w:line="400" w:lineRule="exact"/>
              <w:jc w:val="center"/>
              <w:rPr>
                <w:rFonts w:hint="eastAsia" w:ascii="宋体" w:hAnsi="宋体"/>
                <w:szCs w:val="21"/>
              </w:rPr>
            </w:pPr>
          </w:p>
        </w:tc>
        <w:tc>
          <w:tcPr>
            <w:tcW w:w="6333" w:type="dxa"/>
            <w:vAlign w:val="center"/>
          </w:tcPr>
          <w:p w14:paraId="343AF07D">
            <w:pPr>
              <w:spacing w:line="400" w:lineRule="exact"/>
              <w:ind w:firstLine="420" w:firstLineChars="200"/>
              <w:rPr>
                <w:rFonts w:hint="eastAsia" w:ascii="宋体" w:hAnsi="宋体"/>
                <w:szCs w:val="21"/>
              </w:rPr>
            </w:pPr>
            <w:r>
              <w:rPr>
                <w:rFonts w:hint="eastAsia" w:ascii="宋体" w:hAnsi="宋体"/>
                <w:szCs w:val="21"/>
              </w:rPr>
              <w:t>A-24</w:t>
            </w:r>
            <w:r>
              <w:rPr>
                <w:rFonts w:hint="eastAsia" w:ascii="宋体" w:hAnsi="宋体"/>
                <w:szCs w:val="21"/>
                <w:lang w:eastAsia="zh-CN"/>
              </w:rPr>
              <w:t>竞选</w:t>
            </w:r>
            <w:r>
              <w:rPr>
                <w:rFonts w:hint="eastAsia" w:ascii="宋体" w:hAnsi="宋体"/>
                <w:szCs w:val="21"/>
              </w:rPr>
              <w:t>有效期符合第二章“竞选人须知”第3.3.1项规定，否则由评标委员会作否决</w:t>
            </w:r>
            <w:r>
              <w:rPr>
                <w:rFonts w:hint="eastAsia" w:ascii="宋体" w:hAnsi="宋体"/>
                <w:szCs w:val="21"/>
                <w:lang w:eastAsia="zh-CN"/>
              </w:rPr>
              <w:t>竞选</w:t>
            </w:r>
            <w:r>
              <w:rPr>
                <w:rFonts w:hint="eastAsia" w:ascii="宋体" w:hAnsi="宋体"/>
                <w:szCs w:val="21"/>
              </w:rPr>
              <w:t>处理。</w:t>
            </w:r>
          </w:p>
        </w:tc>
      </w:tr>
      <w:tr w14:paraId="1637D9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744468A">
            <w:pPr>
              <w:spacing w:line="400" w:lineRule="exact"/>
              <w:jc w:val="center"/>
              <w:rPr>
                <w:rFonts w:hint="eastAsia" w:ascii="宋体" w:hAnsi="宋体"/>
                <w:szCs w:val="21"/>
              </w:rPr>
            </w:pPr>
          </w:p>
        </w:tc>
        <w:tc>
          <w:tcPr>
            <w:tcW w:w="1899" w:type="dxa"/>
            <w:vMerge w:val="continue"/>
            <w:vAlign w:val="center"/>
          </w:tcPr>
          <w:p w14:paraId="5152F7D8">
            <w:pPr>
              <w:spacing w:line="400" w:lineRule="exact"/>
              <w:jc w:val="center"/>
              <w:rPr>
                <w:rFonts w:hint="eastAsia" w:ascii="宋体" w:hAnsi="宋体"/>
                <w:szCs w:val="21"/>
              </w:rPr>
            </w:pPr>
          </w:p>
        </w:tc>
        <w:tc>
          <w:tcPr>
            <w:tcW w:w="6333" w:type="dxa"/>
            <w:vAlign w:val="center"/>
          </w:tcPr>
          <w:p w14:paraId="76FAFFE5">
            <w:pPr>
              <w:spacing w:line="400" w:lineRule="exact"/>
              <w:ind w:firstLine="420" w:firstLineChars="200"/>
              <w:rPr>
                <w:rFonts w:hint="eastAsia" w:ascii="宋体" w:hAnsi="宋体"/>
                <w:szCs w:val="21"/>
              </w:rPr>
            </w:pPr>
            <w:r>
              <w:rPr>
                <w:rFonts w:hint="eastAsia" w:ascii="宋体" w:hAnsi="宋体"/>
                <w:szCs w:val="21"/>
              </w:rPr>
              <w:t>A-25竞选人</w:t>
            </w:r>
            <w:r>
              <w:rPr>
                <w:rFonts w:ascii="宋体" w:hAnsi="宋体"/>
                <w:szCs w:val="21"/>
              </w:rPr>
              <w:t>应按</w:t>
            </w:r>
            <w:r>
              <w:rPr>
                <w:rFonts w:hint="eastAsia" w:ascii="宋体" w:hAnsi="宋体"/>
                <w:szCs w:val="21"/>
              </w:rPr>
              <w:t>竞选人须知前附表第3.4款的</w:t>
            </w:r>
            <w:r>
              <w:rPr>
                <w:rFonts w:ascii="宋体" w:hAnsi="宋体"/>
                <w:szCs w:val="21"/>
              </w:rPr>
              <w:t>规定递交</w:t>
            </w:r>
            <w:r>
              <w:rPr>
                <w:rFonts w:hint="eastAsia" w:ascii="宋体" w:hAnsi="宋体"/>
                <w:szCs w:val="21"/>
                <w:lang w:eastAsia="zh-CN"/>
              </w:rPr>
              <w:t>竞选</w:t>
            </w:r>
            <w:r>
              <w:rPr>
                <w:rFonts w:ascii="宋体" w:hAnsi="宋体"/>
                <w:szCs w:val="21"/>
              </w:rPr>
              <w:t>保证金，并作为其</w:t>
            </w:r>
            <w:r>
              <w:rPr>
                <w:rFonts w:hint="eastAsia" w:ascii="宋体" w:hAnsi="宋体"/>
                <w:szCs w:val="21"/>
                <w:lang w:eastAsia="zh-CN"/>
              </w:rPr>
              <w:t>竞选</w:t>
            </w:r>
            <w:r>
              <w:rPr>
                <w:rFonts w:ascii="宋体" w:hAnsi="宋体"/>
                <w:szCs w:val="21"/>
              </w:rPr>
              <w:t>文件的组成部分</w:t>
            </w:r>
            <w:r>
              <w:rPr>
                <w:rFonts w:hint="eastAsia" w:ascii="宋体" w:hAnsi="宋体"/>
                <w:szCs w:val="21"/>
              </w:rPr>
              <w:t>，</w:t>
            </w:r>
            <w:r>
              <w:rPr>
                <w:rFonts w:ascii="宋体" w:hAnsi="宋体"/>
                <w:szCs w:val="21"/>
              </w:rPr>
              <w:t>否则</w:t>
            </w:r>
            <w:r>
              <w:rPr>
                <w:rFonts w:hint="eastAsia" w:ascii="宋体" w:hAnsi="宋体"/>
                <w:szCs w:val="21"/>
              </w:rPr>
              <w:t>由评标委员会</w:t>
            </w:r>
            <w:r>
              <w:rPr>
                <w:rFonts w:ascii="宋体" w:hAnsi="宋体"/>
                <w:szCs w:val="21"/>
              </w:rPr>
              <w:t>作否决</w:t>
            </w:r>
            <w:r>
              <w:rPr>
                <w:rFonts w:hint="eastAsia" w:ascii="宋体" w:hAnsi="宋体"/>
                <w:szCs w:val="21"/>
                <w:lang w:eastAsia="zh-CN"/>
              </w:rPr>
              <w:t>竞选</w:t>
            </w:r>
            <w:r>
              <w:rPr>
                <w:rFonts w:ascii="宋体" w:hAnsi="宋体"/>
                <w:szCs w:val="21"/>
              </w:rPr>
              <w:t>处理。</w:t>
            </w:r>
          </w:p>
        </w:tc>
      </w:tr>
      <w:tr w14:paraId="46C981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7A566AE">
            <w:pPr>
              <w:spacing w:line="400" w:lineRule="exact"/>
              <w:jc w:val="center"/>
              <w:rPr>
                <w:rFonts w:hint="eastAsia" w:ascii="宋体" w:hAnsi="宋体"/>
                <w:szCs w:val="21"/>
              </w:rPr>
            </w:pPr>
          </w:p>
        </w:tc>
        <w:tc>
          <w:tcPr>
            <w:tcW w:w="1899" w:type="dxa"/>
            <w:vMerge w:val="continue"/>
            <w:vAlign w:val="center"/>
          </w:tcPr>
          <w:p w14:paraId="1F6115F4">
            <w:pPr>
              <w:spacing w:line="400" w:lineRule="exact"/>
              <w:jc w:val="center"/>
              <w:rPr>
                <w:rFonts w:hint="eastAsia" w:ascii="宋体" w:hAnsi="宋体"/>
                <w:szCs w:val="21"/>
              </w:rPr>
            </w:pPr>
          </w:p>
        </w:tc>
        <w:tc>
          <w:tcPr>
            <w:tcW w:w="6333" w:type="dxa"/>
            <w:vAlign w:val="center"/>
          </w:tcPr>
          <w:p w14:paraId="6A93E51D">
            <w:pPr>
              <w:spacing w:line="400" w:lineRule="exact"/>
              <w:ind w:firstLine="420" w:firstLineChars="200"/>
              <w:rPr>
                <w:rFonts w:hint="eastAsia" w:ascii="宋体" w:hAnsi="宋体"/>
                <w:szCs w:val="21"/>
              </w:rPr>
            </w:pPr>
            <w:r>
              <w:rPr>
                <w:rFonts w:hint="eastAsia" w:ascii="宋体" w:hAnsi="宋体"/>
                <w:szCs w:val="21"/>
              </w:rPr>
              <w:t>A-26符合第四章“合同条款及格式”规定，</w:t>
            </w:r>
            <w:r>
              <w:rPr>
                <w:rFonts w:hint="eastAsia" w:ascii="宋体" w:hAnsi="宋体"/>
                <w:szCs w:val="21"/>
                <w:lang w:eastAsia="zh-CN"/>
              </w:rPr>
              <w:t>竞选</w:t>
            </w:r>
            <w:r>
              <w:rPr>
                <w:rFonts w:hint="eastAsia" w:ascii="宋体" w:hAnsi="宋体"/>
                <w:szCs w:val="21"/>
              </w:rPr>
              <w:t>文件不应附有比选人不能接受的条件，否则由评标委员会作否决</w:t>
            </w:r>
            <w:r>
              <w:rPr>
                <w:rFonts w:hint="eastAsia" w:ascii="宋体" w:hAnsi="宋体"/>
                <w:szCs w:val="21"/>
                <w:lang w:eastAsia="zh-CN"/>
              </w:rPr>
              <w:t>竞选</w:t>
            </w:r>
            <w:r>
              <w:rPr>
                <w:rFonts w:hint="eastAsia" w:ascii="宋体" w:hAnsi="宋体"/>
                <w:szCs w:val="21"/>
              </w:rPr>
              <w:t>处理。（由竞选人承诺，承诺书格式详见第六章竞选文件格式。）</w:t>
            </w:r>
          </w:p>
        </w:tc>
      </w:tr>
      <w:tr w14:paraId="7CED19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B7C976E">
            <w:pPr>
              <w:spacing w:line="400" w:lineRule="exact"/>
              <w:jc w:val="center"/>
              <w:rPr>
                <w:rFonts w:hint="eastAsia" w:ascii="宋体" w:hAnsi="宋体"/>
                <w:szCs w:val="21"/>
              </w:rPr>
            </w:pPr>
          </w:p>
        </w:tc>
        <w:tc>
          <w:tcPr>
            <w:tcW w:w="1899" w:type="dxa"/>
            <w:vMerge w:val="continue"/>
            <w:vAlign w:val="center"/>
          </w:tcPr>
          <w:p w14:paraId="35CA2530">
            <w:pPr>
              <w:spacing w:line="400" w:lineRule="exact"/>
              <w:jc w:val="center"/>
              <w:rPr>
                <w:rFonts w:hint="eastAsia" w:ascii="宋体" w:hAnsi="宋体"/>
                <w:szCs w:val="21"/>
              </w:rPr>
            </w:pPr>
          </w:p>
        </w:tc>
        <w:tc>
          <w:tcPr>
            <w:tcW w:w="6333" w:type="dxa"/>
            <w:vAlign w:val="center"/>
          </w:tcPr>
          <w:p w14:paraId="27016E31">
            <w:pPr>
              <w:spacing w:line="400" w:lineRule="exact"/>
              <w:ind w:firstLine="420" w:firstLineChars="200"/>
              <w:rPr>
                <w:rFonts w:hint="eastAsia" w:ascii="宋体" w:hAnsi="宋体"/>
                <w:szCs w:val="21"/>
              </w:rPr>
            </w:pPr>
            <w:r>
              <w:rPr>
                <w:rFonts w:hint="eastAsia" w:ascii="宋体" w:hAnsi="宋体"/>
                <w:szCs w:val="21"/>
              </w:rPr>
              <w:t>A-27符合第七章“技术标准和要求”规定。否则由评标委员会作否决</w:t>
            </w:r>
            <w:r>
              <w:rPr>
                <w:rFonts w:hint="eastAsia" w:ascii="宋体" w:hAnsi="宋体"/>
                <w:szCs w:val="21"/>
                <w:lang w:eastAsia="zh-CN"/>
              </w:rPr>
              <w:t>竞选</w:t>
            </w:r>
            <w:r>
              <w:rPr>
                <w:rFonts w:hint="eastAsia" w:ascii="宋体" w:hAnsi="宋体"/>
                <w:szCs w:val="21"/>
              </w:rPr>
              <w:t>处理（如有）。（由竞选人承诺。）</w:t>
            </w:r>
          </w:p>
        </w:tc>
      </w:tr>
      <w:tr w14:paraId="536F6E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F02C82D">
            <w:pPr>
              <w:spacing w:line="400" w:lineRule="exact"/>
              <w:jc w:val="center"/>
              <w:rPr>
                <w:rFonts w:hint="eastAsia" w:ascii="宋体" w:hAnsi="宋体"/>
                <w:szCs w:val="21"/>
              </w:rPr>
            </w:pPr>
          </w:p>
        </w:tc>
        <w:tc>
          <w:tcPr>
            <w:tcW w:w="1899" w:type="dxa"/>
            <w:vMerge w:val="continue"/>
            <w:vAlign w:val="center"/>
          </w:tcPr>
          <w:p w14:paraId="18C63AF2">
            <w:pPr>
              <w:spacing w:line="400" w:lineRule="exact"/>
              <w:jc w:val="center"/>
              <w:rPr>
                <w:rFonts w:hint="eastAsia" w:ascii="宋体" w:hAnsi="宋体"/>
                <w:szCs w:val="21"/>
              </w:rPr>
            </w:pPr>
          </w:p>
        </w:tc>
        <w:tc>
          <w:tcPr>
            <w:tcW w:w="6333" w:type="dxa"/>
            <w:vAlign w:val="center"/>
          </w:tcPr>
          <w:p w14:paraId="07D00C2A">
            <w:pPr>
              <w:spacing w:line="400" w:lineRule="exact"/>
              <w:ind w:firstLine="420" w:firstLineChars="200"/>
              <w:rPr>
                <w:rFonts w:hint="eastAsia" w:ascii="宋体" w:hAnsi="宋体"/>
                <w:szCs w:val="21"/>
              </w:rPr>
            </w:pPr>
            <w:r>
              <w:rPr>
                <w:rFonts w:hint="eastAsia" w:ascii="宋体" w:hAnsi="宋体"/>
                <w:szCs w:val="21"/>
              </w:rPr>
              <w:t>A-28竞选人提供的关于已标价工程量清单的承诺符合招标文件的要求，</w:t>
            </w:r>
            <w:r>
              <w:rPr>
                <w:rFonts w:ascii="宋体" w:hAnsi="宋体"/>
                <w:szCs w:val="21"/>
              </w:rPr>
              <w:t>否则</w:t>
            </w:r>
            <w:r>
              <w:rPr>
                <w:rFonts w:hint="eastAsia" w:ascii="宋体" w:hAnsi="宋体"/>
                <w:szCs w:val="21"/>
              </w:rPr>
              <w:t>由评标委员会</w:t>
            </w:r>
            <w:r>
              <w:rPr>
                <w:rFonts w:ascii="宋体" w:hAnsi="宋体"/>
                <w:szCs w:val="21"/>
              </w:rPr>
              <w:t>作否决</w:t>
            </w:r>
            <w:r>
              <w:rPr>
                <w:rFonts w:hint="eastAsia" w:ascii="宋体" w:hAnsi="宋体"/>
                <w:szCs w:val="21"/>
                <w:lang w:eastAsia="zh-CN"/>
              </w:rPr>
              <w:t>竞选</w:t>
            </w:r>
            <w:r>
              <w:rPr>
                <w:rFonts w:ascii="宋体" w:hAnsi="宋体"/>
                <w:szCs w:val="21"/>
              </w:rPr>
              <w:t>处理。</w:t>
            </w:r>
          </w:p>
        </w:tc>
      </w:tr>
      <w:tr w14:paraId="1C9CA2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4E40E57">
            <w:pPr>
              <w:spacing w:line="400" w:lineRule="exact"/>
              <w:jc w:val="center"/>
              <w:rPr>
                <w:rFonts w:hint="eastAsia" w:ascii="宋体" w:hAnsi="宋体"/>
                <w:szCs w:val="21"/>
              </w:rPr>
            </w:pPr>
          </w:p>
        </w:tc>
        <w:tc>
          <w:tcPr>
            <w:tcW w:w="1899" w:type="dxa"/>
            <w:vMerge w:val="continue"/>
            <w:vAlign w:val="center"/>
          </w:tcPr>
          <w:p w14:paraId="6C07220E">
            <w:pPr>
              <w:spacing w:line="400" w:lineRule="exact"/>
              <w:jc w:val="center"/>
              <w:rPr>
                <w:rFonts w:hint="eastAsia" w:ascii="宋体" w:hAnsi="宋体"/>
                <w:szCs w:val="21"/>
              </w:rPr>
            </w:pPr>
          </w:p>
        </w:tc>
        <w:tc>
          <w:tcPr>
            <w:tcW w:w="6333" w:type="dxa"/>
            <w:vAlign w:val="center"/>
          </w:tcPr>
          <w:p w14:paraId="68B25610">
            <w:pPr>
              <w:spacing w:line="400" w:lineRule="exact"/>
              <w:ind w:firstLine="420" w:firstLineChars="200"/>
              <w:rPr>
                <w:rFonts w:hint="eastAsia" w:ascii="宋体" w:hAnsi="宋体"/>
                <w:szCs w:val="21"/>
              </w:rPr>
            </w:pPr>
            <w:r>
              <w:rPr>
                <w:rFonts w:hint="eastAsia" w:ascii="宋体" w:hAnsi="宋体"/>
                <w:szCs w:val="21"/>
              </w:rPr>
              <w:t>A-29</w:t>
            </w:r>
            <w:r>
              <w:rPr>
                <w:rFonts w:hint="eastAsia" w:ascii="宋体" w:hAnsi="宋体"/>
                <w:szCs w:val="21"/>
                <w:lang w:eastAsia="zh-CN"/>
              </w:rPr>
              <w:t>竞选</w:t>
            </w:r>
            <w:r>
              <w:rPr>
                <w:rFonts w:hint="eastAsia" w:ascii="宋体" w:hAnsi="宋体"/>
                <w:szCs w:val="21"/>
              </w:rPr>
              <w:t>报价有算术错误的，按照第三章“评标办法”第3.2.3项规定执行，否则由评标委员会作否决</w:t>
            </w:r>
            <w:r>
              <w:rPr>
                <w:rFonts w:hint="eastAsia" w:ascii="宋体" w:hAnsi="宋体"/>
                <w:szCs w:val="21"/>
                <w:lang w:eastAsia="zh-CN"/>
              </w:rPr>
              <w:t>竞选</w:t>
            </w:r>
            <w:r>
              <w:rPr>
                <w:rFonts w:hint="eastAsia" w:ascii="宋体" w:hAnsi="宋体"/>
                <w:szCs w:val="21"/>
              </w:rPr>
              <w:t>处理。</w:t>
            </w:r>
          </w:p>
        </w:tc>
      </w:tr>
      <w:tr w14:paraId="0FCF4D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002427D">
            <w:pPr>
              <w:spacing w:line="400" w:lineRule="exact"/>
              <w:jc w:val="center"/>
              <w:rPr>
                <w:rFonts w:hint="eastAsia" w:ascii="宋体" w:hAnsi="宋体"/>
                <w:szCs w:val="21"/>
              </w:rPr>
            </w:pPr>
          </w:p>
        </w:tc>
        <w:tc>
          <w:tcPr>
            <w:tcW w:w="1899" w:type="dxa"/>
            <w:vMerge w:val="continue"/>
            <w:vAlign w:val="center"/>
          </w:tcPr>
          <w:p w14:paraId="31BD86DC">
            <w:pPr>
              <w:spacing w:line="400" w:lineRule="exact"/>
              <w:jc w:val="center"/>
              <w:rPr>
                <w:rFonts w:hint="eastAsia" w:ascii="宋体" w:hAnsi="宋体"/>
                <w:szCs w:val="21"/>
              </w:rPr>
            </w:pPr>
          </w:p>
        </w:tc>
        <w:tc>
          <w:tcPr>
            <w:tcW w:w="6333" w:type="dxa"/>
            <w:vAlign w:val="center"/>
          </w:tcPr>
          <w:p w14:paraId="4EEB6A68">
            <w:pPr>
              <w:spacing w:line="400" w:lineRule="exact"/>
              <w:ind w:firstLine="420" w:firstLineChars="200"/>
              <w:rPr>
                <w:rFonts w:hint="eastAsia" w:ascii="宋体" w:hAnsi="宋体"/>
                <w:szCs w:val="21"/>
              </w:rPr>
            </w:pPr>
            <w:r>
              <w:rPr>
                <w:rFonts w:hint="eastAsia" w:ascii="宋体" w:hAnsi="宋体"/>
                <w:szCs w:val="21"/>
              </w:rPr>
              <w:t>A-30竞选人有以下情形之一的，其</w:t>
            </w:r>
            <w:r>
              <w:rPr>
                <w:rFonts w:hint="eastAsia" w:ascii="宋体" w:hAnsi="宋体"/>
                <w:szCs w:val="21"/>
                <w:lang w:eastAsia="zh-CN"/>
              </w:rPr>
              <w:t>竞选</w:t>
            </w:r>
            <w:r>
              <w:rPr>
                <w:rFonts w:hint="eastAsia" w:ascii="宋体" w:hAnsi="宋体"/>
                <w:szCs w:val="21"/>
              </w:rPr>
              <w:t>文件由评标委员会</w:t>
            </w:r>
            <w:r>
              <w:rPr>
                <w:rFonts w:ascii="宋体" w:hAnsi="宋体"/>
                <w:szCs w:val="21"/>
              </w:rPr>
              <w:t>作否决</w:t>
            </w:r>
            <w:r>
              <w:rPr>
                <w:rFonts w:hint="eastAsia" w:ascii="宋体" w:hAnsi="宋体"/>
                <w:szCs w:val="21"/>
                <w:lang w:eastAsia="zh-CN"/>
              </w:rPr>
              <w:t>竞选</w:t>
            </w:r>
            <w:r>
              <w:rPr>
                <w:rFonts w:ascii="宋体" w:hAnsi="宋体"/>
                <w:szCs w:val="21"/>
              </w:rPr>
              <w:t>处理</w:t>
            </w:r>
            <w:r>
              <w:rPr>
                <w:rFonts w:hint="eastAsia" w:ascii="宋体" w:hAnsi="宋体"/>
                <w:szCs w:val="21"/>
              </w:rPr>
              <w:t>：</w:t>
            </w:r>
          </w:p>
          <w:p w14:paraId="385DF25F">
            <w:pPr>
              <w:spacing w:line="400" w:lineRule="exact"/>
              <w:ind w:firstLine="420" w:firstLineChars="200"/>
              <w:rPr>
                <w:rFonts w:hint="eastAsia" w:ascii="宋体" w:hAnsi="宋体"/>
                <w:szCs w:val="21"/>
              </w:rPr>
            </w:pPr>
            <w:r>
              <w:rPr>
                <w:rFonts w:hint="eastAsia" w:ascii="宋体" w:hAnsi="宋体"/>
                <w:szCs w:val="21"/>
              </w:rPr>
              <w:t>1.第二章“竞选人须知”第1.4.3项规定的任何一种情形的；</w:t>
            </w:r>
          </w:p>
          <w:p w14:paraId="0727F125">
            <w:pPr>
              <w:spacing w:line="400" w:lineRule="exact"/>
              <w:ind w:firstLine="420" w:firstLineChars="200"/>
              <w:rPr>
                <w:rFonts w:hint="eastAsia" w:ascii="宋体" w:hAnsi="宋体"/>
                <w:szCs w:val="21"/>
              </w:rPr>
            </w:pPr>
            <w:r>
              <w:rPr>
                <w:rFonts w:hint="eastAsia" w:ascii="宋体" w:hAnsi="宋体"/>
                <w:szCs w:val="21"/>
              </w:rPr>
              <w:t>2.本次</w:t>
            </w:r>
            <w:r>
              <w:rPr>
                <w:rFonts w:hint="eastAsia" w:ascii="宋体" w:hAnsi="宋体"/>
                <w:szCs w:val="21"/>
                <w:lang w:eastAsia="zh-CN"/>
              </w:rPr>
              <w:t>竞选</w:t>
            </w:r>
            <w:r>
              <w:rPr>
                <w:rFonts w:hint="eastAsia" w:ascii="宋体" w:hAnsi="宋体"/>
                <w:szCs w:val="21"/>
              </w:rPr>
              <w:t>有串通</w:t>
            </w:r>
            <w:r>
              <w:rPr>
                <w:rFonts w:hint="eastAsia" w:ascii="宋体" w:hAnsi="宋体"/>
                <w:szCs w:val="21"/>
                <w:lang w:eastAsia="zh-CN"/>
              </w:rPr>
              <w:t>竞选</w:t>
            </w:r>
            <w:r>
              <w:rPr>
                <w:rFonts w:hint="eastAsia" w:ascii="宋体" w:hAnsi="宋体"/>
                <w:szCs w:val="21"/>
              </w:rPr>
              <w:t>、弄虚作假等违反招</w:t>
            </w:r>
            <w:r>
              <w:rPr>
                <w:rFonts w:hint="eastAsia" w:ascii="宋体" w:hAnsi="宋体"/>
                <w:szCs w:val="21"/>
                <w:lang w:eastAsia="zh-CN"/>
              </w:rPr>
              <w:t>竞选</w:t>
            </w:r>
            <w:r>
              <w:rPr>
                <w:rFonts w:hint="eastAsia" w:ascii="宋体" w:hAnsi="宋体"/>
                <w:szCs w:val="21"/>
              </w:rPr>
              <w:t>相关法律、法规的行为的；</w:t>
            </w:r>
          </w:p>
          <w:p w14:paraId="225AC89F">
            <w:pPr>
              <w:spacing w:line="400" w:lineRule="exact"/>
              <w:ind w:firstLine="420" w:firstLineChars="200"/>
              <w:rPr>
                <w:rFonts w:hint="eastAsia" w:ascii="宋体" w:hAnsi="宋体"/>
                <w:szCs w:val="21"/>
              </w:rPr>
            </w:pPr>
            <w:r>
              <w:rPr>
                <w:rFonts w:hint="eastAsia" w:ascii="宋体" w:hAnsi="宋体"/>
                <w:szCs w:val="21"/>
              </w:rPr>
              <w:t>3.拒绝按评标委员会要求澄清、说明或补正的。</w:t>
            </w:r>
          </w:p>
        </w:tc>
      </w:tr>
      <w:tr w14:paraId="2C51D1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1EE5F433">
            <w:pPr>
              <w:spacing w:line="400" w:lineRule="exact"/>
              <w:jc w:val="center"/>
              <w:rPr>
                <w:rFonts w:hint="eastAsia" w:ascii="宋体" w:hAnsi="宋体"/>
                <w:szCs w:val="21"/>
              </w:rPr>
            </w:pPr>
            <w:r>
              <w:rPr>
                <w:rFonts w:ascii="宋体" w:hAnsi="宋体"/>
                <w:szCs w:val="21"/>
              </w:rPr>
              <w:t>其他</w:t>
            </w:r>
          </w:p>
        </w:tc>
        <w:tc>
          <w:tcPr>
            <w:tcW w:w="1899" w:type="dxa"/>
            <w:vAlign w:val="center"/>
          </w:tcPr>
          <w:p w14:paraId="76D60644">
            <w:pPr>
              <w:spacing w:line="400" w:lineRule="exact"/>
              <w:jc w:val="center"/>
              <w:rPr>
                <w:rFonts w:hint="eastAsia" w:ascii="宋体" w:hAnsi="宋体"/>
                <w:szCs w:val="21"/>
              </w:rPr>
            </w:pPr>
          </w:p>
        </w:tc>
        <w:tc>
          <w:tcPr>
            <w:tcW w:w="6333" w:type="dxa"/>
          </w:tcPr>
          <w:p w14:paraId="0BBB5252">
            <w:pPr>
              <w:spacing w:line="400" w:lineRule="exact"/>
              <w:ind w:firstLine="420" w:firstLineChars="200"/>
              <w:rPr>
                <w:rFonts w:hint="eastAsia" w:ascii="宋体" w:hAnsi="宋体"/>
                <w:i/>
                <w:szCs w:val="21"/>
              </w:rPr>
            </w:pPr>
            <w:r>
              <w:rPr>
                <w:rFonts w:hint="eastAsia" w:ascii="宋体" w:hAnsi="宋体"/>
                <w:i/>
                <w:szCs w:val="21"/>
              </w:rPr>
              <w:t>/</w:t>
            </w:r>
          </w:p>
        </w:tc>
      </w:tr>
    </w:tbl>
    <w:p w14:paraId="59E8BB45">
      <w:pPr>
        <w:spacing w:line="480" w:lineRule="auto"/>
        <w:jc w:val="left"/>
        <w:rPr>
          <w:rFonts w:hint="eastAsia" w:ascii="宋体" w:hAnsi="宋体"/>
          <w:kern w:val="0"/>
          <w:sz w:val="24"/>
        </w:rPr>
      </w:pPr>
    </w:p>
    <w:p w14:paraId="50651DF5">
      <w:pPr>
        <w:autoSpaceDE w:val="0"/>
        <w:autoSpaceDN w:val="0"/>
        <w:adjustRightInd w:val="0"/>
        <w:snapToGrid w:val="0"/>
        <w:spacing w:line="360" w:lineRule="auto"/>
        <w:jc w:val="left"/>
        <w:rPr>
          <w:rFonts w:hint="eastAsia" w:ascii="宋体" w:hAnsi="宋体"/>
          <w:b/>
          <w:kern w:val="0"/>
          <w:sz w:val="20"/>
          <w:szCs w:val="20"/>
        </w:rPr>
      </w:pPr>
    </w:p>
    <w:p w14:paraId="523B1C51">
      <w:pPr>
        <w:autoSpaceDE w:val="0"/>
        <w:autoSpaceDN w:val="0"/>
        <w:adjustRightInd w:val="0"/>
        <w:snapToGrid w:val="0"/>
        <w:spacing w:line="360" w:lineRule="auto"/>
        <w:jc w:val="left"/>
        <w:rPr>
          <w:rFonts w:hint="eastAsia" w:ascii="宋体" w:hAnsi="宋体"/>
          <w:b/>
          <w:kern w:val="0"/>
          <w:sz w:val="20"/>
          <w:szCs w:val="20"/>
        </w:rPr>
      </w:pPr>
      <w:r>
        <w:rPr>
          <w:rFonts w:hint="eastAsia" w:ascii="宋体" w:hAnsi="宋体" w:cs="仿宋"/>
          <w:kern w:val="0"/>
        </w:rPr>
        <w:br w:type="page"/>
      </w:r>
    </w:p>
    <w:p w14:paraId="40BA20E0">
      <w:pPr>
        <w:pStyle w:val="3"/>
        <w:spacing w:line="360" w:lineRule="auto"/>
        <w:jc w:val="center"/>
        <w:rPr>
          <w:rFonts w:hint="eastAsia" w:ascii="宋体" w:hAnsi="宋体" w:cs="仿宋"/>
          <w:kern w:val="0"/>
        </w:rPr>
      </w:pPr>
      <w:bookmarkStart w:id="747" w:name="_Toc181626936"/>
      <w:r>
        <w:rPr>
          <w:rFonts w:hint="eastAsia" w:ascii="宋体" w:hAnsi="宋体" w:cs="仿宋"/>
        </w:rPr>
        <w:t>第四章  合同条款及格式</w:t>
      </w:r>
      <w:bookmarkEnd w:id="650"/>
      <w:bookmarkEnd w:id="651"/>
      <w:bookmarkEnd w:id="652"/>
      <w:bookmarkEnd w:id="747"/>
    </w:p>
    <w:p w14:paraId="3F8BF5DC">
      <w:pPr>
        <w:snapToGrid w:val="0"/>
        <w:spacing w:before="156" w:beforeLines="50" w:line="360" w:lineRule="auto"/>
        <w:jc w:val="center"/>
        <w:rPr>
          <w:rFonts w:hint="eastAsia" w:ascii="宋体" w:hAnsi="宋体" w:cs="Arial"/>
          <w:sz w:val="24"/>
        </w:rPr>
      </w:pPr>
      <w:bookmarkStart w:id="748" w:name="_Toc534185829"/>
      <w:bookmarkStart w:id="749" w:name="_Toc287607865"/>
      <w:bookmarkStart w:id="750" w:name="_Toc287620812"/>
      <w:bookmarkStart w:id="751" w:name="_Toc23843"/>
      <w:bookmarkStart w:id="752" w:name="_Toc509218852"/>
      <w:bookmarkStart w:id="753" w:name="_Toc430530528"/>
      <w:bookmarkStart w:id="754" w:name="_Toc296890982"/>
      <w:bookmarkStart w:id="755" w:name="_Toc296503025"/>
      <w:bookmarkStart w:id="756" w:name="_Toc351203480"/>
    </w:p>
    <w:p w14:paraId="7763D382">
      <w:pPr>
        <w:snapToGrid w:val="0"/>
        <w:spacing w:before="156" w:beforeLines="50" w:line="360" w:lineRule="auto"/>
        <w:jc w:val="center"/>
        <w:rPr>
          <w:rFonts w:hint="eastAsia" w:ascii="宋体" w:hAnsi="宋体" w:cs="Arial"/>
          <w:sz w:val="24"/>
        </w:rPr>
      </w:pPr>
    </w:p>
    <w:p w14:paraId="4BB61338">
      <w:pPr>
        <w:snapToGrid w:val="0"/>
        <w:spacing w:before="156" w:beforeLines="50" w:line="360" w:lineRule="auto"/>
        <w:jc w:val="center"/>
        <w:rPr>
          <w:rFonts w:hint="eastAsia" w:ascii="宋体" w:hAnsi="宋体" w:cs="Arial"/>
          <w:sz w:val="24"/>
        </w:rPr>
      </w:pPr>
    </w:p>
    <w:p w14:paraId="230C21E3">
      <w:pPr>
        <w:snapToGrid w:val="0"/>
        <w:spacing w:before="156" w:beforeLines="50" w:line="360" w:lineRule="auto"/>
        <w:jc w:val="center"/>
        <w:rPr>
          <w:rFonts w:hint="eastAsia" w:ascii="宋体" w:hAnsi="宋体" w:cs="Arial"/>
          <w:sz w:val="24"/>
        </w:rPr>
      </w:pPr>
    </w:p>
    <w:p w14:paraId="237CD370">
      <w:pPr>
        <w:snapToGrid w:val="0"/>
        <w:spacing w:before="156" w:beforeLines="50" w:line="360" w:lineRule="auto"/>
        <w:jc w:val="center"/>
        <w:rPr>
          <w:rFonts w:hint="eastAsia" w:ascii="宋体" w:hAnsi="宋体" w:cs="Arial"/>
          <w:sz w:val="24"/>
        </w:rPr>
      </w:pPr>
    </w:p>
    <w:p w14:paraId="06C83E97">
      <w:pPr>
        <w:snapToGrid w:val="0"/>
        <w:spacing w:before="156" w:beforeLines="50" w:line="360" w:lineRule="auto"/>
        <w:jc w:val="center"/>
        <w:rPr>
          <w:rFonts w:hint="eastAsia" w:ascii="宋体" w:hAnsi="宋体" w:cs="Arial"/>
          <w:sz w:val="24"/>
        </w:rPr>
      </w:pPr>
    </w:p>
    <w:p w14:paraId="4B15E499">
      <w:pPr>
        <w:snapToGrid w:val="0"/>
        <w:spacing w:before="156" w:beforeLines="50" w:line="360" w:lineRule="auto"/>
        <w:jc w:val="center"/>
        <w:rPr>
          <w:rFonts w:hint="eastAsia" w:ascii="宋体" w:hAnsi="宋体" w:cs="Arial"/>
          <w:sz w:val="24"/>
        </w:rPr>
      </w:pPr>
    </w:p>
    <w:p w14:paraId="21EF8ED6">
      <w:pPr>
        <w:snapToGrid w:val="0"/>
        <w:spacing w:before="156" w:beforeLines="50" w:line="360" w:lineRule="auto"/>
        <w:jc w:val="center"/>
        <w:rPr>
          <w:rFonts w:hint="eastAsia" w:ascii="宋体" w:hAnsi="宋体" w:cs="Arial"/>
          <w:sz w:val="24"/>
        </w:rPr>
      </w:pPr>
    </w:p>
    <w:p w14:paraId="7E4765A1">
      <w:pPr>
        <w:snapToGrid w:val="0"/>
        <w:spacing w:before="156" w:beforeLines="50" w:line="360" w:lineRule="auto"/>
        <w:jc w:val="center"/>
        <w:rPr>
          <w:rFonts w:hint="eastAsia" w:ascii="宋体" w:hAnsi="宋体" w:cs="Arial"/>
          <w:sz w:val="24"/>
        </w:rPr>
      </w:pPr>
    </w:p>
    <w:p w14:paraId="1412D30B">
      <w:pPr>
        <w:snapToGrid w:val="0"/>
        <w:spacing w:before="156" w:beforeLines="50" w:line="360" w:lineRule="auto"/>
        <w:jc w:val="center"/>
        <w:rPr>
          <w:rFonts w:hint="eastAsia" w:ascii="宋体" w:hAnsi="宋体" w:cs="Arial"/>
          <w:sz w:val="24"/>
        </w:rPr>
      </w:pPr>
    </w:p>
    <w:p w14:paraId="313702B9">
      <w:pPr>
        <w:snapToGrid w:val="0"/>
        <w:spacing w:before="156" w:beforeLines="50" w:line="360" w:lineRule="auto"/>
        <w:jc w:val="center"/>
        <w:rPr>
          <w:rFonts w:hint="eastAsia" w:ascii="宋体" w:hAnsi="宋体" w:cs="Arial"/>
          <w:sz w:val="24"/>
        </w:rPr>
      </w:pPr>
    </w:p>
    <w:p w14:paraId="26702FC0">
      <w:pPr>
        <w:snapToGrid w:val="0"/>
        <w:spacing w:before="156" w:beforeLines="50" w:line="360" w:lineRule="auto"/>
        <w:jc w:val="center"/>
        <w:rPr>
          <w:rFonts w:hint="eastAsia" w:ascii="宋体" w:hAnsi="宋体" w:cs="Arial"/>
          <w:sz w:val="24"/>
        </w:rPr>
      </w:pPr>
    </w:p>
    <w:p w14:paraId="38E4A999">
      <w:pPr>
        <w:snapToGrid w:val="0"/>
        <w:spacing w:before="156" w:beforeLines="50" w:line="360" w:lineRule="auto"/>
        <w:jc w:val="center"/>
        <w:rPr>
          <w:rFonts w:hint="eastAsia" w:ascii="宋体" w:hAnsi="宋体" w:cs="Arial"/>
          <w:sz w:val="24"/>
        </w:rPr>
      </w:pPr>
    </w:p>
    <w:p w14:paraId="374B2C0C">
      <w:pPr>
        <w:snapToGrid w:val="0"/>
        <w:spacing w:before="156" w:beforeLines="50" w:line="360" w:lineRule="auto"/>
        <w:jc w:val="center"/>
        <w:rPr>
          <w:rFonts w:hint="eastAsia" w:ascii="宋体" w:hAnsi="宋体" w:cs="Arial"/>
          <w:sz w:val="24"/>
        </w:rPr>
      </w:pPr>
    </w:p>
    <w:p w14:paraId="59E59D8D">
      <w:pPr>
        <w:snapToGrid w:val="0"/>
        <w:spacing w:before="156" w:beforeLines="50" w:line="360" w:lineRule="auto"/>
        <w:jc w:val="center"/>
        <w:rPr>
          <w:rFonts w:hint="eastAsia" w:ascii="宋体" w:hAnsi="宋体" w:cs="Arial"/>
          <w:sz w:val="24"/>
        </w:rPr>
      </w:pPr>
    </w:p>
    <w:p w14:paraId="58DA1837">
      <w:pPr>
        <w:snapToGrid w:val="0"/>
        <w:spacing w:before="156" w:beforeLines="50" w:line="360" w:lineRule="auto"/>
        <w:jc w:val="center"/>
        <w:rPr>
          <w:rFonts w:hint="eastAsia" w:ascii="宋体" w:hAnsi="宋体" w:cs="Arial"/>
          <w:sz w:val="24"/>
        </w:rPr>
      </w:pPr>
    </w:p>
    <w:p w14:paraId="41DFE8B2">
      <w:pPr>
        <w:snapToGrid w:val="0"/>
        <w:spacing w:before="156" w:beforeLines="50" w:line="360" w:lineRule="auto"/>
        <w:jc w:val="center"/>
        <w:rPr>
          <w:rFonts w:hint="eastAsia" w:ascii="宋体" w:hAnsi="宋体" w:cs="Arial"/>
          <w:sz w:val="24"/>
        </w:rPr>
      </w:pPr>
    </w:p>
    <w:p w14:paraId="45EED206">
      <w:pPr>
        <w:snapToGrid w:val="0"/>
        <w:spacing w:before="156" w:beforeLines="50" w:line="360" w:lineRule="auto"/>
        <w:jc w:val="center"/>
        <w:rPr>
          <w:rFonts w:hint="eastAsia" w:ascii="宋体" w:hAnsi="宋体" w:cs="Arial"/>
          <w:sz w:val="24"/>
        </w:rPr>
      </w:pPr>
    </w:p>
    <w:p w14:paraId="75FC1674">
      <w:pPr>
        <w:tabs>
          <w:tab w:val="left" w:pos="945"/>
          <w:tab w:val="left" w:pos="1995"/>
          <w:tab w:val="left" w:pos="2730"/>
          <w:tab w:val="left" w:pos="3360"/>
          <w:tab w:val="left" w:pos="3990"/>
          <w:tab w:val="left" w:pos="4200"/>
          <w:tab w:val="left" w:pos="4725"/>
          <w:tab w:val="left" w:pos="5145"/>
          <w:tab w:val="left" w:pos="5355"/>
          <w:tab w:val="left" w:pos="5565"/>
          <w:tab w:val="left" w:pos="5775"/>
          <w:tab w:val="left" w:pos="6090"/>
          <w:tab w:val="left" w:pos="6300"/>
          <w:tab w:val="left" w:pos="6720"/>
          <w:tab w:val="left" w:pos="6930"/>
          <w:tab w:val="left" w:pos="7245"/>
          <w:tab w:val="left" w:pos="7560"/>
          <w:tab w:val="left" w:pos="7980"/>
        </w:tabs>
        <w:snapToGrid w:val="0"/>
        <w:spacing w:before="156" w:beforeLines="50" w:line="360" w:lineRule="auto"/>
        <w:jc w:val="center"/>
        <w:rPr>
          <w:rFonts w:hint="eastAsia" w:ascii="宋体" w:hAnsi="宋体" w:cs="Arial"/>
          <w:sz w:val="24"/>
        </w:rPr>
      </w:pPr>
    </w:p>
    <w:p w14:paraId="62F65E05">
      <w:pPr>
        <w:tabs>
          <w:tab w:val="left" w:pos="945"/>
          <w:tab w:val="left" w:pos="1995"/>
          <w:tab w:val="left" w:pos="2730"/>
          <w:tab w:val="left" w:pos="3360"/>
          <w:tab w:val="left" w:pos="3990"/>
          <w:tab w:val="left" w:pos="4200"/>
          <w:tab w:val="left" w:pos="4725"/>
          <w:tab w:val="left" w:pos="5145"/>
          <w:tab w:val="left" w:pos="5355"/>
          <w:tab w:val="left" w:pos="5565"/>
          <w:tab w:val="left" w:pos="5775"/>
          <w:tab w:val="left" w:pos="6090"/>
          <w:tab w:val="left" w:pos="6300"/>
          <w:tab w:val="left" w:pos="6720"/>
          <w:tab w:val="left" w:pos="6930"/>
          <w:tab w:val="left" w:pos="7245"/>
          <w:tab w:val="left" w:pos="7560"/>
          <w:tab w:val="left" w:pos="7980"/>
        </w:tabs>
        <w:snapToGrid w:val="0"/>
        <w:spacing w:before="156" w:beforeLines="50" w:line="360" w:lineRule="auto"/>
        <w:jc w:val="center"/>
        <w:rPr>
          <w:rFonts w:hint="eastAsia" w:ascii="宋体" w:hAnsi="宋体" w:cs="Arial"/>
          <w:sz w:val="24"/>
        </w:rPr>
      </w:pPr>
    </w:p>
    <w:p w14:paraId="2081C5A7">
      <w:pPr>
        <w:spacing w:before="156" w:beforeLines="50" w:line="360" w:lineRule="auto"/>
        <w:jc w:val="center"/>
        <w:rPr>
          <w:rFonts w:hint="eastAsia" w:ascii="宋体" w:hAnsi="宋体" w:cs="Arial"/>
          <w:sz w:val="24"/>
        </w:rPr>
      </w:pPr>
    </w:p>
    <w:p w14:paraId="72A020A9">
      <w:pPr>
        <w:pStyle w:val="5"/>
        <w:jc w:val="center"/>
        <w:rPr>
          <w:rFonts w:ascii="宋体" w:hAnsi="宋体"/>
          <w:b w:val="0"/>
          <w:color w:val="auto"/>
          <w:sz w:val="44"/>
          <w:szCs w:val="44"/>
        </w:rPr>
      </w:pPr>
      <w:bookmarkStart w:id="757" w:name="_Toc30225"/>
      <w:bookmarkStart w:id="758" w:name="_Toc534185765"/>
      <w:bookmarkStart w:id="759" w:name="_Toc509218786"/>
      <w:bookmarkStart w:id="760" w:name="_Toc351203494"/>
      <w:r>
        <w:rPr>
          <w:rFonts w:ascii="宋体" w:hAnsi="宋体"/>
          <w:color w:val="auto"/>
          <w:sz w:val="44"/>
          <w:szCs w:val="44"/>
        </w:rPr>
        <w:t>第一部分 合同协议书</w:t>
      </w:r>
      <w:bookmarkEnd w:id="757"/>
      <w:bookmarkEnd w:id="758"/>
      <w:bookmarkEnd w:id="759"/>
    </w:p>
    <w:bookmarkEnd w:id="760"/>
    <w:p w14:paraId="0D890811">
      <w:pPr>
        <w:snapToGrid w:val="0"/>
        <w:spacing w:line="600" w:lineRule="exact"/>
        <w:ind w:firstLine="480" w:firstLineChars="200"/>
        <w:rPr>
          <w:rFonts w:ascii="宋体" w:hAnsi="宋体"/>
          <w:color w:val="auto"/>
          <w:sz w:val="24"/>
        </w:rPr>
      </w:pPr>
    </w:p>
    <w:p w14:paraId="7017C649">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3CEA8D62">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021C95CB">
      <w:pPr>
        <w:spacing w:line="360" w:lineRule="auto"/>
        <w:ind w:firstLine="420" w:firstLineChars="200"/>
        <w:rPr>
          <w:rFonts w:ascii="宋体" w:hAnsi="宋体"/>
          <w:b/>
          <w:color w:val="auto"/>
          <w:szCs w:val="21"/>
          <w:u w:val="single"/>
        </w:rPr>
      </w:pPr>
      <w:r>
        <w:rPr>
          <w:rFonts w:hint="eastAsia" w:ascii="宋体" w:hAnsi="宋体"/>
          <w:color w:val="auto"/>
          <w:szCs w:val="21"/>
        </w:rPr>
        <w:t>根据《中华人民共和国民法典》、《中华人民共和国建筑法》及有关法律、法规规定，遵循平等、自愿、公平和诚实信用的原则，双方就</w:t>
      </w:r>
      <w:r>
        <w:rPr>
          <w:rFonts w:hint="eastAsia" w:ascii="宋体" w:hAnsi="宋体"/>
          <w:color w:val="auto"/>
          <w:szCs w:val="21"/>
          <w:u w:val="single"/>
        </w:rPr>
        <w:t xml:space="preserve">                           </w:t>
      </w:r>
      <w:r>
        <w:rPr>
          <w:rFonts w:hint="eastAsia" w:ascii="宋体" w:hAnsi="宋体"/>
          <w:color w:val="auto"/>
          <w:szCs w:val="21"/>
        </w:rPr>
        <w:t>工程施工及有关事项协商一致，共同达成如下协议：</w:t>
      </w:r>
    </w:p>
    <w:p w14:paraId="3BC1F65A">
      <w:pPr>
        <w:pStyle w:val="6"/>
        <w:keepNext/>
        <w:keepLines/>
        <w:spacing w:before="120" w:after="120" w:line="360" w:lineRule="auto"/>
        <w:ind w:firstLine="422" w:firstLineChars="200"/>
        <w:jc w:val="both"/>
        <w:rPr>
          <w:color w:val="auto"/>
          <w:kern w:val="2"/>
          <w:sz w:val="21"/>
          <w:szCs w:val="21"/>
        </w:rPr>
      </w:pPr>
      <w:bookmarkStart w:id="761" w:name="_Toc532377166"/>
      <w:bookmarkStart w:id="762" w:name="_Toc351203481"/>
      <w:bookmarkStart w:id="763" w:name="_Toc532375573"/>
      <w:r>
        <w:rPr>
          <w:rFonts w:hint="eastAsia"/>
          <w:color w:val="auto"/>
          <w:kern w:val="2"/>
          <w:sz w:val="21"/>
          <w:szCs w:val="21"/>
        </w:rPr>
        <w:t>一、工程概况</w:t>
      </w:r>
      <w:bookmarkEnd w:id="761"/>
      <w:bookmarkEnd w:id="762"/>
      <w:bookmarkEnd w:id="763"/>
    </w:p>
    <w:p w14:paraId="02B3E1BE">
      <w:pPr>
        <w:snapToGrid w:val="0"/>
        <w:spacing w:line="360" w:lineRule="auto"/>
        <w:ind w:firstLine="420" w:firstLineChars="200"/>
        <w:rPr>
          <w:rFonts w:ascii="宋体" w:hAnsi="宋体"/>
          <w:color w:val="auto"/>
          <w:szCs w:val="21"/>
          <w:u w:val="single"/>
        </w:rPr>
      </w:pPr>
      <w:r>
        <w:rPr>
          <w:rFonts w:hint="eastAsia" w:ascii="宋体" w:hAnsi="宋体"/>
          <w:bCs/>
          <w:color w:val="auto"/>
          <w:szCs w:val="21"/>
        </w:rPr>
        <w:t>1.工程名称</w:t>
      </w:r>
      <w:r>
        <w:rPr>
          <w:rFonts w:hint="eastAsia" w:ascii="宋体" w:hAnsi="宋体"/>
          <w:color w:val="auto"/>
          <w:szCs w:val="21"/>
        </w:rPr>
        <w:t>：</w:t>
      </w:r>
      <w:r>
        <w:rPr>
          <w:rFonts w:hint="eastAsia" w:ascii="宋体" w:hAnsi="宋体"/>
          <w:color w:val="auto"/>
          <w:szCs w:val="21"/>
          <w:u w:val="single"/>
        </w:rPr>
        <w:t xml:space="preserve">                                 </w:t>
      </w:r>
      <w:r>
        <w:rPr>
          <w:rFonts w:hint="eastAsia" w:ascii="宋体" w:hAnsi="宋体"/>
          <w:color w:val="auto"/>
          <w:szCs w:val="21"/>
        </w:rPr>
        <w:t>。</w:t>
      </w:r>
    </w:p>
    <w:p w14:paraId="126B3B85">
      <w:pPr>
        <w:snapToGrid w:val="0"/>
        <w:spacing w:line="360" w:lineRule="auto"/>
        <w:ind w:firstLine="420" w:firstLineChars="200"/>
        <w:rPr>
          <w:rFonts w:ascii="宋体" w:hAnsi="宋体"/>
          <w:bCs/>
          <w:color w:val="auto"/>
          <w:szCs w:val="21"/>
        </w:rPr>
      </w:pPr>
      <w:r>
        <w:rPr>
          <w:rFonts w:hint="eastAsia" w:ascii="宋体" w:hAnsi="宋体"/>
          <w:bCs/>
          <w:color w:val="auto"/>
          <w:szCs w:val="21"/>
        </w:rPr>
        <w:t>2.工程地点：</w:t>
      </w:r>
      <w:r>
        <w:rPr>
          <w:rFonts w:hint="eastAsia" w:ascii="宋体" w:hAnsi="宋体"/>
          <w:color w:val="auto"/>
          <w:szCs w:val="21"/>
          <w:u w:val="single"/>
        </w:rPr>
        <w:t xml:space="preserve">                                 </w:t>
      </w:r>
      <w:r>
        <w:rPr>
          <w:rFonts w:hint="eastAsia" w:ascii="宋体" w:hAnsi="宋体"/>
          <w:color w:val="auto"/>
          <w:szCs w:val="21"/>
        </w:rPr>
        <w:t>。</w:t>
      </w:r>
    </w:p>
    <w:p w14:paraId="714FF7D5">
      <w:pPr>
        <w:snapToGrid w:val="0"/>
        <w:spacing w:line="360" w:lineRule="auto"/>
        <w:ind w:firstLine="420" w:firstLineChars="200"/>
        <w:rPr>
          <w:rFonts w:ascii="宋体" w:hAnsi="宋体"/>
          <w:bCs/>
          <w:color w:val="auto"/>
          <w:szCs w:val="21"/>
        </w:rPr>
      </w:pPr>
      <w:r>
        <w:rPr>
          <w:rFonts w:hint="eastAsia" w:ascii="宋体" w:hAnsi="宋体"/>
          <w:bCs/>
          <w:color w:val="auto"/>
          <w:szCs w:val="21"/>
        </w:rPr>
        <w:t>3.工程立项批准文号：</w:t>
      </w:r>
      <w:r>
        <w:rPr>
          <w:rFonts w:hint="eastAsia" w:ascii="宋体" w:hAnsi="宋体"/>
          <w:color w:val="auto"/>
          <w:szCs w:val="21"/>
          <w:u w:val="single"/>
        </w:rPr>
        <w:t xml:space="preserve">                        </w:t>
      </w:r>
      <w:r>
        <w:rPr>
          <w:rFonts w:hint="eastAsia" w:ascii="宋体" w:hAnsi="宋体"/>
          <w:bCs/>
          <w:color w:val="auto"/>
          <w:szCs w:val="21"/>
        </w:rPr>
        <w:t>。</w:t>
      </w:r>
    </w:p>
    <w:p w14:paraId="3E97BA85">
      <w:pPr>
        <w:snapToGrid w:val="0"/>
        <w:spacing w:line="360" w:lineRule="auto"/>
        <w:ind w:firstLine="420" w:firstLineChars="200"/>
        <w:rPr>
          <w:rFonts w:ascii="宋体" w:hAnsi="宋体"/>
          <w:bCs/>
          <w:color w:val="auto"/>
          <w:szCs w:val="21"/>
        </w:rPr>
      </w:pPr>
      <w:r>
        <w:rPr>
          <w:rFonts w:hint="eastAsia" w:ascii="宋体" w:hAnsi="宋体"/>
          <w:bCs/>
          <w:color w:val="auto"/>
          <w:szCs w:val="21"/>
        </w:rPr>
        <w:t>4.资金来源：</w:t>
      </w:r>
      <w:r>
        <w:rPr>
          <w:rFonts w:hint="eastAsia" w:ascii="宋体" w:hAnsi="宋体"/>
          <w:color w:val="auto"/>
          <w:szCs w:val="21"/>
          <w:u w:val="single"/>
        </w:rPr>
        <w:t xml:space="preserve">                                 </w:t>
      </w:r>
      <w:r>
        <w:rPr>
          <w:rFonts w:hint="eastAsia" w:ascii="宋体" w:hAnsi="宋体"/>
          <w:color w:val="auto"/>
          <w:szCs w:val="21"/>
        </w:rPr>
        <w:t>。</w:t>
      </w:r>
    </w:p>
    <w:p w14:paraId="2BBB1C4F">
      <w:pPr>
        <w:snapToGrid w:val="0"/>
        <w:spacing w:line="360" w:lineRule="auto"/>
        <w:ind w:firstLine="420" w:firstLineChars="200"/>
        <w:rPr>
          <w:rFonts w:ascii="宋体" w:hAnsi="宋体"/>
          <w:bCs/>
          <w:color w:val="auto"/>
          <w:szCs w:val="21"/>
        </w:rPr>
      </w:pPr>
      <w:r>
        <w:rPr>
          <w:rFonts w:hint="eastAsia" w:ascii="宋体" w:hAnsi="宋体"/>
          <w:bCs/>
          <w:color w:val="auto"/>
          <w:szCs w:val="21"/>
        </w:rPr>
        <w:t>5.工程内容：</w:t>
      </w:r>
      <w:r>
        <w:rPr>
          <w:rFonts w:hint="eastAsia" w:ascii="宋体" w:hAnsi="宋体"/>
          <w:color w:val="auto"/>
          <w:szCs w:val="21"/>
          <w:u w:val="single"/>
        </w:rPr>
        <w:t xml:space="preserve">                                 </w:t>
      </w:r>
      <w:r>
        <w:rPr>
          <w:rFonts w:hint="eastAsia" w:ascii="宋体" w:hAnsi="宋体"/>
          <w:color w:val="auto"/>
          <w:szCs w:val="21"/>
        </w:rPr>
        <w:t>。</w:t>
      </w:r>
    </w:p>
    <w:p w14:paraId="116BB695">
      <w:pPr>
        <w:snapToGrid w:val="0"/>
        <w:spacing w:line="360" w:lineRule="auto"/>
        <w:ind w:firstLine="420" w:firstLineChars="200"/>
        <w:jc w:val="left"/>
        <w:rPr>
          <w:rFonts w:ascii="宋体" w:hAnsi="宋体"/>
          <w:bCs/>
          <w:color w:val="auto"/>
          <w:szCs w:val="21"/>
        </w:rPr>
      </w:pPr>
      <w:r>
        <w:rPr>
          <w:rFonts w:hint="eastAsia" w:ascii="宋体" w:hAnsi="宋体"/>
          <w:bCs/>
          <w:color w:val="auto"/>
          <w:szCs w:val="21"/>
        </w:rPr>
        <w:t>6.工程承包范围：</w:t>
      </w:r>
      <w:r>
        <w:rPr>
          <w:rFonts w:hint="eastAsia" w:ascii="宋体" w:hAnsi="宋体"/>
          <w:color w:val="auto"/>
          <w:szCs w:val="21"/>
          <w:u w:val="single"/>
        </w:rPr>
        <w:t xml:space="preserve">                     </w:t>
      </w:r>
      <w:r>
        <w:rPr>
          <w:rFonts w:hint="eastAsia" w:ascii="宋体" w:hAnsi="宋体"/>
          <w:color w:val="auto"/>
          <w:szCs w:val="21"/>
        </w:rPr>
        <w:t>。</w:t>
      </w:r>
    </w:p>
    <w:p w14:paraId="07E7AC23">
      <w:pPr>
        <w:pStyle w:val="6"/>
        <w:keepNext/>
        <w:keepLines/>
        <w:spacing w:before="120" w:after="120" w:line="360" w:lineRule="auto"/>
        <w:ind w:firstLine="422" w:firstLineChars="200"/>
        <w:jc w:val="both"/>
        <w:rPr>
          <w:color w:val="auto"/>
          <w:kern w:val="2"/>
          <w:sz w:val="21"/>
          <w:szCs w:val="21"/>
        </w:rPr>
      </w:pPr>
      <w:bookmarkStart w:id="764" w:name="_Toc532375574"/>
      <w:bookmarkStart w:id="765" w:name="_Toc351203482"/>
      <w:bookmarkStart w:id="766" w:name="_Toc532377167"/>
      <w:r>
        <w:rPr>
          <w:rFonts w:hint="eastAsia"/>
          <w:color w:val="auto"/>
          <w:kern w:val="2"/>
          <w:sz w:val="21"/>
          <w:szCs w:val="21"/>
        </w:rPr>
        <w:t>二、合同工期</w:t>
      </w:r>
      <w:bookmarkEnd w:id="764"/>
      <w:bookmarkEnd w:id="765"/>
      <w:bookmarkEnd w:id="766"/>
    </w:p>
    <w:p w14:paraId="6C60095C">
      <w:pPr>
        <w:spacing w:line="360" w:lineRule="auto"/>
        <w:ind w:firstLine="420" w:firstLineChars="200"/>
        <w:rPr>
          <w:rFonts w:ascii="宋体" w:hAnsi="宋体"/>
          <w:bCs/>
          <w:color w:val="auto"/>
          <w:szCs w:val="21"/>
        </w:rPr>
      </w:pPr>
      <w:r>
        <w:rPr>
          <w:rFonts w:hint="eastAsia" w:ascii="宋体" w:hAnsi="宋体"/>
          <w:bCs/>
          <w:color w:val="auto"/>
          <w:szCs w:val="21"/>
        </w:rPr>
        <w:t>承包人投标函中承诺的工期：</w:t>
      </w:r>
      <w:r>
        <w:rPr>
          <w:rFonts w:hint="eastAsia" w:ascii="宋体" w:hAnsi="宋体"/>
          <w:bCs/>
          <w:color w:val="auto"/>
          <w:szCs w:val="21"/>
          <w:u w:val="single"/>
        </w:rPr>
        <w:t>日历天</w:t>
      </w:r>
      <w:r>
        <w:rPr>
          <w:rFonts w:hint="eastAsia" w:ascii="宋体" w:hAnsi="宋体"/>
          <w:bCs/>
          <w:color w:val="auto"/>
          <w:szCs w:val="21"/>
        </w:rPr>
        <w:t>。</w:t>
      </w:r>
    </w:p>
    <w:p w14:paraId="503738B5">
      <w:pPr>
        <w:spacing w:line="360" w:lineRule="auto"/>
        <w:ind w:firstLine="420" w:firstLineChars="200"/>
        <w:rPr>
          <w:rFonts w:ascii="宋体" w:hAnsi="宋体"/>
          <w:bCs/>
          <w:color w:val="auto"/>
          <w:szCs w:val="21"/>
        </w:rPr>
      </w:pPr>
      <w:r>
        <w:rPr>
          <w:rFonts w:hint="eastAsia" w:ascii="宋体" w:hAnsi="宋体"/>
          <w:bCs/>
          <w:color w:val="auto"/>
          <w:szCs w:val="21"/>
        </w:rPr>
        <w:t>计划开工日期：</w:t>
      </w:r>
      <w:r>
        <w:rPr>
          <w:rFonts w:hint="eastAsia" w:ascii="宋体" w:hAnsi="宋体"/>
          <w:bCs/>
          <w:color w:val="auto"/>
          <w:szCs w:val="21"/>
          <w:u w:val="single"/>
        </w:rPr>
        <w:t></w:t>
      </w:r>
      <w:r>
        <w:rPr>
          <w:rFonts w:hint="eastAsia" w:ascii="宋体" w:hAnsi="宋体"/>
          <w:bCs/>
          <w:color w:val="auto"/>
          <w:szCs w:val="21"/>
        </w:rPr>
        <w:t>年</w:t>
      </w:r>
      <w:r>
        <w:rPr>
          <w:rFonts w:hint="eastAsia" w:ascii="宋体" w:hAnsi="宋体"/>
          <w:bCs/>
          <w:color w:val="auto"/>
          <w:szCs w:val="21"/>
          <w:u w:val="single"/>
        </w:rPr>
        <w:t></w:t>
      </w:r>
      <w:r>
        <w:rPr>
          <w:rFonts w:hint="eastAsia" w:ascii="宋体" w:hAnsi="宋体"/>
          <w:bCs/>
          <w:color w:val="auto"/>
          <w:szCs w:val="21"/>
        </w:rPr>
        <w:t>月</w:t>
      </w:r>
      <w:r>
        <w:rPr>
          <w:rFonts w:hint="eastAsia" w:ascii="宋体" w:hAnsi="宋体"/>
          <w:bCs/>
          <w:color w:val="auto"/>
          <w:szCs w:val="21"/>
          <w:u w:val="single"/>
        </w:rPr>
        <w:t></w:t>
      </w:r>
      <w:r>
        <w:rPr>
          <w:rFonts w:hint="eastAsia" w:ascii="宋体" w:hAnsi="宋体"/>
          <w:bCs/>
          <w:color w:val="auto"/>
          <w:szCs w:val="21"/>
        </w:rPr>
        <w:t>日，实际开工日期以监理工程师签发的工程开工通知明确的开工日期为准。</w:t>
      </w:r>
    </w:p>
    <w:p w14:paraId="30DCEA85">
      <w:pPr>
        <w:spacing w:line="360" w:lineRule="auto"/>
        <w:ind w:firstLine="420" w:firstLineChars="200"/>
        <w:rPr>
          <w:rFonts w:ascii="宋体" w:hAnsi="宋体"/>
          <w:bCs/>
          <w:color w:val="auto"/>
          <w:szCs w:val="21"/>
        </w:rPr>
      </w:pPr>
      <w:r>
        <w:rPr>
          <w:rFonts w:hint="eastAsia" w:ascii="宋体" w:hAnsi="宋体"/>
          <w:bCs/>
          <w:color w:val="auto"/>
          <w:szCs w:val="21"/>
        </w:rPr>
        <w:t>计划竣工日期：</w:t>
      </w:r>
      <w:r>
        <w:rPr>
          <w:rFonts w:hint="eastAsia" w:ascii="宋体" w:hAnsi="宋体"/>
          <w:bCs/>
          <w:color w:val="auto"/>
          <w:szCs w:val="21"/>
          <w:u w:val="single"/>
        </w:rPr>
        <w:t></w:t>
      </w:r>
      <w:r>
        <w:rPr>
          <w:rFonts w:hint="eastAsia" w:ascii="宋体" w:hAnsi="宋体"/>
          <w:bCs/>
          <w:color w:val="auto"/>
          <w:szCs w:val="21"/>
        </w:rPr>
        <w:t>年</w:t>
      </w:r>
      <w:r>
        <w:rPr>
          <w:rFonts w:hint="eastAsia" w:ascii="宋体" w:hAnsi="宋体"/>
          <w:bCs/>
          <w:color w:val="auto"/>
          <w:szCs w:val="21"/>
          <w:u w:val="single"/>
        </w:rPr>
        <w:t></w:t>
      </w:r>
      <w:r>
        <w:rPr>
          <w:rFonts w:hint="eastAsia" w:ascii="宋体" w:hAnsi="宋体"/>
          <w:bCs/>
          <w:color w:val="auto"/>
          <w:szCs w:val="21"/>
        </w:rPr>
        <w:t>月</w:t>
      </w:r>
      <w:r>
        <w:rPr>
          <w:rFonts w:hint="eastAsia" w:ascii="宋体" w:hAnsi="宋体"/>
          <w:bCs/>
          <w:color w:val="auto"/>
          <w:szCs w:val="21"/>
          <w:u w:val="single"/>
        </w:rPr>
        <w:t></w:t>
      </w:r>
      <w:r>
        <w:rPr>
          <w:rFonts w:hint="eastAsia" w:ascii="宋体" w:hAnsi="宋体"/>
          <w:bCs/>
          <w:color w:val="auto"/>
          <w:szCs w:val="21"/>
        </w:rPr>
        <w:t>日，实际竣工日期以工程竣工验收合格之日为准。</w:t>
      </w:r>
    </w:p>
    <w:p w14:paraId="5A5EF2E9">
      <w:pPr>
        <w:spacing w:line="360" w:lineRule="auto"/>
        <w:ind w:firstLine="420" w:firstLineChars="200"/>
        <w:rPr>
          <w:rFonts w:ascii="宋体" w:hAnsi="宋体"/>
          <w:color w:val="auto"/>
          <w:szCs w:val="21"/>
        </w:rPr>
      </w:pPr>
      <w:r>
        <w:rPr>
          <w:rFonts w:hint="eastAsia" w:ascii="宋体" w:hAnsi="宋体"/>
          <w:bCs/>
          <w:color w:val="auto"/>
          <w:szCs w:val="21"/>
        </w:rPr>
        <w:t>工期总日历天数</w:t>
      </w:r>
      <w:r>
        <w:rPr>
          <w:rFonts w:hint="eastAsia" w:ascii="宋体" w:hAnsi="宋体"/>
          <w:bCs/>
          <w:color w:val="auto"/>
          <w:szCs w:val="21"/>
          <w:u w:val="single"/>
        </w:rPr>
        <w:t></w:t>
      </w:r>
      <w:r>
        <w:rPr>
          <w:rFonts w:hint="eastAsia" w:ascii="宋体" w:hAnsi="宋体"/>
          <w:bCs/>
          <w:color w:val="auto"/>
          <w:szCs w:val="21"/>
        </w:rPr>
        <w:t>天。工期总日历天数与根据前述计划开竣工日期计算的工期天数不一</w:t>
      </w:r>
      <w:r>
        <w:rPr>
          <w:rFonts w:hint="eastAsia" w:ascii="宋体" w:hAnsi="宋体"/>
          <w:color w:val="auto"/>
          <w:szCs w:val="21"/>
        </w:rPr>
        <w:t>致的，以工期总日历天数为准。</w:t>
      </w:r>
    </w:p>
    <w:p w14:paraId="35A2E1D5">
      <w:pPr>
        <w:pStyle w:val="6"/>
        <w:keepNext/>
        <w:keepLines/>
        <w:spacing w:before="120" w:after="120" w:line="360" w:lineRule="auto"/>
        <w:ind w:firstLine="422" w:firstLineChars="200"/>
        <w:jc w:val="both"/>
        <w:rPr>
          <w:color w:val="auto"/>
          <w:kern w:val="2"/>
          <w:sz w:val="21"/>
          <w:szCs w:val="21"/>
        </w:rPr>
      </w:pPr>
      <w:bookmarkStart w:id="767" w:name="_Toc532375575"/>
      <w:bookmarkStart w:id="768" w:name="_Toc532377168"/>
      <w:r>
        <w:rPr>
          <w:rFonts w:hint="eastAsia"/>
          <w:color w:val="auto"/>
          <w:kern w:val="2"/>
          <w:sz w:val="21"/>
          <w:szCs w:val="21"/>
        </w:rPr>
        <w:t>三、质量标准</w:t>
      </w:r>
      <w:bookmarkEnd w:id="767"/>
      <w:bookmarkEnd w:id="768"/>
    </w:p>
    <w:p w14:paraId="2D7E4F9C">
      <w:pPr>
        <w:snapToGrid w:val="0"/>
        <w:spacing w:line="360" w:lineRule="auto"/>
        <w:ind w:firstLine="420" w:firstLineChars="200"/>
        <w:rPr>
          <w:rFonts w:ascii="宋体" w:hAnsi="宋体"/>
          <w:color w:val="auto"/>
          <w:szCs w:val="21"/>
        </w:rPr>
      </w:pPr>
      <w:r>
        <w:rPr>
          <w:rFonts w:hint="eastAsia" w:ascii="宋体" w:hAnsi="宋体"/>
          <w:color w:val="auto"/>
          <w:szCs w:val="21"/>
        </w:rPr>
        <w:t>工程质量符合强制性质量标准，</w:t>
      </w:r>
      <w:r>
        <w:rPr>
          <w:rFonts w:hint="eastAsia" w:ascii="宋体" w:hAnsi="宋体"/>
          <w:color w:val="auto"/>
          <w:szCs w:val="21"/>
          <w:u w:val="single"/>
        </w:rPr>
        <w:t>符合国家</w:t>
      </w:r>
      <w:r>
        <w:rPr>
          <w:rFonts w:ascii="宋体" w:hAnsi="宋体"/>
          <w:color w:val="auto"/>
          <w:szCs w:val="21"/>
          <w:u w:val="single"/>
        </w:rPr>
        <w:t>和重庆市现行</w:t>
      </w:r>
      <w:r>
        <w:rPr>
          <w:rFonts w:hint="eastAsia" w:ascii="宋体" w:hAnsi="宋体"/>
          <w:color w:val="auto"/>
          <w:szCs w:val="21"/>
          <w:u w:val="single"/>
        </w:rPr>
        <w:t>有关施工质量验收规范要求，并达到合格</w:t>
      </w:r>
      <w:r>
        <w:rPr>
          <w:rFonts w:hint="eastAsia" w:ascii="宋体" w:hAnsi="宋体"/>
          <w:color w:val="auto"/>
          <w:szCs w:val="21"/>
        </w:rPr>
        <w:t>标准。</w:t>
      </w:r>
    </w:p>
    <w:p w14:paraId="0491513B">
      <w:pPr>
        <w:pStyle w:val="6"/>
        <w:keepNext/>
        <w:keepLines/>
        <w:spacing w:before="120" w:after="120" w:line="360" w:lineRule="auto"/>
        <w:ind w:firstLine="422" w:firstLineChars="200"/>
        <w:jc w:val="both"/>
        <w:rPr>
          <w:color w:val="auto"/>
          <w:kern w:val="2"/>
          <w:sz w:val="21"/>
          <w:szCs w:val="21"/>
        </w:rPr>
      </w:pPr>
      <w:bookmarkStart w:id="769" w:name="_Toc532377169"/>
      <w:bookmarkStart w:id="770" w:name="_Toc532375576"/>
      <w:bookmarkStart w:id="771" w:name="_Toc351203484"/>
      <w:r>
        <w:rPr>
          <w:rFonts w:hint="eastAsia"/>
          <w:color w:val="auto"/>
          <w:kern w:val="2"/>
          <w:sz w:val="21"/>
          <w:szCs w:val="21"/>
        </w:rPr>
        <w:t>四、签约合同价与合同价格形式</w:t>
      </w:r>
      <w:bookmarkEnd w:id="769"/>
      <w:bookmarkEnd w:id="770"/>
      <w:bookmarkEnd w:id="771"/>
      <w:r>
        <w:rPr>
          <w:rFonts w:hint="eastAsia"/>
          <w:color w:val="auto"/>
          <w:kern w:val="2"/>
          <w:sz w:val="21"/>
          <w:szCs w:val="21"/>
        </w:rPr>
        <w:tab/>
      </w:r>
    </w:p>
    <w:p w14:paraId="260EA3A8">
      <w:pPr>
        <w:spacing w:line="360" w:lineRule="auto"/>
        <w:ind w:firstLine="420" w:firstLineChars="200"/>
        <w:rPr>
          <w:rFonts w:ascii="宋体" w:hAnsi="宋体"/>
          <w:color w:val="auto"/>
          <w:szCs w:val="21"/>
        </w:rPr>
      </w:pPr>
      <w:r>
        <w:rPr>
          <w:rFonts w:hint="eastAsia" w:ascii="宋体" w:hAnsi="宋体"/>
          <w:color w:val="auto"/>
          <w:szCs w:val="21"/>
        </w:rPr>
        <w:t>1.承包人投标函中承诺的中标价为：</w:t>
      </w:r>
    </w:p>
    <w:p w14:paraId="00B3116C">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hint="eastAsia" w:ascii="宋体" w:hAnsi="宋体"/>
          <w:color w:val="auto"/>
          <w:szCs w:val="21"/>
          <w:u w:val="single"/>
        </w:rPr>
        <w:t xml:space="preserve">                  </w:t>
      </w: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w:t>
      </w:r>
    </w:p>
    <w:p w14:paraId="6C653265">
      <w:pPr>
        <w:spacing w:line="360" w:lineRule="auto"/>
        <w:ind w:firstLine="420" w:firstLineChars="200"/>
        <w:rPr>
          <w:rFonts w:ascii="宋体" w:hAnsi="宋体"/>
          <w:color w:val="auto"/>
          <w:szCs w:val="21"/>
        </w:rPr>
      </w:pPr>
      <w:r>
        <w:rPr>
          <w:rFonts w:hint="eastAsia" w:ascii="宋体" w:hAnsi="宋体"/>
          <w:color w:val="auto"/>
          <w:szCs w:val="21"/>
        </w:rPr>
        <w:t>2.签约合同价为：</w:t>
      </w:r>
    </w:p>
    <w:p w14:paraId="1A684AE7">
      <w:pPr>
        <w:snapToGrid w:val="0"/>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0B4031E9">
      <w:pPr>
        <w:snapToGrid w:val="0"/>
        <w:spacing w:line="360" w:lineRule="auto"/>
        <w:ind w:firstLine="420" w:firstLineChars="200"/>
        <w:rPr>
          <w:rFonts w:ascii="宋体" w:hAnsi="宋体"/>
          <w:color w:val="auto"/>
          <w:szCs w:val="21"/>
        </w:rPr>
      </w:pPr>
      <w:r>
        <w:rPr>
          <w:rFonts w:hint="eastAsia" w:ascii="宋体" w:hAnsi="宋体"/>
          <w:color w:val="auto"/>
          <w:szCs w:val="21"/>
        </w:rPr>
        <w:t>其中：</w:t>
      </w:r>
    </w:p>
    <w:p w14:paraId="6BD84810">
      <w:pPr>
        <w:spacing w:line="360" w:lineRule="auto"/>
        <w:ind w:firstLine="420" w:firstLineChars="200"/>
        <w:rPr>
          <w:rFonts w:ascii="宋体" w:hAnsi="宋体"/>
          <w:color w:val="auto"/>
          <w:szCs w:val="21"/>
        </w:rPr>
      </w:pPr>
      <w:r>
        <w:rPr>
          <w:rFonts w:hint="eastAsia" w:ascii="宋体" w:hAnsi="宋体"/>
          <w:color w:val="auto"/>
          <w:szCs w:val="21"/>
        </w:rPr>
        <w:t>（1）安全文明施工费：</w:t>
      </w:r>
    </w:p>
    <w:p w14:paraId="1A405A0F">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01D5673E">
      <w:pPr>
        <w:spacing w:line="360" w:lineRule="auto"/>
        <w:ind w:firstLine="420" w:firstLineChars="200"/>
        <w:rPr>
          <w:rFonts w:ascii="宋体" w:hAnsi="宋体"/>
          <w:color w:val="auto"/>
          <w:szCs w:val="21"/>
        </w:rPr>
      </w:pPr>
      <w:r>
        <w:rPr>
          <w:rFonts w:hint="eastAsia" w:ascii="宋体" w:hAnsi="宋体"/>
          <w:color w:val="auto"/>
          <w:szCs w:val="21"/>
        </w:rPr>
        <w:t>（2）材料和工程设备暂估价金额：</w:t>
      </w:r>
    </w:p>
    <w:p w14:paraId="5C269DEF">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7BCD3CF0">
      <w:pPr>
        <w:spacing w:line="360" w:lineRule="auto"/>
        <w:ind w:firstLine="420" w:firstLineChars="200"/>
        <w:rPr>
          <w:rFonts w:ascii="宋体" w:hAnsi="宋体"/>
          <w:color w:val="auto"/>
          <w:szCs w:val="21"/>
        </w:rPr>
      </w:pPr>
      <w:r>
        <w:rPr>
          <w:rFonts w:hint="eastAsia" w:ascii="宋体" w:hAnsi="宋体"/>
          <w:color w:val="auto"/>
          <w:szCs w:val="21"/>
        </w:rPr>
        <w:t>（3）专业工程暂估价金额：</w:t>
      </w:r>
    </w:p>
    <w:p w14:paraId="2FEB8F0A">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2E7AB1D9">
      <w:pPr>
        <w:spacing w:line="360" w:lineRule="auto"/>
        <w:ind w:firstLine="420" w:firstLineChars="200"/>
        <w:rPr>
          <w:rFonts w:ascii="宋体" w:hAnsi="宋体"/>
          <w:color w:val="auto"/>
          <w:szCs w:val="21"/>
        </w:rPr>
      </w:pPr>
      <w:r>
        <w:rPr>
          <w:rFonts w:hint="eastAsia" w:ascii="宋体" w:hAnsi="宋体"/>
          <w:color w:val="auto"/>
          <w:szCs w:val="21"/>
        </w:rPr>
        <w:t>（4）暂列金额：</w:t>
      </w:r>
    </w:p>
    <w:p w14:paraId="69001526">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4FFBB82F">
      <w:pPr>
        <w:spacing w:line="360" w:lineRule="auto"/>
        <w:ind w:firstLine="420" w:firstLineChars="200"/>
        <w:rPr>
          <w:rFonts w:ascii="宋体" w:hAnsi="宋体"/>
          <w:color w:val="auto"/>
          <w:szCs w:val="21"/>
        </w:rPr>
      </w:pPr>
      <w:r>
        <w:rPr>
          <w:rFonts w:hint="eastAsia" w:ascii="宋体" w:hAnsi="宋体"/>
          <w:color w:val="auto"/>
          <w:szCs w:val="21"/>
        </w:rPr>
        <w:t>（5）人工费（工资款）</w:t>
      </w:r>
    </w:p>
    <w:p w14:paraId="42BDD586">
      <w:pPr>
        <w:spacing w:line="360" w:lineRule="auto"/>
        <w:ind w:firstLine="420" w:firstLineChars="200"/>
        <w:rPr>
          <w:rFonts w:ascii="宋体" w:hAnsi="宋体"/>
          <w:color w:val="auto"/>
          <w:szCs w:val="21"/>
        </w:rPr>
      </w:pPr>
      <w:r>
        <w:rPr>
          <w:rFonts w:hint="eastAsia" w:ascii="宋体" w:hAnsi="宋体"/>
          <w:color w:val="auto"/>
          <w:szCs w:val="21"/>
        </w:rPr>
        <w:t>该项目实行人工费（工资款）与其他工程款分账管理，发包人将应付工程款中的人工费（工资款），以不低于已完成合同价款的</w:t>
      </w:r>
      <w:r>
        <w:rPr>
          <w:rFonts w:hint="eastAsia" w:ascii="宋体" w:hAnsi="宋体"/>
          <w:color w:val="auto"/>
          <w:szCs w:val="21"/>
          <w:u w:val="single"/>
        </w:rPr>
        <w:t xml:space="preserve">    </w:t>
      </w:r>
      <w:r>
        <w:rPr>
          <w:rFonts w:hint="eastAsia" w:ascii="宋体" w:hAnsi="宋体"/>
          <w:color w:val="auto"/>
          <w:szCs w:val="21"/>
        </w:rPr>
        <w:t>（不低于25%，以设备采购为主的工程项目不受此限制），农民工工资单独支付至承包人设立的农民工工资专用账户。</w:t>
      </w:r>
    </w:p>
    <w:p w14:paraId="50223C02">
      <w:pPr>
        <w:spacing w:line="360" w:lineRule="auto"/>
        <w:ind w:firstLine="420" w:firstLineChars="200"/>
        <w:rPr>
          <w:rFonts w:ascii="宋体" w:hAnsi="宋体"/>
          <w:color w:val="auto"/>
          <w:szCs w:val="21"/>
        </w:rPr>
      </w:pPr>
      <w:r>
        <w:rPr>
          <w:rFonts w:hint="eastAsia" w:ascii="宋体" w:hAnsi="宋体"/>
          <w:color w:val="auto"/>
          <w:szCs w:val="21"/>
        </w:rPr>
        <w:t>3.合同价格形式：</w:t>
      </w:r>
      <w:r>
        <w:rPr>
          <w:rFonts w:ascii="宋体" w:hAnsi="宋体"/>
          <w:color w:val="auto"/>
          <w:szCs w:val="21"/>
          <w:u w:val="single"/>
        </w:rPr>
        <w:t xml:space="preserve">              </w:t>
      </w:r>
      <w:r>
        <w:rPr>
          <w:rFonts w:hint="eastAsia" w:ascii="宋体" w:hAnsi="宋体"/>
          <w:color w:val="auto"/>
          <w:szCs w:val="21"/>
        </w:rPr>
        <w:t>。</w:t>
      </w:r>
    </w:p>
    <w:p w14:paraId="5CA6AEDB">
      <w:pPr>
        <w:pStyle w:val="6"/>
        <w:keepNext/>
        <w:keepLines/>
        <w:spacing w:before="120" w:after="120" w:line="360" w:lineRule="auto"/>
        <w:ind w:firstLine="422" w:firstLineChars="200"/>
        <w:jc w:val="both"/>
        <w:rPr>
          <w:color w:val="auto"/>
          <w:kern w:val="2"/>
          <w:sz w:val="21"/>
          <w:szCs w:val="21"/>
        </w:rPr>
      </w:pPr>
      <w:bookmarkStart w:id="772" w:name="_Toc532375577"/>
      <w:bookmarkStart w:id="773" w:name="_Toc532377170"/>
      <w:r>
        <w:rPr>
          <w:rFonts w:hint="eastAsia"/>
          <w:color w:val="auto"/>
          <w:kern w:val="2"/>
          <w:sz w:val="21"/>
          <w:szCs w:val="21"/>
        </w:rPr>
        <w:t>五、项目经理及技术负责人</w:t>
      </w:r>
      <w:bookmarkEnd w:id="772"/>
      <w:bookmarkEnd w:id="773"/>
    </w:p>
    <w:p w14:paraId="20C9536B">
      <w:pPr>
        <w:spacing w:line="360" w:lineRule="auto"/>
        <w:ind w:firstLine="420" w:firstLineChars="200"/>
        <w:rPr>
          <w:rFonts w:ascii="宋体" w:hAnsi="宋体"/>
          <w:color w:val="auto"/>
          <w:szCs w:val="21"/>
        </w:rPr>
      </w:pPr>
      <w:r>
        <w:rPr>
          <w:rFonts w:hint="eastAsia" w:ascii="宋体" w:hAnsi="宋体"/>
          <w:color w:val="auto"/>
          <w:szCs w:val="21"/>
        </w:rPr>
        <w:t>承包人投标文件中承诺的项目经理：</w:t>
      </w:r>
    </w:p>
    <w:p w14:paraId="51E494E5">
      <w:pPr>
        <w:spacing w:line="360" w:lineRule="auto"/>
        <w:ind w:firstLine="420" w:firstLineChars="200"/>
        <w:rPr>
          <w:rFonts w:ascii="宋体" w:hAnsi="宋体"/>
          <w:color w:val="auto"/>
          <w:szCs w:val="21"/>
        </w:rPr>
      </w:pPr>
      <w:r>
        <w:rPr>
          <w:rFonts w:hint="eastAsia" w:ascii="宋体" w:hAnsi="宋体"/>
          <w:color w:val="auto"/>
          <w:szCs w:val="21"/>
        </w:rPr>
        <w:t>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450A61FE">
      <w:pPr>
        <w:spacing w:line="360" w:lineRule="auto"/>
        <w:ind w:firstLine="420" w:firstLineChars="200"/>
        <w:rPr>
          <w:rFonts w:ascii="宋体" w:hAnsi="宋体"/>
          <w:color w:val="auto"/>
          <w:szCs w:val="21"/>
        </w:rPr>
      </w:pPr>
      <w:r>
        <w:rPr>
          <w:rFonts w:hint="eastAsia" w:ascii="宋体" w:hAnsi="宋体"/>
          <w:color w:val="auto"/>
          <w:szCs w:val="21"/>
        </w:rPr>
        <w:t>身份证号码：</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27A7D640">
      <w:pPr>
        <w:spacing w:line="360" w:lineRule="auto"/>
        <w:ind w:firstLine="420" w:firstLineChars="200"/>
        <w:rPr>
          <w:rFonts w:ascii="宋体" w:hAnsi="宋体"/>
          <w:color w:val="auto"/>
          <w:szCs w:val="21"/>
        </w:rPr>
      </w:pPr>
      <w:r>
        <w:rPr>
          <w:rFonts w:hint="eastAsia" w:ascii="宋体" w:hAnsi="宋体"/>
          <w:color w:val="auto"/>
          <w:szCs w:val="21"/>
        </w:rPr>
        <w:t>建造师</w:t>
      </w:r>
      <w:r>
        <w:rPr>
          <w:rFonts w:ascii="宋体" w:hAnsi="宋体"/>
          <w:color w:val="auto"/>
          <w:szCs w:val="21"/>
        </w:rPr>
        <w:t>注册证书号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523D8945">
      <w:pPr>
        <w:spacing w:line="360" w:lineRule="auto"/>
        <w:ind w:firstLine="420" w:firstLineChars="200"/>
        <w:rPr>
          <w:rFonts w:ascii="宋体" w:hAnsi="宋体"/>
          <w:color w:val="auto"/>
          <w:szCs w:val="21"/>
        </w:rPr>
      </w:pPr>
      <w:r>
        <w:rPr>
          <w:rFonts w:hint="eastAsia" w:ascii="宋体" w:hAnsi="宋体"/>
          <w:color w:val="auto"/>
          <w:szCs w:val="21"/>
        </w:rPr>
        <w:t>承包人投标文件中承诺的技术负责人：</w:t>
      </w:r>
    </w:p>
    <w:p w14:paraId="6EBC7351">
      <w:pPr>
        <w:spacing w:line="360" w:lineRule="auto"/>
        <w:ind w:firstLine="420" w:firstLineChars="200"/>
        <w:rPr>
          <w:rFonts w:ascii="宋体" w:hAnsi="宋体"/>
          <w:color w:val="auto"/>
          <w:szCs w:val="21"/>
        </w:rPr>
      </w:pPr>
      <w:r>
        <w:rPr>
          <w:rFonts w:hint="eastAsia" w:ascii="宋体" w:hAnsi="宋体"/>
          <w:color w:val="auto"/>
          <w:szCs w:val="21"/>
        </w:rPr>
        <w:t>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049A0369">
      <w:pPr>
        <w:spacing w:line="360" w:lineRule="auto"/>
        <w:ind w:firstLine="420" w:firstLineChars="200"/>
        <w:rPr>
          <w:rFonts w:ascii="宋体" w:hAnsi="宋体"/>
          <w:color w:val="auto"/>
          <w:szCs w:val="21"/>
        </w:rPr>
      </w:pPr>
      <w:r>
        <w:rPr>
          <w:rFonts w:hint="eastAsia" w:ascii="宋体" w:hAnsi="宋体"/>
          <w:color w:val="auto"/>
          <w:szCs w:val="21"/>
        </w:rPr>
        <w:t>身份证号码：</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0CAC319D">
      <w:pPr>
        <w:pStyle w:val="2"/>
        <w:spacing w:line="360" w:lineRule="auto"/>
        <w:rPr>
          <w:rFonts w:ascii="宋体" w:hAnsi="宋体"/>
          <w:color w:val="auto"/>
          <w:szCs w:val="21"/>
        </w:rPr>
      </w:pPr>
      <w:r>
        <w:rPr>
          <w:rFonts w:hint="eastAsia" w:ascii="宋体" w:hAnsi="宋体"/>
          <w:color w:val="auto"/>
          <w:szCs w:val="21"/>
        </w:rPr>
        <w:t xml:space="preserve">    证书名称</w:t>
      </w:r>
      <w:r>
        <w:rPr>
          <w:rFonts w:ascii="宋体" w:hAnsi="宋体"/>
          <w:color w:val="auto"/>
          <w:szCs w:val="21"/>
        </w:rPr>
        <w:t>及号码：</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w:t>
      </w:r>
    </w:p>
    <w:p w14:paraId="5AE00931">
      <w:pPr>
        <w:pStyle w:val="6"/>
        <w:keepNext/>
        <w:keepLines/>
        <w:spacing w:before="120" w:after="120" w:line="360" w:lineRule="auto"/>
        <w:ind w:firstLine="422" w:firstLineChars="200"/>
        <w:jc w:val="both"/>
        <w:rPr>
          <w:color w:val="auto"/>
          <w:kern w:val="2"/>
          <w:sz w:val="21"/>
          <w:szCs w:val="21"/>
        </w:rPr>
      </w:pPr>
      <w:bookmarkStart w:id="774" w:name="_Toc532375578"/>
      <w:bookmarkStart w:id="775" w:name="_Toc351203486"/>
      <w:bookmarkStart w:id="776" w:name="_Toc532377171"/>
      <w:r>
        <w:rPr>
          <w:rFonts w:hint="eastAsia"/>
          <w:color w:val="auto"/>
          <w:kern w:val="2"/>
          <w:sz w:val="21"/>
          <w:szCs w:val="21"/>
        </w:rPr>
        <w:t>六、合同文件构成</w:t>
      </w:r>
      <w:bookmarkEnd w:id="774"/>
      <w:bookmarkEnd w:id="775"/>
      <w:bookmarkEnd w:id="776"/>
    </w:p>
    <w:p w14:paraId="37C2B819">
      <w:pPr>
        <w:spacing w:line="360" w:lineRule="auto"/>
        <w:ind w:firstLine="420" w:firstLineChars="200"/>
        <w:rPr>
          <w:rFonts w:ascii="宋体" w:hAnsi="宋体"/>
          <w:bCs/>
          <w:color w:val="auto"/>
          <w:szCs w:val="21"/>
        </w:rPr>
      </w:pPr>
      <w:r>
        <w:rPr>
          <w:rFonts w:hint="eastAsia" w:ascii="宋体" w:hAnsi="宋体"/>
          <w:bCs/>
          <w:color w:val="auto"/>
          <w:szCs w:val="21"/>
        </w:rPr>
        <w:t>合同由以下文件构成：</w:t>
      </w:r>
    </w:p>
    <w:p w14:paraId="3703E5ED">
      <w:pPr>
        <w:spacing w:line="360" w:lineRule="auto"/>
        <w:ind w:firstLine="420" w:firstLineChars="200"/>
        <w:rPr>
          <w:rFonts w:ascii="宋体" w:hAnsi="宋体"/>
          <w:color w:val="auto"/>
          <w:szCs w:val="21"/>
        </w:rPr>
      </w:pPr>
      <w:r>
        <w:rPr>
          <w:rFonts w:hint="eastAsia" w:ascii="宋体" w:hAnsi="宋体"/>
          <w:color w:val="auto"/>
          <w:szCs w:val="21"/>
        </w:rPr>
        <w:t>（1）合同协议书；</w:t>
      </w:r>
    </w:p>
    <w:p w14:paraId="11549E80">
      <w:pPr>
        <w:spacing w:line="360" w:lineRule="auto"/>
        <w:ind w:firstLine="420" w:firstLineChars="200"/>
        <w:rPr>
          <w:rFonts w:ascii="宋体" w:hAnsi="宋体"/>
          <w:color w:val="auto"/>
          <w:szCs w:val="21"/>
        </w:rPr>
      </w:pPr>
      <w:r>
        <w:rPr>
          <w:rFonts w:hint="eastAsia" w:ascii="宋体" w:hAnsi="宋体"/>
          <w:color w:val="auto"/>
          <w:szCs w:val="21"/>
        </w:rPr>
        <w:t>（2）中标通知书；</w:t>
      </w:r>
    </w:p>
    <w:p w14:paraId="22D9C04F">
      <w:pPr>
        <w:spacing w:line="360" w:lineRule="auto"/>
        <w:ind w:firstLine="420" w:firstLineChars="200"/>
        <w:rPr>
          <w:rFonts w:ascii="宋体" w:hAnsi="宋体"/>
          <w:color w:val="auto"/>
          <w:szCs w:val="21"/>
        </w:rPr>
      </w:pPr>
      <w:r>
        <w:rPr>
          <w:rFonts w:hint="eastAsia" w:ascii="宋体" w:hAnsi="宋体"/>
          <w:color w:val="auto"/>
          <w:szCs w:val="21"/>
        </w:rPr>
        <w:t>（3）投标函及投标函附录；</w:t>
      </w:r>
    </w:p>
    <w:p w14:paraId="1549E9AA">
      <w:pPr>
        <w:spacing w:line="360" w:lineRule="auto"/>
        <w:ind w:firstLine="420" w:firstLineChars="200"/>
        <w:rPr>
          <w:rFonts w:ascii="宋体" w:hAnsi="宋体"/>
          <w:color w:val="auto"/>
          <w:szCs w:val="21"/>
        </w:rPr>
      </w:pPr>
      <w:r>
        <w:rPr>
          <w:rFonts w:hint="eastAsia" w:ascii="宋体" w:hAnsi="宋体"/>
          <w:color w:val="auto"/>
          <w:szCs w:val="21"/>
        </w:rPr>
        <w:t>（4）专用合同条款及其附件；</w:t>
      </w:r>
    </w:p>
    <w:p w14:paraId="70A1F8CD">
      <w:pPr>
        <w:spacing w:line="360" w:lineRule="auto"/>
        <w:ind w:firstLine="420" w:firstLineChars="200"/>
        <w:rPr>
          <w:rFonts w:ascii="宋体" w:hAnsi="宋体"/>
          <w:color w:val="auto"/>
          <w:szCs w:val="21"/>
        </w:rPr>
      </w:pPr>
      <w:r>
        <w:rPr>
          <w:rFonts w:hint="eastAsia" w:ascii="宋体" w:hAnsi="宋体"/>
          <w:color w:val="auto"/>
          <w:szCs w:val="21"/>
        </w:rPr>
        <w:t>（5）通用合同条款；</w:t>
      </w:r>
    </w:p>
    <w:p w14:paraId="44CC32E8">
      <w:pPr>
        <w:spacing w:line="360" w:lineRule="auto"/>
        <w:ind w:firstLine="420" w:firstLineChars="200"/>
        <w:rPr>
          <w:rFonts w:ascii="宋体" w:hAnsi="宋体"/>
          <w:color w:val="auto"/>
          <w:szCs w:val="21"/>
        </w:rPr>
      </w:pPr>
      <w:r>
        <w:rPr>
          <w:rFonts w:hint="eastAsia" w:ascii="宋体" w:hAnsi="宋体"/>
          <w:color w:val="auto"/>
          <w:szCs w:val="21"/>
        </w:rPr>
        <w:t>（6）投标文件（投标函及投标函附录除外）；</w:t>
      </w:r>
    </w:p>
    <w:p w14:paraId="72F7053B">
      <w:pPr>
        <w:spacing w:line="360" w:lineRule="auto"/>
        <w:ind w:firstLine="420" w:firstLineChars="200"/>
        <w:rPr>
          <w:rFonts w:ascii="宋体" w:hAnsi="宋体"/>
          <w:color w:val="auto"/>
          <w:szCs w:val="21"/>
        </w:rPr>
      </w:pPr>
      <w:r>
        <w:rPr>
          <w:rFonts w:hint="eastAsia" w:ascii="宋体" w:hAnsi="宋体"/>
          <w:color w:val="auto"/>
          <w:szCs w:val="21"/>
        </w:rPr>
        <w:t>（7）采购文件及修改文件；</w:t>
      </w:r>
    </w:p>
    <w:p w14:paraId="3B8E9853">
      <w:pPr>
        <w:spacing w:line="360" w:lineRule="auto"/>
        <w:ind w:firstLine="420" w:firstLineChars="200"/>
        <w:rPr>
          <w:rFonts w:ascii="宋体" w:hAnsi="宋体"/>
          <w:color w:val="auto"/>
          <w:szCs w:val="21"/>
        </w:rPr>
      </w:pPr>
      <w:r>
        <w:rPr>
          <w:rFonts w:hint="eastAsia" w:ascii="宋体" w:hAnsi="宋体"/>
          <w:color w:val="auto"/>
          <w:szCs w:val="21"/>
        </w:rPr>
        <w:t>（8）技术标准和要求；</w:t>
      </w:r>
    </w:p>
    <w:p w14:paraId="5F5EC4BB">
      <w:pPr>
        <w:spacing w:line="360" w:lineRule="auto"/>
        <w:ind w:firstLine="420" w:firstLineChars="200"/>
        <w:rPr>
          <w:rFonts w:ascii="宋体" w:hAnsi="宋体"/>
          <w:color w:val="auto"/>
          <w:szCs w:val="21"/>
        </w:rPr>
      </w:pPr>
      <w:r>
        <w:rPr>
          <w:rFonts w:hint="eastAsia" w:ascii="宋体" w:hAnsi="宋体"/>
          <w:color w:val="auto"/>
          <w:szCs w:val="21"/>
        </w:rPr>
        <w:t>（9）图纸；</w:t>
      </w:r>
    </w:p>
    <w:p w14:paraId="452247BE">
      <w:pPr>
        <w:spacing w:line="360" w:lineRule="auto"/>
        <w:ind w:firstLine="420" w:firstLineChars="200"/>
        <w:rPr>
          <w:rFonts w:ascii="宋体" w:hAnsi="宋体"/>
          <w:color w:val="auto"/>
          <w:szCs w:val="21"/>
        </w:rPr>
      </w:pPr>
      <w:r>
        <w:rPr>
          <w:rFonts w:hint="eastAsia" w:ascii="宋体" w:hAnsi="宋体"/>
          <w:color w:val="auto"/>
          <w:szCs w:val="21"/>
        </w:rPr>
        <w:t>（10）其他合同文件。</w:t>
      </w:r>
    </w:p>
    <w:p w14:paraId="3F4DA5D7">
      <w:pPr>
        <w:spacing w:line="360" w:lineRule="auto"/>
        <w:ind w:firstLine="420" w:firstLineChars="200"/>
        <w:rPr>
          <w:rFonts w:ascii="宋体" w:hAnsi="宋体"/>
          <w:color w:val="auto"/>
          <w:szCs w:val="21"/>
        </w:rPr>
      </w:pPr>
      <w:r>
        <w:rPr>
          <w:rFonts w:hint="eastAsia" w:ascii="宋体" w:hAnsi="宋体"/>
          <w:color w:val="auto"/>
          <w:szCs w:val="21"/>
        </w:rPr>
        <w:t>在合同订立、履行过程中形成的与合同有关的书面形式的文件均构成合同文件组成部分。</w:t>
      </w:r>
    </w:p>
    <w:p w14:paraId="3874C7DB">
      <w:pPr>
        <w:spacing w:line="360" w:lineRule="auto"/>
        <w:ind w:firstLine="420" w:firstLineChars="200"/>
        <w:rPr>
          <w:rFonts w:ascii="宋体" w:hAnsi="宋体"/>
          <w:color w:val="auto"/>
          <w:szCs w:val="21"/>
        </w:rPr>
      </w:pPr>
      <w:r>
        <w:rPr>
          <w:rFonts w:hint="eastAsia" w:ascii="宋体" w:hAnsi="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2BA156DC">
      <w:pPr>
        <w:pStyle w:val="6"/>
        <w:keepNext/>
        <w:keepLines/>
        <w:spacing w:before="120" w:after="120" w:line="360" w:lineRule="auto"/>
        <w:ind w:firstLine="422" w:firstLineChars="200"/>
        <w:jc w:val="both"/>
        <w:rPr>
          <w:color w:val="auto"/>
          <w:kern w:val="2"/>
          <w:sz w:val="21"/>
          <w:szCs w:val="21"/>
        </w:rPr>
      </w:pPr>
      <w:bookmarkStart w:id="777" w:name="_Toc532377172"/>
      <w:bookmarkStart w:id="778" w:name="_Toc351203487"/>
      <w:bookmarkStart w:id="779" w:name="_Toc532375579"/>
      <w:r>
        <w:rPr>
          <w:rFonts w:hint="eastAsia"/>
          <w:color w:val="auto"/>
          <w:kern w:val="2"/>
          <w:sz w:val="21"/>
          <w:szCs w:val="21"/>
        </w:rPr>
        <w:t>七、承诺</w:t>
      </w:r>
      <w:bookmarkEnd w:id="777"/>
      <w:bookmarkEnd w:id="778"/>
      <w:bookmarkEnd w:id="779"/>
    </w:p>
    <w:p w14:paraId="688E0CD1">
      <w:pPr>
        <w:spacing w:line="360" w:lineRule="auto"/>
        <w:ind w:firstLine="420" w:firstLineChars="200"/>
        <w:rPr>
          <w:rFonts w:ascii="宋体" w:hAnsi="宋体"/>
          <w:bCs/>
          <w:color w:val="auto"/>
          <w:szCs w:val="21"/>
        </w:rPr>
      </w:pPr>
      <w:r>
        <w:rPr>
          <w:rFonts w:hint="eastAsia" w:ascii="宋体" w:hAnsi="宋体"/>
          <w:bCs/>
          <w:color w:val="auto"/>
          <w:szCs w:val="21"/>
        </w:rPr>
        <w:t>1.发包人承诺按照法律规定履行项目审批手续、筹集工程建设资金并按照合同约定的期限和方式支付合同价款。</w:t>
      </w:r>
    </w:p>
    <w:p w14:paraId="7875EED3">
      <w:pPr>
        <w:spacing w:line="360" w:lineRule="auto"/>
        <w:ind w:firstLine="420" w:firstLineChars="200"/>
        <w:rPr>
          <w:rFonts w:ascii="宋体" w:hAnsi="宋体"/>
          <w:bCs/>
          <w:color w:val="auto"/>
          <w:szCs w:val="21"/>
        </w:rPr>
      </w:pPr>
      <w:r>
        <w:rPr>
          <w:rFonts w:hint="eastAsia" w:ascii="宋体" w:hAnsi="宋体"/>
          <w:bCs/>
          <w:color w:val="auto"/>
          <w:szCs w:val="21"/>
        </w:rPr>
        <w:t>2.</w:t>
      </w:r>
      <w:r>
        <w:rPr>
          <w:rFonts w:hint="eastAsia" w:ascii="宋体" w:hAnsi="宋体"/>
          <w:color w:val="auto"/>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rPr>
        <w:t>。</w:t>
      </w:r>
    </w:p>
    <w:p w14:paraId="70677D3C">
      <w:pPr>
        <w:spacing w:line="360" w:lineRule="auto"/>
        <w:ind w:firstLine="420" w:firstLineChars="200"/>
        <w:rPr>
          <w:rFonts w:ascii="宋体" w:hAnsi="宋体"/>
          <w:bCs/>
          <w:color w:val="auto"/>
          <w:szCs w:val="21"/>
        </w:rPr>
      </w:pPr>
      <w:r>
        <w:rPr>
          <w:rFonts w:hint="eastAsia" w:ascii="宋体" w:hAnsi="宋体"/>
          <w:bCs/>
          <w:color w:val="auto"/>
          <w:szCs w:val="21"/>
        </w:rPr>
        <w:t>3.发包人和承包人通过招投标形式签订合同的，双方理解并承诺不再就同一工程另行签订与合同实质性内容相背离的协议。</w:t>
      </w:r>
    </w:p>
    <w:p w14:paraId="4A22B486">
      <w:pPr>
        <w:pStyle w:val="6"/>
        <w:keepNext/>
        <w:keepLines/>
        <w:spacing w:before="120" w:after="120" w:line="360" w:lineRule="auto"/>
        <w:ind w:firstLine="422" w:firstLineChars="200"/>
        <w:jc w:val="both"/>
        <w:rPr>
          <w:color w:val="auto"/>
          <w:kern w:val="2"/>
          <w:sz w:val="21"/>
          <w:szCs w:val="21"/>
        </w:rPr>
      </w:pPr>
      <w:bookmarkStart w:id="780" w:name="_Toc532375580"/>
      <w:bookmarkStart w:id="781" w:name="_Toc532377173"/>
      <w:bookmarkStart w:id="782" w:name="_Toc351203488"/>
      <w:r>
        <w:rPr>
          <w:rFonts w:hint="eastAsia"/>
          <w:color w:val="auto"/>
          <w:kern w:val="2"/>
          <w:sz w:val="21"/>
          <w:szCs w:val="21"/>
        </w:rPr>
        <w:t>八、词语含义</w:t>
      </w:r>
      <w:bookmarkEnd w:id="780"/>
      <w:bookmarkEnd w:id="781"/>
      <w:bookmarkEnd w:id="782"/>
    </w:p>
    <w:p w14:paraId="57A62393">
      <w:pPr>
        <w:spacing w:line="360" w:lineRule="auto"/>
        <w:ind w:firstLine="420" w:firstLineChars="200"/>
        <w:rPr>
          <w:rFonts w:ascii="宋体" w:hAnsi="宋体"/>
          <w:bCs/>
          <w:color w:val="auto"/>
          <w:szCs w:val="21"/>
        </w:rPr>
      </w:pPr>
      <w:r>
        <w:rPr>
          <w:rFonts w:hint="eastAsia" w:ascii="宋体" w:hAnsi="宋体"/>
          <w:bCs/>
          <w:color w:val="auto"/>
          <w:szCs w:val="21"/>
        </w:rPr>
        <w:t>本协议书中词语含义与专用合同条款及通用合同条款中赋予的含义相同。</w:t>
      </w:r>
    </w:p>
    <w:p w14:paraId="14F5CBBA">
      <w:pPr>
        <w:pStyle w:val="6"/>
        <w:keepNext/>
        <w:keepLines/>
        <w:spacing w:before="120" w:after="120" w:line="360" w:lineRule="auto"/>
        <w:ind w:firstLine="422" w:firstLineChars="200"/>
        <w:jc w:val="both"/>
        <w:rPr>
          <w:color w:val="auto"/>
          <w:kern w:val="2"/>
          <w:sz w:val="21"/>
          <w:szCs w:val="21"/>
        </w:rPr>
      </w:pPr>
      <w:bookmarkStart w:id="783" w:name="_Toc532377174"/>
      <w:bookmarkStart w:id="784" w:name="_Toc532375581"/>
      <w:r>
        <w:rPr>
          <w:rFonts w:hint="eastAsia"/>
          <w:color w:val="auto"/>
          <w:kern w:val="2"/>
          <w:sz w:val="21"/>
          <w:szCs w:val="21"/>
        </w:rPr>
        <w:t>九、签订时间</w:t>
      </w:r>
      <w:bookmarkEnd w:id="783"/>
      <w:bookmarkEnd w:id="784"/>
    </w:p>
    <w:p w14:paraId="0C86DB6F">
      <w:pPr>
        <w:spacing w:line="360" w:lineRule="auto"/>
        <w:ind w:firstLine="420" w:firstLineChars="200"/>
        <w:rPr>
          <w:rFonts w:ascii="宋体" w:hAnsi="宋体"/>
          <w:color w:val="auto"/>
          <w:szCs w:val="21"/>
        </w:rPr>
      </w:pPr>
      <w:r>
        <w:rPr>
          <w:rFonts w:hint="eastAsia" w:ascii="宋体" w:hAnsi="宋体"/>
          <w:bCs/>
          <w:color w:val="auto"/>
          <w:szCs w:val="21"/>
        </w:rPr>
        <w:t>合同于</w:t>
      </w:r>
      <w:r>
        <w:rPr>
          <w:rFonts w:hint="eastAsia" w:ascii="宋体" w:hAnsi="宋体"/>
          <w:bCs/>
          <w:color w:val="auto"/>
          <w:szCs w:val="21"/>
          <w:u w:val="single"/>
        </w:rPr>
        <w:t xml:space="preserve">    </w:t>
      </w:r>
      <w:r>
        <w:rPr>
          <w:rFonts w:hint="eastAsia" w:ascii="宋体" w:hAnsi="宋体"/>
          <w:bCs/>
          <w:color w:val="auto"/>
          <w:szCs w:val="21"/>
        </w:rPr>
        <w:t>年</w:t>
      </w:r>
      <w:r>
        <w:rPr>
          <w:rFonts w:hint="eastAsia" w:ascii="宋体" w:hAnsi="宋体"/>
          <w:bCs/>
          <w:color w:val="auto"/>
          <w:szCs w:val="21"/>
          <w:u w:val="single"/>
        </w:rPr>
        <w:t xml:space="preserve">    </w:t>
      </w:r>
      <w:r>
        <w:rPr>
          <w:rFonts w:hint="eastAsia" w:ascii="宋体" w:hAnsi="宋体"/>
          <w:bCs/>
          <w:color w:val="auto"/>
          <w:szCs w:val="21"/>
        </w:rPr>
        <w:t>月</w:t>
      </w:r>
      <w:r>
        <w:rPr>
          <w:rFonts w:hint="eastAsia" w:ascii="宋体" w:hAnsi="宋体"/>
          <w:bCs/>
          <w:color w:val="auto"/>
          <w:szCs w:val="21"/>
          <w:u w:val="single"/>
        </w:rPr>
        <w:t xml:space="preserve">    </w:t>
      </w:r>
      <w:r>
        <w:rPr>
          <w:rFonts w:hint="eastAsia" w:ascii="宋体" w:hAnsi="宋体"/>
          <w:bCs/>
          <w:color w:val="auto"/>
          <w:szCs w:val="21"/>
        </w:rPr>
        <w:t>日签订</w:t>
      </w:r>
    </w:p>
    <w:p w14:paraId="5AF333FD">
      <w:pPr>
        <w:pStyle w:val="6"/>
        <w:keepNext/>
        <w:keepLines/>
        <w:spacing w:before="120" w:after="120" w:line="360" w:lineRule="auto"/>
        <w:ind w:firstLine="422" w:firstLineChars="200"/>
        <w:jc w:val="both"/>
        <w:rPr>
          <w:color w:val="auto"/>
          <w:kern w:val="2"/>
          <w:sz w:val="21"/>
          <w:szCs w:val="21"/>
        </w:rPr>
      </w:pPr>
      <w:bookmarkStart w:id="785" w:name="_Toc351203489"/>
      <w:bookmarkStart w:id="786" w:name="_Toc532375582"/>
      <w:bookmarkStart w:id="787" w:name="_Toc532377175"/>
      <w:r>
        <w:rPr>
          <w:rFonts w:hint="eastAsia"/>
          <w:color w:val="auto"/>
          <w:kern w:val="2"/>
          <w:sz w:val="21"/>
          <w:szCs w:val="21"/>
        </w:rPr>
        <w:t>十、</w:t>
      </w:r>
      <w:bookmarkEnd w:id="785"/>
      <w:bookmarkStart w:id="788" w:name="_Toc351203490"/>
      <w:r>
        <w:rPr>
          <w:rFonts w:hint="eastAsia"/>
          <w:color w:val="auto"/>
          <w:kern w:val="2"/>
          <w:sz w:val="21"/>
          <w:szCs w:val="21"/>
        </w:rPr>
        <w:t>签订地点</w:t>
      </w:r>
      <w:bookmarkEnd w:id="786"/>
      <w:bookmarkEnd w:id="787"/>
      <w:bookmarkEnd w:id="788"/>
    </w:p>
    <w:p w14:paraId="23B828A7">
      <w:pPr>
        <w:spacing w:line="360" w:lineRule="auto"/>
        <w:ind w:firstLine="420" w:firstLineChars="200"/>
        <w:rPr>
          <w:rFonts w:ascii="宋体" w:hAnsi="宋体"/>
          <w:bCs/>
          <w:color w:val="auto"/>
          <w:szCs w:val="21"/>
        </w:rPr>
      </w:pPr>
      <w:r>
        <w:rPr>
          <w:rFonts w:hint="eastAsia" w:ascii="宋体" w:hAnsi="宋体"/>
          <w:bCs/>
          <w:color w:val="auto"/>
          <w:szCs w:val="21"/>
        </w:rPr>
        <w:t>合同在</w:t>
      </w:r>
      <w:r>
        <w:rPr>
          <w:rFonts w:hint="eastAsia" w:ascii="宋体" w:hAnsi="宋体"/>
          <w:bCs/>
          <w:color w:val="auto"/>
          <w:szCs w:val="21"/>
          <w:u w:val="single"/>
        </w:rPr>
        <w:t xml:space="preserve">            </w:t>
      </w:r>
      <w:r>
        <w:rPr>
          <w:rFonts w:hint="eastAsia" w:ascii="宋体" w:hAnsi="宋体"/>
          <w:bCs/>
          <w:color w:val="auto"/>
          <w:szCs w:val="21"/>
        </w:rPr>
        <w:t>签订。</w:t>
      </w:r>
    </w:p>
    <w:p w14:paraId="7CD93825">
      <w:pPr>
        <w:pStyle w:val="6"/>
        <w:keepNext/>
        <w:keepLines/>
        <w:spacing w:before="120" w:after="120" w:line="360" w:lineRule="auto"/>
        <w:ind w:firstLine="422" w:firstLineChars="200"/>
        <w:jc w:val="both"/>
        <w:rPr>
          <w:color w:val="auto"/>
          <w:kern w:val="2"/>
          <w:sz w:val="21"/>
          <w:szCs w:val="21"/>
        </w:rPr>
      </w:pPr>
      <w:bookmarkStart w:id="789" w:name="_Toc532375583"/>
      <w:bookmarkStart w:id="790" w:name="_Toc351203491"/>
      <w:bookmarkStart w:id="791" w:name="_Toc532377176"/>
      <w:r>
        <w:rPr>
          <w:rFonts w:hint="eastAsia"/>
          <w:color w:val="auto"/>
          <w:kern w:val="2"/>
          <w:sz w:val="21"/>
          <w:szCs w:val="21"/>
        </w:rPr>
        <w:t>十一、补充协议</w:t>
      </w:r>
      <w:bookmarkEnd w:id="789"/>
      <w:bookmarkEnd w:id="790"/>
      <w:bookmarkEnd w:id="791"/>
    </w:p>
    <w:p w14:paraId="128CA7C1">
      <w:pPr>
        <w:spacing w:line="360" w:lineRule="auto"/>
        <w:ind w:firstLine="420" w:firstLineChars="200"/>
        <w:rPr>
          <w:rFonts w:ascii="宋体" w:hAnsi="宋体"/>
          <w:b/>
          <w:bCs/>
          <w:color w:val="auto"/>
          <w:szCs w:val="21"/>
        </w:rPr>
      </w:pPr>
      <w:r>
        <w:rPr>
          <w:rFonts w:hint="eastAsia" w:ascii="宋体" w:hAnsi="宋体"/>
          <w:bCs/>
          <w:color w:val="auto"/>
          <w:szCs w:val="21"/>
        </w:rPr>
        <w:t>合同未尽事宜，合同当事人另行签订补充协议，补充协议是合同的组成部分。</w:t>
      </w:r>
    </w:p>
    <w:p w14:paraId="5D7774B6">
      <w:pPr>
        <w:pStyle w:val="6"/>
        <w:keepNext/>
        <w:keepLines/>
        <w:spacing w:before="120" w:after="120" w:line="360" w:lineRule="auto"/>
        <w:ind w:firstLine="422" w:firstLineChars="200"/>
        <w:jc w:val="both"/>
        <w:rPr>
          <w:color w:val="auto"/>
          <w:kern w:val="2"/>
          <w:sz w:val="21"/>
          <w:szCs w:val="21"/>
        </w:rPr>
      </w:pPr>
      <w:bookmarkStart w:id="792" w:name="_Toc532377177"/>
      <w:bookmarkStart w:id="793" w:name="_Toc351203492"/>
      <w:bookmarkStart w:id="794" w:name="_Toc532375584"/>
      <w:r>
        <w:rPr>
          <w:rFonts w:hint="eastAsia"/>
          <w:color w:val="auto"/>
          <w:kern w:val="2"/>
          <w:sz w:val="21"/>
          <w:szCs w:val="21"/>
        </w:rPr>
        <w:t>十二、合同生效</w:t>
      </w:r>
      <w:bookmarkEnd w:id="792"/>
      <w:bookmarkEnd w:id="793"/>
      <w:bookmarkEnd w:id="794"/>
    </w:p>
    <w:p w14:paraId="1120DC20">
      <w:pPr>
        <w:spacing w:line="360" w:lineRule="auto"/>
        <w:ind w:firstLine="420" w:firstLineChars="200"/>
        <w:rPr>
          <w:rFonts w:ascii="宋体" w:hAnsi="宋体"/>
          <w:bCs/>
          <w:color w:val="auto"/>
          <w:szCs w:val="21"/>
        </w:rPr>
      </w:pPr>
      <w:r>
        <w:rPr>
          <w:rFonts w:hint="eastAsia" w:ascii="宋体" w:hAnsi="宋体"/>
          <w:bCs/>
          <w:color w:val="auto"/>
          <w:szCs w:val="21"/>
        </w:rPr>
        <w:t>合同在以下条件全部满足之后生效：</w:t>
      </w:r>
    </w:p>
    <w:p w14:paraId="6966FEEA">
      <w:pPr>
        <w:spacing w:line="360" w:lineRule="auto"/>
        <w:ind w:firstLine="420" w:firstLineChars="200"/>
        <w:rPr>
          <w:rFonts w:ascii="宋体" w:hAnsi="宋体"/>
          <w:color w:val="auto"/>
          <w:szCs w:val="21"/>
        </w:rPr>
      </w:pPr>
      <w:r>
        <w:rPr>
          <w:rFonts w:hint="eastAsia" w:ascii="宋体" w:hAnsi="宋体"/>
          <w:bCs/>
          <w:color w:val="auto"/>
          <w:szCs w:val="21"/>
        </w:rPr>
        <w:t>1.合同</w:t>
      </w:r>
      <w:r>
        <w:rPr>
          <w:rFonts w:hint="eastAsia" w:ascii="宋体" w:hAnsi="宋体"/>
          <w:color w:val="auto"/>
          <w:szCs w:val="21"/>
        </w:rPr>
        <w:t>经双方法定代表人或其委托代理人签字并加盖</w:t>
      </w:r>
      <w:r>
        <w:rPr>
          <w:rFonts w:hint="eastAsia" w:ascii="宋体" w:hAnsi="宋体"/>
          <w:snapToGrid w:val="0"/>
          <w:color w:val="auto"/>
          <w:kern w:val="0"/>
          <w:szCs w:val="21"/>
        </w:rPr>
        <w:t>公章或合同专用章</w:t>
      </w:r>
      <w:r>
        <w:rPr>
          <w:rFonts w:hint="eastAsia" w:ascii="宋体" w:hAnsi="宋体"/>
          <w:color w:val="auto"/>
          <w:szCs w:val="21"/>
        </w:rPr>
        <w:t>；</w:t>
      </w:r>
    </w:p>
    <w:p w14:paraId="6E182BBA">
      <w:pPr>
        <w:spacing w:line="360" w:lineRule="auto"/>
        <w:ind w:firstLine="420" w:firstLineChars="200"/>
        <w:rPr>
          <w:rFonts w:ascii="宋体" w:hAnsi="宋体"/>
          <w:color w:val="auto"/>
          <w:szCs w:val="21"/>
        </w:rPr>
      </w:pPr>
      <w:r>
        <w:rPr>
          <w:rFonts w:hint="eastAsia" w:ascii="宋体" w:hAnsi="宋体"/>
          <w:color w:val="auto"/>
          <w:szCs w:val="21"/>
        </w:rPr>
        <w:t>2.采用保函形式递交履约担保的，承包人按合同约定向发包人提交履约担保后；</w:t>
      </w:r>
    </w:p>
    <w:p w14:paraId="0751D273">
      <w:pPr>
        <w:spacing w:line="360" w:lineRule="auto"/>
        <w:ind w:firstLine="420" w:firstLineChars="200"/>
        <w:rPr>
          <w:rFonts w:ascii="宋体" w:hAnsi="宋体"/>
          <w:bCs/>
          <w:color w:val="auto"/>
          <w:szCs w:val="21"/>
        </w:rPr>
      </w:pPr>
      <w:r>
        <w:rPr>
          <w:rFonts w:hint="eastAsia" w:ascii="宋体" w:hAnsi="宋体"/>
          <w:bCs/>
          <w:color w:val="auto"/>
          <w:szCs w:val="21"/>
        </w:rPr>
        <w:t>3.</w:t>
      </w:r>
      <w:r>
        <w:rPr>
          <w:rFonts w:hint="eastAsia" w:ascii="宋体" w:hAnsi="宋体"/>
          <w:color w:val="auto"/>
          <w:szCs w:val="21"/>
          <w:u w:val="single"/>
        </w:rPr>
        <w:t xml:space="preserve">        </w:t>
      </w:r>
      <w:r>
        <w:rPr>
          <w:rFonts w:hint="eastAsia" w:ascii="宋体" w:hAnsi="宋体"/>
          <w:color w:val="auto"/>
          <w:szCs w:val="21"/>
        </w:rPr>
        <w:t>。</w:t>
      </w:r>
    </w:p>
    <w:p w14:paraId="30DB4D1D">
      <w:pPr>
        <w:pStyle w:val="6"/>
        <w:keepNext/>
        <w:keepLines/>
        <w:spacing w:before="120" w:after="120" w:line="360" w:lineRule="auto"/>
        <w:ind w:firstLine="422" w:firstLineChars="200"/>
        <w:jc w:val="both"/>
        <w:rPr>
          <w:color w:val="auto"/>
          <w:kern w:val="2"/>
          <w:sz w:val="21"/>
          <w:szCs w:val="21"/>
        </w:rPr>
      </w:pPr>
      <w:bookmarkStart w:id="795" w:name="_Toc532377178"/>
      <w:bookmarkStart w:id="796" w:name="_Toc532375585"/>
      <w:r>
        <w:rPr>
          <w:rFonts w:hint="eastAsia"/>
          <w:color w:val="auto"/>
          <w:kern w:val="2"/>
          <w:sz w:val="21"/>
          <w:szCs w:val="21"/>
        </w:rPr>
        <w:t>十三、合同份数</w:t>
      </w:r>
      <w:bookmarkEnd w:id="795"/>
      <w:bookmarkEnd w:id="796"/>
    </w:p>
    <w:p w14:paraId="7756117F">
      <w:pPr>
        <w:spacing w:line="360" w:lineRule="auto"/>
        <w:ind w:firstLine="420" w:firstLineChars="200"/>
        <w:rPr>
          <w:rFonts w:ascii="宋体" w:hAnsi="宋体"/>
          <w:bCs/>
          <w:color w:val="auto"/>
          <w:szCs w:val="21"/>
        </w:rPr>
      </w:pPr>
      <w:r>
        <w:rPr>
          <w:rFonts w:hint="eastAsia" w:ascii="宋体" w:hAnsi="宋体" w:cs="Microsoft Sans Serif"/>
          <w:bCs/>
          <w:color w:val="auto"/>
          <w:szCs w:val="21"/>
        </w:rPr>
        <w:t>合同一式</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份，其中正本</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份，双方各持</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份，副本</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份，双方各执</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份。副本与正本不一致时，以正本为准</w:t>
      </w:r>
      <w:r>
        <w:rPr>
          <w:rFonts w:hint="eastAsia" w:ascii="宋体" w:hAnsi="宋体"/>
          <w:bCs/>
          <w:color w:val="auto"/>
          <w:szCs w:val="21"/>
        </w:rPr>
        <w:t>。</w:t>
      </w:r>
    </w:p>
    <w:p w14:paraId="2D91C0B5">
      <w:pPr>
        <w:spacing w:line="360" w:lineRule="auto"/>
        <w:ind w:firstLine="420" w:firstLineChars="200"/>
        <w:rPr>
          <w:rFonts w:ascii="宋体" w:hAnsi="宋体"/>
          <w:bCs/>
          <w:color w:val="auto"/>
          <w:szCs w:val="21"/>
        </w:rPr>
      </w:pPr>
    </w:p>
    <w:p w14:paraId="415BE8AF">
      <w:pPr>
        <w:spacing w:line="360" w:lineRule="auto"/>
        <w:ind w:firstLine="420" w:firstLineChars="200"/>
        <w:rPr>
          <w:rFonts w:ascii="宋体" w:hAnsi="宋体"/>
          <w:bCs/>
          <w:color w:val="auto"/>
          <w:szCs w:val="21"/>
        </w:rPr>
      </w:pPr>
      <w:r>
        <w:rPr>
          <w:rFonts w:hint="eastAsia" w:ascii="宋体" w:hAnsi="宋体"/>
          <w:bCs/>
          <w:color w:val="auto"/>
          <w:szCs w:val="21"/>
        </w:rPr>
        <w:t>（以下为签字盖章页）。</w:t>
      </w:r>
    </w:p>
    <w:p w14:paraId="6B6F7CFB">
      <w:pPr>
        <w:pStyle w:val="2"/>
        <w:spacing w:line="360" w:lineRule="auto"/>
        <w:ind w:firstLine="420" w:firstLineChars="200"/>
        <w:rPr>
          <w:rFonts w:ascii="宋体" w:hAnsi="宋体"/>
          <w:color w:val="auto"/>
          <w:szCs w:val="21"/>
        </w:rPr>
      </w:pPr>
    </w:p>
    <w:p w14:paraId="37519221">
      <w:pPr>
        <w:pStyle w:val="2"/>
        <w:spacing w:line="360" w:lineRule="auto"/>
        <w:ind w:firstLine="420" w:firstLineChars="200"/>
        <w:rPr>
          <w:rFonts w:ascii="宋体" w:hAnsi="宋体"/>
          <w:color w:val="auto"/>
          <w:szCs w:val="21"/>
        </w:rPr>
      </w:pPr>
    </w:p>
    <w:p w14:paraId="2BA57641">
      <w:pPr>
        <w:adjustRightInd w:val="0"/>
        <w:spacing w:line="360" w:lineRule="auto"/>
        <w:ind w:firstLine="420" w:firstLineChars="200"/>
        <w:rPr>
          <w:rFonts w:ascii="宋体" w:hAnsi="宋体"/>
          <w:snapToGrid w:val="0"/>
          <w:color w:val="auto"/>
          <w:kern w:val="0"/>
          <w:szCs w:val="21"/>
        </w:rPr>
      </w:pPr>
      <w:bookmarkStart w:id="797" w:name="_Toc467689623"/>
      <w:r>
        <w:rPr>
          <w:rFonts w:ascii="宋体" w:hAnsi="宋体"/>
          <w:snapToGrid w:val="0"/>
          <w:color w:val="auto"/>
          <w:kern w:val="0"/>
          <w:szCs w:val="21"/>
        </w:rPr>
        <w:t>发包人：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（公章</w:t>
      </w:r>
      <w:r>
        <w:rPr>
          <w:rFonts w:hint="eastAsia" w:ascii="宋体" w:hAnsi="宋体"/>
          <w:snapToGrid w:val="0"/>
          <w:color w:val="auto"/>
          <w:kern w:val="0"/>
          <w:szCs w:val="21"/>
        </w:rPr>
        <w:t>或合同专用章</w:t>
      </w:r>
      <w:r>
        <w:rPr>
          <w:rFonts w:ascii="宋体" w:hAnsi="宋体"/>
          <w:snapToGrid w:val="0"/>
          <w:color w:val="auto"/>
          <w:kern w:val="0"/>
          <w:szCs w:val="21"/>
        </w:rPr>
        <w:t>）</w:t>
      </w:r>
    </w:p>
    <w:p w14:paraId="6214A9B3">
      <w:pPr>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w:t>
      </w:r>
    </w:p>
    <w:p w14:paraId="6C1602E0">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统一社会信用代码：</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881AEBF">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纳税人识别号：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C18E917">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地    址：</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9F7FA60">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电    话：</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7755D071">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开户银行：</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70621B08">
      <w:pPr>
        <w:spacing w:line="360" w:lineRule="auto"/>
        <w:ind w:firstLine="420" w:firstLineChars="200"/>
        <w:rPr>
          <w:rFonts w:ascii="宋体" w:hAnsi="宋体"/>
          <w:color w:val="auto"/>
          <w:szCs w:val="21"/>
        </w:rPr>
      </w:pPr>
      <w:r>
        <w:rPr>
          <w:rFonts w:hint="eastAsia" w:ascii="宋体" w:hAnsi="宋体"/>
          <w:snapToGrid w:val="0"/>
          <w:color w:val="auto"/>
          <w:kern w:val="0"/>
          <w:szCs w:val="21"/>
        </w:rPr>
        <w:t>账    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AFE2EB7">
      <w:pPr>
        <w:spacing w:line="360" w:lineRule="auto"/>
        <w:rPr>
          <w:rFonts w:ascii="宋体" w:hAnsi="宋体"/>
          <w:snapToGrid w:val="0"/>
          <w:color w:val="auto"/>
          <w:kern w:val="0"/>
          <w:szCs w:val="21"/>
        </w:rPr>
      </w:pPr>
    </w:p>
    <w:p w14:paraId="66E11CA5">
      <w:pPr>
        <w:spacing w:line="360" w:lineRule="auto"/>
        <w:ind w:firstLine="420" w:firstLineChars="200"/>
        <w:rPr>
          <w:rFonts w:ascii="宋体" w:hAnsi="宋体"/>
          <w:color w:val="auto"/>
          <w:szCs w:val="21"/>
        </w:rPr>
      </w:pPr>
      <w:r>
        <w:rPr>
          <w:rFonts w:ascii="宋体" w:hAnsi="宋体"/>
          <w:snapToGrid w:val="0"/>
          <w:color w:val="auto"/>
          <w:kern w:val="0"/>
          <w:szCs w:val="21"/>
        </w:rPr>
        <w:t>承包人：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（公章</w:t>
      </w:r>
      <w:r>
        <w:rPr>
          <w:rFonts w:hint="eastAsia" w:ascii="宋体" w:hAnsi="宋体"/>
          <w:snapToGrid w:val="0"/>
          <w:color w:val="auto"/>
          <w:kern w:val="0"/>
          <w:szCs w:val="21"/>
        </w:rPr>
        <w:t>或合同专用章</w:t>
      </w:r>
      <w:r>
        <w:rPr>
          <w:rFonts w:ascii="宋体" w:hAnsi="宋体"/>
          <w:snapToGrid w:val="0"/>
          <w:color w:val="auto"/>
          <w:kern w:val="0"/>
          <w:szCs w:val="21"/>
        </w:rPr>
        <w:t>）</w:t>
      </w:r>
    </w:p>
    <w:p w14:paraId="3E010245">
      <w:pPr>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w:t>
      </w:r>
    </w:p>
    <w:p w14:paraId="0B47A1C6">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统一社会信用代码：</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5A1BA03">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纳税人识别号：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BD0032B">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地    址：</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1C223484">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电    话：</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5836E152">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开户银行：</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5D5D30D">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账    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9C7439F">
      <w:pPr>
        <w:pStyle w:val="2"/>
        <w:spacing w:line="360" w:lineRule="auto"/>
        <w:rPr>
          <w:rFonts w:ascii="宋体" w:hAnsi="宋体"/>
          <w:color w:val="auto"/>
          <w:szCs w:val="21"/>
        </w:rPr>
      </w:pPr>
    </w:p>
    <w:p w14:paraId="213EE5FD">
      <w:pPr>
        <w:spacing w:line="360" w:lineRule="auto"/>
        <w:jc w:val="right"/>
        <w:rPr>
          <w:rFonts w:ascii="宋体" w:hAnsi="宋体"/>
          <w:snapToGrid w:val="0"/>
          <w:color w:val="auto"/>
          <w:kern w:val="0"/>
          <w:szCs w:val="21"/>
        </w:rPr>
      </w:pPr>
    </w:p>
    <w:p w14:paraId="5E7BCC84">
      <w:pPr>
        <w:spacing w:line="360" w:lineRule="auto"/>
        <w:jc w:val="right"/>
        <w:rPr>
          <w:rFonts w:ascii="宋体" w:hAnsi="宋体"/>
          <w:snapToGrid w:val="0"/>
          <w:color w:val="auto"/>
          <w:kern w:val="0"/>
          <w:szCs w:val="21"/>
        </w:rPr>
      </w:pPr>
    </w:p>
    <w:p w14:paraId="205B2A9F">
      <w:pPr>
        <w:spacing w:line="360" w:lineRule="auto"/>
        <w:jc w:val="right"/>
        <w:rPr>
          <w:rFonts w:ascii="宋体" w:hAnsi="宋体"/>
          <w:snapToGrid w:val="0"/>
          <w:color w:val="auto"/>
          <w:kern w:val="0"/>
          <w:szCs w:val="21"/>
        </w:rPr>
      </w:pPr>
      <w:r>
        <w:rPr>
          <w:rFonts w:hint="eastAsia" w:ascii="宋体" w:hAnsi="宋体"/>
          <w:snapToGrid w:val="0"/>
          <w:color w:val="auto"/>
          <w:kern w:val="0"/>
          <w:szCs w:val="21"/>
        </w:rPr>
        <w:t>签约时间：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日</w:t>
      </w:r>
      <w:bookmarkEnd w:id="797"/>
    </w:p>
    <w:p w14:paraId="2F783390">
      <w:pPr>
        <w:pStyle w:val="5"/>
        <w:jc w:val="center"/>
        <w:rPr>
          <w:rFonts w:ascii="宋体" w:hAnsi="宋体"/>
          <w:bCs w:val="0"/>
          <w:color w:val="auto"/>
          <w:sz w:val="21"/>
          <w:szCs w:val="21"/>
        </w:rPr>
      </w:pPr>
      <w:r>
        <w:rPr>
          <w:rFonts w:hint="eastAsia" w:ascii="宋体" w:hAnsi="宋体"/>
          <w:b w:val="0"/>
          <w:snapToGrid w:val="0"/>
          <w:color w:val="auto"/>
          <w:sz w:val="21"/>
          <w:szCs w:val="21"/>
          <w:lang w:val="zh-CN"/>
        </w:rPr>
        <w:br w:type="page"/>
      </w:r>
      <w:bookmarkStart w:id="798" w:name="_Toc532375586"/>
      <w:bookmarkStart w:id="799" w:name="_Toc14710"/>
      <w:bookmarkStart w:id="800" w:name="_Toc532377179"/>
      <w:bookmarkStart w:id="801" w:name="_Toc529388289"/>
      <w:r>
        <w:rPr>
          <w:rFonts w:hint="eastAsia" w:ascii="宋体" w:hAnsi="宋体"/>
          <w:color w:val="auto"/>
          <w:sz w:val="44"/>
          <w:szCs w:val="44"/>
        </w:rPr>
        <w:t>第二部分 通用合同条款</w:t>
      </w:r>
      <w:bookmarkEnd w:id="798"/>
      <w:bookmarkEnd w:id="799"/>
      <w:bookmarkEnd w:id="800"/>
      <w:bookmarkEnd w:id="801"/>
    </w:p>
    <w:p w14:paraId="3BA3AA4E">
      <w:pPr>
        <w:pStyle w:val="6"/>
        <w:keepNext/>
        <w:keepLines/>
        <w:spacing w:beforeLines="50" w:beforeAutospacing="0" w:afterLines="50" w:afterAutospacing="0" w:line="360" w:lineRule="auto"/>
        <w:jc w:val="both"/>
        <w:rPr>
          <w:color w:val="auto"/>
          <w:kern w:val="2"/>
          <w:sz w:val="21"/>
          <w:szCs w:val="21"/>
        </w:rPr>
      </w:pPr>
      <w:bookmarkStart w:id="802" w:name="_Toc351203495"/>
      <w:bookmarkStart w:id="803" w:name="_Toc532377180"/>
      <w:bookmarkStart w:id="804" w:name="_Toc532375587"/>
      <w:r>
        <w:rPr>
          <w:rFonts w:hint="eastAsia"/>
          <w:color w:val="auto"/>
          <w:kern w:val="2"/>
          <w:sz w:val="21"/>
          <w:szCs w:val="21"/>
        </w:rPr>
        <w:t>1.</w:t>
      </w:r>
      <w:bookmarkStart w:id="805" w:name="_Toc303538972"/>
      <w:bookmarkEnd w:id="805"/>
      <w:bookmarkStart w:id="806" w:name="_Toc303538973"/>
      <w:bookmarkEnd w:id="806"/>
      <w:bookmarkStart w:id="807" w:name="_Toc303538975"/>
      <w:bookmarkEnd w:id="807"/>
      <w:bookmarkStart w:id="808" w:name="_Toc303538976"/>
      <w:bookmarkEnd w:id="808"/>
      <w:bookmarkStart w:id="809" w:name="_Toc303538974"/>
      <w:bookmarkEnd w:id="809"/>
      <w:bookmarkStart w:id="810" w:name="_Toc296346528"/>
      <w:bookmarkStart w:id="811" w:name="_Toc296503027"/>
      <w:r>
        <w:rPr>
          <w:rFonts w:hint="eastAsia"/>
          <w:color w:val="auto"/>
          <w:kern w:val="2"/>
          <w:sz w:val="21"/>
          <w:szCs w:val="21"/>
        </w:rPr>
        <w:t>一般约定</w:t>
      </w:r>
      <w:bookmarkEnd w:id="802"/>
      <w:bookmarkEnd w:id="803"/>
      <w:bookmarkEnd w:id="804"/>
      <w:bookmarkEnd w:id="810"/>
      <w:bookmarkEnd w:id="811"/>
    </w:p>
    <w:p w14:paraId="62B9A8A6">
      <w:pPr>
        <w:pStyle w:val="7"/>
        <w:spacing w:before="0" w:beforeAutospacing="0" w:after="0" w:afterAutospacing="0" w:line="360" w:lineRule="auto"/>
        <w:ind w:firstLine="422" w:firstLineChars="200"/>
        <w:rPr>
          <w:color w:val="auto"/>
          <w:sz w:val="21"/>
          <w:szCs w:val="21"/>
        </w:rPr>
      </w:pPr>
      <w:bookmarkStart w:id="812" w:name="_Toc296503028"/>
      <w:bookmarkStart w:id="813" w:name="_Toc337558728"/>
      <w:bookmarkStart w:id="814" w:name="_Toc296346529"/>
      <w:bookmarkStart w:id="815" w:name="_Toc351203496"/>
      <w:bookmarkStart w:id="816" w:name="_Toc532377181"/>
      <w:r>
        <w:rPr>
          <w:rFonts w:hint="eastAsia"/>
          <w:color w:val="auto"/>
          <w:sz w:val="21"/>
          <w:szCs w:val="21"/>
        </w:rPr>
        <w:t>1.1词语定义</w:t>
      </w:r>
      <w:bookmarkEnd w:id="812"/>
      <w:bookmarkEnd w:id="813"/>
      <w:bookmarkEnd w:id="814"/>
      <w:r>
        <w:rPr>
          <w:rFonts w:hint="eastAsia"/>
          <w:color w:val="auto"/>
          <w:sz w:val="21"/>
          <w:szCs w:val="21"/>
        </w:rPr>
        <w:t>与解释</w:t>
      </w:r>
      <w:bookmarkEnd w:id="815"/>
      <w:bookmarkEnd w:id="816"/>
    </w:p>
    <w:p w14:paraId="61A2F8C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合同协议书、通用合同条款、专用合同条款中的下列词语具有本款所赋予的含义：</w:t>
      </w:r>
    </w:p>
    <w:p w14:paraId="53ADAB01">
      <w:pPr>
        <w:pStyle w:val="7"/>
        <w:spacing w:before="0" w:beforeAutospacing="0" w:after="0" w:afterAutospacing="0" w:line="360" w:lineRule="auto"/>
        <w:ind w:firstLine="420" w:firstLineChars="200"/>
        <w:rPr>
          <w:b w:val="0"/>
          <w:bCs w:val="0"/>
          <w:color w:val="auto"/>
          <w:sz w:val="21"/>
          <w:szCs w:val="21"/>
        </w:rPr>
      </w:pPr>
      <w:bookmarkStart w:id="817" w:name="_Toc532377182"/>
      <w:r>
        <w:rPr>
          <w:rFonts w:hint="eastAsia"/>
          <w:b w:val="0"/>
          <w:bCs w:val="0"/>
          <w:color w:val="auto"/>
          <w:sz w:val="21"/>
          <w:szCs w:val="21"/>
        </w:rPr>
        <w:t>1.1.1 合同</w:t>
      </w:r>
      <w:bookmarkEnd w:id="817"/>
    </w:p>
    <w:p w14:paraId="6A857BB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 合同：是指根据法律规定和合同当事人约定具有约束力的文件，构成合同的文件包括合同协议书、中标通知书（如有）、投标函及其附录（如有）、专用合同条款</w:t>
      </w:r>
      <w:r>
        <w:rPr>
          <w:rFonts w:hint="eastAsia" w:ascii="宋体" w:hAnsi="宋体"/>
          <w:color w:val="auto"/>
          <w:szCs w:val="21"/>
        </w:rPr>
        <w:t>及其附件</w:t>
      </w:r>
      <w:r>
        <w:rPr>
          <w:rFonts w:hint="eastAsia" w:ascii="宋体" w:hAnsi="宋体"/>
          <w:color w:val="auto"/>
          <w:kern w:val="0"/>
          <w:szCs w:val="21"/>
        </w:rPr>
        <w:t>、通用合同条款、技术标准和要求、图纸、已标价工程量清单或预算书以及其他合同文件。</w:t>
      </w:r>
    </w:p>
    <w:p w14:paraId="6A7A4DD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1.1.1.2 合同协议书：是指构成合同的由发包人和承包人共同签署的称为“合同协议书”的书面文件。</w:t>
      </w:r>
    </w:p>
    <w:p w14:paraId="40BA92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1.1.1.3 中标通知书：是指构成合同的由发包人通知承包人中标的书面文件。</w:t>
      </w:r>
    </w:p>
    <w:p w14:paraId="64F19AF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1.1.1.4 投标函：是指构成合同的由承包人填写并签署的用于投标的称为“投标函”的文件。</w:t>
      </w:r>
    </w:p>
    <w:p w14:paraId="232B050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1.1.1.5 投标函附录：是指构成合同的附在投标函后的称为“投标函附录”的文件。</w:t>
      </w:r>
    </w:p>
    <w:p w14:paraId="55B0BD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1.1.1.6 技术标准和要求：是指构成合同的施工应当遵守的或指导施工的国家、行业或地方的技术标准和要求，以及合同约定的技术标准和要求。</w:t>
      </w:r>
    </w:p>
    <w:p w14:paraId="46EA2F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09B84E7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1.1.1.8 已标价工程量清单：是指构成合同的由承包人按照规定的格式和要求填写并标明价格的工程量清单，包括说明和表格。</w:t>
      </w:r>
    </w:p>
    <w:p w14:paraId="595363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1.1.1.9 预算书：是指构成合同的由承包人按照发包人规定的格式和要求编制的工程预算文件。</w:t>
      </w:r>
    </w:p>
    <w:p w14:paraId="4FB3DE6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1.1.1.10 其他合同文件：是指经合同当事人约定的与工程施工有关的具有合同约束力的文件或书面协议。合同当事人可以在专用合同条款中进行约定。</w:t>
      </w:r>
    </w:p>
    <w:p w14:paraId="7CC86B2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 合同当事人及其他相关方</w:t>
      </w:r>
    </w:p>
    <w:p w14:paraId="0AB070E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1.1.2.1 合同当事人：是指发包人和（或）承包人。</w:t>
      </w:r>
    </w:p>
    <w:p w14:paraId="6C076C4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1.1.2.2 发包人：是指与承包人签订合同协议书的当事人及取得该当事人资格的合法继承人。</w:t>
      </w:r>
    </w:p>
    <w:p w14:paraId="2C6525B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1.1.2.3 承包人：是指与发包人签订合同协议书的，具有相应工程施工承包资质的当事人及取得该当事人资格的合法继承人。</w:t>
      </w:r>
    </w:p>
    <w:p w14:paraId="6EDA86B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1.1.2.4 监理人：是指在专用合同条款中指明的，受发包人委托按照法律规定进行工程监督管理的法人或其他组织。</w:t>
      </w:r>
    </w:p>
    <w:p w14:paraId="5CCCDE0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1.1.2.5 设计人：是指在专用合同条款中指明的，受发包人委托负责工程设计并具备相应工程设计资质的法人或其他组织。</w:t>
      </w:r>
    </w:p>
    <w:p w14:paraId="079844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1.1.2.6 分包人：</w:t>
      </w:r>
      <w:bookmarkStart w:id="818" w:name="#go5"/>
      <w:bookmarkEnd w:id="818"/>
      <w:r>
        <w:rPr>
          <w:rFonts w:hint="eastAsia" w:ascii="宋体" w:hAnsi="宋体"/>
          <w:color w:val="auto"/>
          <w:kern w:val="0"/>
          <w:szCs w:val="21"/>
        </w:rPr>
        <w:t>是指按照法律规定和合同约定，分包部分工程或工作，并与承包人签订分包合同的具有相应资质的法人。</w:t>
      </w:r>
    </w:p>
    <w:p w14:paraId="7F5F14E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1.1.2.7 发包人代表：是指由发包人任命并派驻施工现场在发包人授权范围内行使发包人权利的人。</w:t>
      </w:r>
    </w:p>
    <w:p w14:paraId="77A2D9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1.1.2.8 项目经理：是指由承包人任命并派驻施工现场，在承包人授权范围内负责合同履行，且按照法律规定具有相应资格的项目负责人。</w:t>
      </w:r>
    </w:p>
    <w:p w14:paraId="3F58ED8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1.1.2.9 总监理工程师：是指由监理人任命并派驻施工现场进行工程监理的总负责人。</w:t>
      </w:r>
    </w:p>
    <w:p w14:paraId="3B8561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 工程和设备</w:t>
      </w:r>
    </w:p>
    <w:p w14:paraId="725C64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1.1.3.1 工程：是指与合同协议书中工程承包范围对应的永久工程和（或）临时工程。</w:t>
      </w:r>
    </w:p>
    <w:p w14:paraId="02740A2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1.1.3.2 永久工程：是指按合同约定建造并移交给发包人的工程，包括工程设备。</w:t>
      </w:r>
    </w:p>
    <w:p w14:paraId="6B21D4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1.1.3.3 临时工程：是指为完成合同约定的永久工程所修建的各类临时性工程，不包括施工设备。</w:t>
      </w:r>
    </w:p>
    <w:p w14:paraId="45C7CB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1.1.3.4 单位工程：是指在合同协议书中指明的，具备独立施工条件并能形成独立使用功能的永久工程。</w:t>
      </w:r>
    </w:p>
    <w:p w14:paraId="6E662FF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1.1.3.5 工程设备：是指构成永久工程的机电设备、金属结构设备、仪器及其他类似的设备和装置。</w:t>
      </w:r>
    </w:p>
    <w:p w14:paraId="4AB705B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1.1.3.6 施工设备：是指为完成合同约定的各项工作所需的设备、器具和其他物品，但不包括工程设备、临时工程和材料。</w:t>
      </w:r>
    </w:p>
    <w:p w14:paraId="1A0DFDE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1.1.3.7 施工现场：是指用于工程施工的场所，以及在专用合同条款中指明作为施工场所组成部分的其他场所，包括永久占地和临时占地。</w:t>
      </w:r>
    </w:p>
    <w:p w14:paraId="7A96F3E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1.1.3.8临时设施：是指为完成合同约定的各项工作所服务的临时性生产和生活设施。</w:t>
      </w:r>
    </w:p>
    <w:p w14:paraId="26EC7E6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1.1.3.9 永久占地：是指专用合同条款中指明为实施工程需永久占用的土地。</w:t>
      </w:r>
    </w:p>
    <w:p w14:paraId="65AC14D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1.1.3.10 临时占地：是指专用合同条款中指明为实施工程需要临时占用的土地。</w:t>
      </w:r>
    </w:p>
    <w:p w14:paraId="1F5EC03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 日期和期限</w:t>
      </w:r>
    </w:p>
    <w:p w14:paraId="765C7AA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89AA69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1.1.4.2 竣工日期：包括计划竣工日期和实际竣工日期。计划竣工日期是指合同协议书约定的竣工日期；实际竣工日期按照第13.2.3项〔竣工日期〕的约定确定。 </w:t>
      </w:r>
    </w:p>
    <w:p w14:paraId="41B8259F">
      <w:pPr>
        <w:spacing w:line="360" w:lineRule="auto"/>
        <w:ind w:firstLine="420" w:firstLineChars="200"/>
        <w:jc w:val="left"/>
        <w:rPr>
          <w:rFonts w:ascii="宋体" w:hAnsi="宋体"/>
          <w:color w:val="auto"/>
          <w:szCs w:val="21"/>
        </w:rPr>
      </w:pPr>
      <w:r>
        <w:rPr>
          <w:rFonts w:hint="eastAsia" w:ascii="宋体" w:hAnsi="宋体"/>
          <w:color w:val="auto"/>
          <w:kern w:val="0"/>
          <w:szCs w:val="21"/>
        </w:rPr>
        <w:t>1.1.4.3 工期：是指在合同协议书约定的承包人完成工程所需的期限，包括按照合同约定所作的期限变更。</w:t>
      </w:r>
    </w:p>
    <w:p w14:paraId="02B6629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1.1.4.4 缺陷责任期：是指承包人按照合同约定承担缺陷修复义务，且发包人预留质量保证金（已缴纳履约保证金的除外）的期限，自工程实际竣工日期起计算。</w:t>
      </w:r>
    </w:p>
    <w:p w14:paraId="3CAA389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1.1.4.5 保修期：是指承包人按照合同约定对工程承担保修责任的期限，从工程竣工验收合格之日起计算。</w:t>
      </w:r>
    </w:p>
    <w:p w14:paraId="5701070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1.1.4.6 基准日期：采购发包的工程以投标截止日前28天的日期为基准日期，直接发包的工程以合同签订日前28天的日期为基准日期。</w:t>
      </w:r>
    </w:p>
    <w:p w14:paraId="7B4DD5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1.1.4.7 天：除特别指明外，均指日历天。合同中按天计算时间的，开始当天不计入，从次日开始计算，期限最后一天的截止时间为当天24：00时。</w:t>
      </w:r>
    </w:p>
    <w:p w14:paraId="774EF74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 合同价格和费用</w:t>
      </w:r>
    </w:p>
    <w:p w14:paraId="0020EAD0">
      <w:pPr>
        <w:spacing w:line="360" w:lineRule="auto"/>
        <w:ind w:firstLine="420" w:firstLineChars="200"/>
        <w:jc w:val="left"/>
        <w:rPr>
          <w:rFonts w:ascii="宋体" w:hAnsi="宋体"/>
          <w:color w:val="auto"/>
          <w:szCs w:val="21"/>
        </w:rPr>
      </w:pPr>
      <w:r>
        <w:rPr>
          <w:rFonts w:hint="eastAsia" w:ascii="宋体" w:hAnsi="宋体"/>
          <w:color w:val="auto"/>
          <w:kern w:val="0"/>
          <w:szCs w:val="21"/>
        </w:rPr>
        <w:t>1.1.5.1 签约合同价：是指</w:t>
      </w:r>
      <w:r>
        <w:rPr>
          <w:rFonts w:hint="eastAsia" w:ascii="宋体" w:hAnsi="宋体"/>
          <w:color w:val="auto"/>
          <w:szCs w:val="21"/>
        </w:rPr>
        <w:t>发包人和承包人在合同协议书中确定的总金额，包括安全文明施工费、暂估价及暂列金额等。</w:t>
      </w:r>
    </w:p>
    <w:p w14:paraId="02C071A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1.1.5.2 合同价格：是指发包人用于支付承包人按照合同约定完成承包范围内全部工作的金额，包括合同履行过程中按合同约定发生的价格变化。</w:t>
      </w:r>
    </w:p>
    <w:p w14:paraId="17F235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1.1.5.3 费用：是指为履行合同所发生的或将要发生的所有必需的开支，包括管理费和应分摊的其他费用，但不包括利润。</w:t>
      </w:r>
    </w:p>
    <w:p w14:paraId="0ED64EE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1.1.5.4 暂估价：是指发包人在工程量清单或预算书中提供的用于支付必然发生但暂时不能确定价格的材料、工程设备的单价、专业工程以及服务工作的金额。</w:t>
      </w:r>
    </w:p>
    <w:p w14:paraId="25AA70A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27B1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1.1.5.6 计日工：是指合同履行过程中，承包人完成发包人提出的零星工作或需要采用计日工计价的变更工作时，按合同中约定的单价计价的一种方式。</w:t>
      </w:r>
    </w:p>
    <w:p w14:paraId="59E45E40">
      <w:pPr>
        <w:spacing w:line="360" w:lineRule="auto"/>
        <w:ind w:firstLine="420" w:firstLineChars="200"/>
        <w:jc w:val="left"/>
        <w:rPr>
          <w:rFonts w:ascii="宋体" w:hAnsi="宋体"/>
          <w:color w:val="auto"/>
          <w:szCs w:val="21"/>
        </w:rPr>
      </w:pPr>
      <w:r>
        <w:rPr>
          <w:rFonts w:hint="eastAsia" w:ascii="宋体" w:hAnsi="宋体"/>
          <w:color w:val="auto"/>
          <w:kern w:val="0"/>
          <w:szCs w:val="21"/>
        </w:rPr>
        <w:t>1.1.5.7 质量保证金</w:t>
      </w:r>
      <w:bookmarkStart w:id="819" w:name="#go2"/>
      <w:bookmarkEnd w:id="819"/>
      <w:r>
        <w:rPr>
          <w:rFonts w:hint="eastAsia" w:ascii="宋体" w:hAnsi="宋体"/>
          <w:color w:val="auto"/>
          <w:kern w:val="0"/>
          <w:szCs w:val="21"/>
        </w:rPr>
        <w:t>：是指按照第15.3款〔质量保证金〕约定承包人用于保证其在缺陷责任期内履行缺陷修补义务的担保</w:t>
      </w:r>
      <w:r>
        <w:rPr>
          <w:rFonts w:hint="eastAsia" w:ascii="宋体" w:hAnsi="宋体"/>
          <w:color w:val="auto"/>
          <w:szCs w:val="21"/>
        </w:rPr>
        <w:t>。</w:t>
      </w:r>
    </w:p>
    <w:p w14:paraId="12AC6E4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1.1.5.8 总价项目：是指在现行国家、行业以及地方的计量规则中无工程量计算规则，在已标价工程量清单或预算书中以总价或以费率形式计算的项目。</w:t>
      </w:r>
    </w:p>
    <w:p w14:paraId="2D2C0FC0">
      <w:pPr>
        <w:spacing w:line="360" w:lineRule="auto"/>
        <w:ind w:firstLine="420" w:firstLineChars="200"/>
        <w:jc w:val="left"/>
        <w:rPr>
          <w:rFonts w:ascii="宋体" w:hAnsi="宋体"/>
          <w:color w:val="auto"/>
          <w:szCs w:val="21"/>
        </w:rPr>
      </w:pPr>
      <w:r>
        <w:rPr>
          <w:rFonts w:hint="eastAsia" w:ascii="宋体" w:hAnsi="宋体"/>
          <w:color w:val="auto"/>
          <w:szCs w:val="21"/>
        </w:rPr>
        <w:t>1.1.6 其他</w:t>
      </w:r>
    </w:p>
    <w:p w14:paraId="3C505A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1.1.6.1 书面形式：是指合同文件、信函、电报、传真等可以有形地表现所载内容的形式。</w:t>
      </w:r>
    </w:p>
    <w:p w14:paraId="154A7C5D">
      <w:pPr>
        <w:pStyle w:val="7"/>
        <w:spacing w:before="0" w:beforeAutospacing="0" w:after="0" w:afterAutospacing="0" w:line="360" w:lineRule="auto"/>
        <w:ind w:firstLine="422" w:firstLineChars="200"/>
        <w:rPr>
          <w:color w:val="auto"/>
          <w:sz w:val="21"/>
          <w:szCs w:val="21"/>
        </w:rPr>
      </w:pPr>
      <w:bookmarkStart w:id="820" w:name="_Toc532377183"/>
      <w:r>
        <w:rPr>
          <w:rFonts w:hint="eastAsia"/>
          <w:color w:val="auto"/>
          <w:sz w:val="21"/>
          <w:szCs w:val="21"/>
        </w:rPr>
        <w:t>1.2 语言文字</w:t>
      </w:r>
      <w:bookmarkEnd w:id="820"/>
    </w:p>
    <w:p w14:paraId="2FE5C9B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合同以中国的汉语简体文字编写、解释和说明。合同当事人在专用合同条款中约定使用两种以上语言时，汉语为优先解释和说明合同的语言。</w:t>
      </w:r>
    </w:p>
    <w:p w14:paraId="18B4AD0D">
      <w:pPr>
        <w:pStyle w:val="7"/>
        <w:spacing w:before="0" w:beforeAutospacing="0" w:after="0" w:afterAutospacing="0" w:line="360" w:lineRule="auto"/>
        <w:ind w:firstLine="422" w:firstLineChars="200"/>
        <w:rPr>
          <w:color w:val="auto"/>
          <w:sz w:val="21"/>
          <w:szCs w:val="21"/>
        </w:rPr>
      </w:pPr>
      <w:bookmarkStart w:id="821" w:name="_Toc351203498"/>
      <w:bookmarkStart w:id="822" w:name="_Toc337558730"/>
      <w:bookmarkStart w:id="823" w:name="_Toc296503030"/>
      <w:bookmarkStart w:id="824" w:name="_Toc532377184"/>
      <w:bookmarkStart w:id="825" w:name="_Toc296346531"/>
      <w:r>
        <w:rPr>
          <w:rFonts w:hint="eastAsia"/>
          <w:color w:val="auto"/>
          <w:sz w:val="21"/>
          <w:szCs w:val="21"/>
        </w:rPr>
        <w:t>1.3法律</w:t>
      </w:r>
      <w:bookmarkEnd w:id="821"/>
      <w:bookmarkEnd w:id="822"/>
      <w:bookmarkEnd w:id="823"/>
      <w:bookmarkEnd w:id="824"/>
      <w:bookmarkEnd w:id="825"/>
    </w:p>
    <w:p w14:paraId="027EA0F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合同所称法律是指中华人民共和国法律、行政法规、部门规章，以及工程所在地的地方性法规、自治条例、单行条例和地方政府规章等。</w:t>
      </w:r>
    </w:p>
    <w:p w14:paraId="2980C38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合同当事人可以在专用合同条款中约定合同适用的其他规范性文件。</w:t>
      </w:r>
    </w:p>
    <w:p w14:paraId="56BC1E3C">
      <w:pPr>
        <w:pStyle w:val="7"/>
        <w:spacing w:before="0" w:beforeAutospacing="0" w:after="0" w:afterAutospacing="0" w:line="360" w:lineRule="auto"/>
        <w:ind w:firstLine="422" w:firstLineChars="200"/>
        <w:rPr>
          <w:color w:val="auto"/>
          <w:sz w:val="21"/>
          <w:szCs w:val="21"/>
        </w:rPr>
      </w:pPr>
      <w:bookmarkStart w:id="826" w:name="_Toc532377185"/>
      <w:bookmarkStart w:id="827" w:name="_Toc351203499"/>
      <w:r>
        <w:rPr>
          <w:rFonts w:hint="eastAsia"/>
          <w:color w:val="auto"/>
          <w:sz w:val="21"/>
          <w:szCs w:val="21"/>
        </w:rPr>
        <w:t>1.4 标准和规范</w:t>
      </w:r>
      <w:bookmarkEnd w:id="826"/>
      <w:bookmarkEnd w:id="827"/>
    </w:p>
    <w:p w14:paraId="47ECA40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1.4.1 适用于工程的国家标准、行业标准、工程所在地的地方性标准，以及相应的规范、规程等，合同当事人有特别要求的，应在专用合同条款中约定。</w:t>
      </w:r>
    </w:p>
    <w:p w14:paraId="2CE456A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1.4.2 发包人要求使用国外标准、规范的，发包人负责提供原文版本和中文译本，并在专用合同条款中约定提供标准规范的名称、份数和时间。</w:t>
      </w:r>
    </w:p>
    <w:p w14:paraId="130F414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80CFFA7">
      <w:pPr>
        <w:pStyle w:val="7"/>
        <w:spacing w:before="0" w:beforeAutospacing="0" w:after="0" w:afterAutospacing="0" w:line="360" w:lineRule="auto"/>
        <w:ind w:firstLine="422" w:firstLineChars="200"/>
        <w:rPr>
          <w:color w:val="auto"/>
          <w:sz w:val="21"/>
          <w:szCs w:val="21"/>
        </w:rPr>
      </w:pPr>
      <w:bookmarkStart w:id="828" w:name="_Toc351203500"/>
      <w:bookmarkStart w:id="829" w:name="_Toc532377186"/>
      <w:r>
        <w:rPr>
          <w:rFonts w:hint="eastAsia"/>
          <w:color w:val="auto"/>
          <w:sz w:val="21"/>
          <w:szCs w:val="21"/>
        </w:rPr>
        <w:t>1</w:t>
      </w:r>
      <w:bookmarkStart w:id="830" w:name="_Toc337558731"/>
      <w:bookmarkStart w:id="831" w:name="_Toc296346532"/>
      <w:bookmarkStart w:id="832" w:name="_Toc296503031"/>
      <w:r>
        <w:rPr>
          <w:rFonts w:hint="eastAsia"/>
          <w:color w:val="auto"/>
          <w:sz w:val="21"/>
          <w:szCs w:val="21"/>
        </w:rPr>
        <w:t>.5 合同文件的优先顺序</w:t>
      </w:r>
      <w:bookmarkEnd w:id="828"/>
      <w:bookmarkEnd w:id="829"/>
    </w:p>
    <w:bookmarkEnd w:id="830"/>
    <w:bookmarkEnd w:id="831"/>
    <w:bookmarkEnd w:id="832"/>
    <w:p w14:paraId="0CB776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组成合同的各项文件应互相解释，互为说明。除专用合同条款另有约定外，解释合同文件的优先顺序如下：</w:t>
      </w:r>
    </w:p>
    <w:p w14:paraId="309EE85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（1）合同协议书；</w:t>
      </w:r>
    </w:p>
    <w:p w14:paraId="303C386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（2）中标通知书（如有）；</w:t>
      </w:r>
    </w:p>
    <w:p w14:paraId="4460085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（3）投标函及其附录（如有）；</w:t>
      </w:r>
    </w:p>
    <w:p w14:paraId="0587CB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（4）专用合同条款及其附件；</w:t>
      </w:r>
    </w:p>
    <w:p w14:paraId="359348F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（5）通用合同条款；</w:t>
      </w:r>
    </w:p>
    <w:p w14:paraId="6E87B5F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（6）技术标准和要求；</w:t>
      </w:r>
    </w:p>
    <w:p w14:paraId="73F78D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（7）图纸；</w:t>
      </w:r>
    </w:p>
    <w:p w14:paraId="437089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（8）已标价工程量清单或预算书；</w:t>
      </w:r>
    </w:p>
    <w:p w14:paraId="45D6FF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（9）其他合同文件。</w:t>
      </w:r>
    </w:p>
    <w:p w14:paraId="56741D0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上述各项合同文件包括合同当事人就该项合同文件所作出的补充和修改，属于同一类内容的文件，应以最新签署的为准。</w:t>
      </w:r>
    </w:p>
    <w:p w14:paraId="55BB1C0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在合同订立及履行过程中形成的与合同有关的文件均构成合同文件组成部分，并根据其性质确定优先解释顺序。</w:t>
      </w:r>
    </w:p>
    <w:p w14:paraId="23FBD835">
      <w:pPr>
        <w:pStyle w:val="7"/>
        <w:spacing w:before="0" w:beforeAutospacing="0" w:after="0" w:afterAutospacing="0" w:line="360" w:lineRule="auto"/>
        <w:ind w:firstLine="422" w:firstLineChars="200"/>
        <w:rPr>
          <w:color w:val="auto"/>
          <w:sz w:val="21"/>
          <w:szCs w:val="21"/>
        </w:rPr>
      </w:pPr>
      <w:bookmarkStart w:id="833" w:name="_Toc351203501"/>
      <w:bookmarkStart w:id="834" w:name="_Toc532377187"/>
      <w:r>
        <w:rPr>
          <w:rFonts w:hint="eastAsia"/>
          <w:color w:val="auto"/>
          <w:sz w:val="21"/>
          <w:szCs w:val="21"/>
        </w:rPr>
        <w:t>1</w:t>
      </w:r>
      <w:bookmarkStart w:id="835" w:name="_Toc337558732"/>
      <w:bookmarkStart w:id="836" w:name="_Toc296503032"/>
      <w:bookmarkStart w:id="837" w:name="_Toc296346533"/>
      <w:r>
        <w:rPr>
          <w:rFonts w:hint="eastAsia"/>
          <w:color w:val="auto"/>
          <w:sz w:val="21"/>
          <w:szCs w:val="21"/>
        </w:rPr>
        <w:t>.6图纸和承包人文件</w:t>
      </w:r>
      <w:bookmarkEnd w:id="833"/>
      <w:bookmarkEnd w:id="834"/>
    </w:p>
    <w:bookmarkEnd w:id="835"/>
    <w:bookmarkEnd w:id="836"/>
    <w:bookmarkEnd w:id="837"/>
    <w:p w14:paraId="45BFCB5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 图纸的提供和交底</w:t>
      </w:r>
    </w:p>
    <w:p w14:paraId="1E1D66A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031BFE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因发包人未按合同约定提供图纸导致承包人费用增加和（或）工期延误的，按照第7.5.1项〔因发包人原因导致工期延误〕约定办理。</w:t>
      </w:r>
    </w:p>
    <w:p w14:paraId="5EE0B1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 图纸的错误</w:t>
      </w:r>
    </w:p>
    <w:p w14:paraId="4A4253C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0AD58B9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1.6.3 图纸的修改和补充</w:t>
      </w:r>
    </w:p>
    <w:p w14:paraId="045451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图纸需要修改和补充的，应经图纸原设计人及审批部门同意，并由监理人在工程或工程相应部位施工前将修改后的图纸或补充图纸提交给承包人，承包人应按修改或补充后的图纸施工。</w:t>
      </w:r>
    </w:p>
    <w:p w14:paraId="32AFCCE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1.6.4 承包人文件</w:t>
      </w:r>
    </w:p>
    <w:p w14:paraId="60F665D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承包人应按照专用合同条款的约定提供应当由其编制的与工程施工有关的文件，并按照专用合同条款约定的期限、数量和形式提交监理人，并由监理人报送发包人。</w:t>
      </w:r>
    </w:p>
    <w:p w14:paraId="6A7349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757857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1.6.5 图纸和承包人文件的保管</w:t>
      </w:r>
    </w:p>
    <w:p w14:paraId="0BFE441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除专用合同条款另有约定外，承包人应在施工现场另外保存一套完整的图纸和承包人文件，供发包人、监理人及有关人员进行工程检查时使用。</w:t>
      </w:r>
    </w:p>
    <w:p w14:paraId="6661EB99">
      <w:pPr>
        <w:pStyle w:val="7"/>
        <w:spacing w:before="0" w:beforeAutospacing="0" w:after="0" w:afterAutospacing="0" w:line="360" w:lineRule="auto"/>
        <w:ind w:firstLine="422" w:firstLineChars="200"/>
        <w:rPr>
          <w:color w:val="auto"/>
          <w:sz w:val="21"/>
          <w:szCs w:val="21"/>
        </w:rPr>
      </w:pPr>
      <w:bookmarkStart w:id="838" w:name="_Toc351203502"/>
      <w:bookmarkStart w:id="839" w:name="_Toc532377188"/>
      <w:r>
        <w:rPr>
          <w:rFonts w:hint="eastAsia"/>
          <w:color w:val="auto"/>
          <w:sz w:val="21"/>
          <w:szCs w:val="21"/>
        </w:rPr>
        <w:t>1</w:t>
      </w:r>
      <w:bookmarkStart w:id="840" w:name="_Toc337558733"/>
      <w:bookmarkStart w:id="841" w:name="_Toc296503033"/>
      <w:bookmarkStart w:id="842" w:name="_Toc296346534"/>
      <w:r>
        <w:rPr>
          <w:rFonts w:hint="eastAsia"/>
          <w:color w:val="auto"/>
          <w:sz w:val="21"/>
          <w:szCs w:val="21"/>
        </w:rPr>
        <w:t>.7联络</w:t>
      </w:r>
      <w:bookmarkEnd w:id="838"/>
      <w:bookmarkEnd w:id="839"/>
    </w:p>
    <w:bookmarkEnd w:id="840"/>
    <w:bookmarkEnd w:id="841"/>
    <w:bookmarkEnd w:id="842"/>
    <w:p w14:paraId="2E4834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1.7.1 与合同有关的通知、批准、证明、证书、指示、指令、要求、请求、同意、意见、确定和决定等，均应采用书面形式，并应在合同约定的期限内送达接收人和送达地点。</w:t>
      </w:r>
    </w:p>
    <w:p w14:paraId="06EEEEC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1.7.2 发包人和承包人应在专用合同条款中约定各自的送达接收人和送达地点。任何一方合同当事人指定的接收人或送达地点发生变动的，应提前3天以书面形式通知对方。</w:t>
      </w:r>
    </w:p>
    <w:p w14:paraId="3ECBA07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 发包人和承包人应当及时签收另一方送达至送达地点和指定接收人的来往信函。拒不签收的，由此增加的费用和（或）延误的工期由拒绝接收一方承担。</w:t>
      </w:r>
    </w:p>
    <w:p w14:paraId="24917CDF">
      <w:pPr>
        <w:pStyle w:val="7"/>
        <w:spacing w:before="0" w:beforeAutospacing="0" w:after="0" w:afterAutospacing="0" w:line="360" w:lineRule="auto"/>
        <w:ind w:firstLine="422" w:firstLineChars="200"/>
        <w:rPr>
          <w:color w:val="auto"/>
          <w:sz w:val="21"/>
          <w:szCs w:val="21"/>
        </w:rPr>
      </w:pPr>
      <w:bookmarkStart w:id="843" w:name="_Toc351203503"/>
      <w:bookmarkStart w:id="844" w:name="_Toc532377189"/>
      <w:r>
        <w:rPr>
          <w:rFonts w:hint="eastAsia"/>
          <w:color w:val="auto"/>
          <w:sz w:val="21"/>
          <w:szCs w:val="21"/>
        </w:rPr>
        <w:t>1</w:t>
      </w:r>
      <w:bookmarkStart w:id="845" w:name="_Toc337558734"/>
      <w:bookmarkStart w:id="846" w:name="_Toc296346536"/>
      <w:bookmarkStart w:id="847" w:name="_Toc296503035"/>
      <w:r>
        <w:rPr>
          <w:rFonts w:hint="eastAsia"/>
          <w:color w:val="auto"/>
          <w:sz w:val="21"/>
          <w:szCs w:val="21"/>
        </w:rPr>
        <w:t>.8严禁贿赂</w:t>
      </w:r>
      <w:bookmarkEnd w:id="843"/>
      <w:bookmarkEnd w:id="844"/>
    </w:p>
    <w:bookmarkEnd w:id="845"/>
    <w:bookmarkEnd w:id="846"/>
    <w:bookmarkEnd w:id="847"/>
    <w:p w14:paraId="3786AA9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合同当事人不得以贿赂或变相贿赂的方式，谋取非法利益或损害对方权益。因一方合同当事人的贿赂造成对方损失的，应赔偿损失，并承担相应的法律责任。</w:t>
      </w:r>
    </w:p>
    <w:p w14:paraId="05C72E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FAC43EC">
      <w:pPr>
        <w:pStyle w:val="7"/>
        <w:spacing w:before="0" w:beforeAutospacing="0" w:after="0" w:afterAutospacing="0" w:line="360" w:lineRule="auto"/>
        <w:ind w:firstLine="422" w:firstLineChars="200"/>
        <w:rPr>
          <w:color w:val="auto"/>
          <w:sz w:val="21"/>
          <w:szCs w:val="21"/>
        </w:rPr>
      </w:pPr>
      <w:bookmarkStart w:id="848" w:name="_Toc351203504"/>
      <w:bookmarkStart w:id="849" w:name="_Toc532377190"/>
      <w:r>
        <w:rPr>
          <w:rFonts w:hint="eastAsia"/>
          <w:color w:val="auto"/>
          <w:sz w:val="21"/>
          <w:szCs w:val="21"/>
        </w:rPr>
        <w:t>1</w:t>
      </w:r>
      <w:bookmarkStart w:id="850" w:name="_Toc296346537"/>
      <w:bookmarkStart w:id="851" w:name="_Toc337558735"/>
      <w:bookmarkStart w:id="852" w:name="_Toc296503036"/>
      <w:r>
        <w:rPr>
          <w:rFonts w:hint="eastAsia"/>
          <w:color w:val="auto"/>
          <w:sz w:val="21"/>
          <w:szCs w:val="21"/>
        </w:rPr>
        <w:t>.9化石、文物</w:t>
      </w:r>
      <w:bookmarkEnd w:id="848"/>
      <w:bookmarkEnd w:id="849"/>
    </w:p>
    <w:bookmarkEnd w:id="850"/>
    <w:bookmarkEnd w:id="851"/>
    <w:bookmarkEnd w:id="852"/>
    <w:p w14:paraId="48EC762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B3DFC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发包人、监理人和承包人应按有关政府行政管理部门要求采取妥善的保护措施，由此增加的费用和（或）延误的工期由发包人承担。</w:t>
      </w:r>
    </w:p>
    <w:p w14:paraId="28D6863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承包人发现文物后不及时报告或隐瞒不报，致使文物丢失或损坏的，应赔偿损失，并承担相应的法律责任。</w:t>
      </w:r>
    </w:p>
    <w:p w14:paraId="5304941E">
      <w:pPr>
        <w:pStyle w:val="7"/>
        <w:spacing w:before="0" w:beforeAutospacing="0" w:after="0" w:afterAutospacing="0" w:line="360" w:lineRule="auto"/>
        <w:ind w:firstLine="422" w:firstLineChars="200"/>
        <w:rPr>
          <w:color w:val="auto"/>
          <w:sz w:val="21"/>
          <w:szCs w:val="21"/>
        </w:rPr>
      </w:pPr>
      <w:bookmarkStart w:id="853" w:name="_Toc351203505"/>
      <w:bookmarkStart w:id="854" w:name="_Toc532377191"/>
      <w:r>
        <w:rPr>
          <w:rFonts w:hint="eastAsia"/>
          <w:color w:val="auto"/>
          <w:sz w:val="21"/>
          <w:szCs w:val="21"/>
        </w:rPr>
        <w:t>1</w:t>
      </w:r>
      <w:bookmarkStart w:id="855" w:name="_Toc337558736"/>
      <w:r>
        <w:rPr>
          <w:rFonts w:hint="eastAsia"/>
          <w:color w:val="auto"/>
          <w:sz w:val="21"/>
          <w:szCs w:val="21"/>
        </w:rPr>
        <w:t>.10交通运输</w:t>
      </w:r>
      <w:bookmarkEnd w:id="853"/>
      <w:bookmarkEnd w:id="854"/>
    </w:p>
    <w:bookmarkEnd w:id="855"/>
    <w:p w14:paraId="08516A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1.10.1 出入现场的权利</w:t>
      </w:r>
    </w:p>
    <w:p w14:paraId="5F01686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193E6CD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711D4E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1.10.2 场外交通</w:t>
      </w:r>
    </w:p>
    <w:p w14:paraId="6F43CFF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A73D2D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1.10.3场内交通</w:t>
      </w:r>
    </w:p>
    <w:p w14:paraId="60610D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99A552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349CEB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场外交通和场内交通的边界由合同当事人在专用合同条款中约定。</w:t>
      </w:r>
    </w:p>
    <w:p w14:paraId="70111F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1.10.4 超大件和超重件的运输</w:t>
      </w:r>
    </w:p>
    <w:p w14:paraId="642703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7307F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1.10.5 道路和桥梁的损坏责任</w:t>
      </w:r>
    </w:p>
    <w:p w14:paraId="5CBA1A2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因承包人运输造成施工场地内外公共道路和桥梁损坏的，由承包人承担修复损坏的全部费用和可能引起的赔偿。</w:t>
      </w:r>
    </w:p>
    <w:p w14:paraId="5239D8A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1.10.6 水路和航空运输</w:t>
      </w:r>
    </w:p>
    <w:p w14:paraId="4D4CB40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本款前述各项的内容适用于水路运输和航空运输，其中“道路”一词的涵义包括河道、航线、船闸、机场、码头、堤防以及水路或航空运输中其他相似结构物；“车辆”一词的涵义包括船舶和飞机等。</w:t>
      </w:r>
    </w:p>
    <w:p w14:paraId="0683FDBE">
      <w:pPr>
        <w:pStyle w:val="7"/>
        <w:spacing w:before="0" w:beforeAutospacing="0" w:after="0" w:afterAutospacing="0" w:line="360" w:lineRule="auto"/>
        <w:ind w:firstLine="422" w:firstLineChars="200"/>
        <w:rPr>
          <w:color w:val="auto"/>
          <w:sz w:val="21"/>
          <w:szCs w:val="21"/>
        </w:rPr>
      </w:pPr>
      <w:bookmarkStart w:id="856" w:name="_Toc351203506"/>
      <w:bookmarkStart w:id="857" w:name="_Toc532377192"/>
      <w:r>
        <w:rPr>
          <w:rFonts w:hint="eastAsia"/>
          <w:color w:val="auto"/>
          <w:sz w:val="21"/>
          <w:szCs w:val="21"/>
        </w:rPr>
        <w:t>1</w:t>
      </w:r>
      <w:bookmarkStart w:id="858" w:name="_Toc337558737"/>
      <w:bookmarkStart w:id="859" w:name="_Toc296503037"/>
      <w:bookmarkStart w:id="860" w:name="_Toc296346538"/>
      <w:r>
        <w:rPr>
          <w:rFonts w:hint="eastAsia"/>
          <w:color w:val="auto"/>
          <w:sz w:val="21"/>
          <w:szCs w:val="21"/>
        </w:rPr>
        <w:t>.11知识产权</w:t>
      </w:r>
      <w:bookmarkEnd w:id="856"/>
      <w:bookmarkEnd w:id="857"/>
      <w:bookmarkEnd w:id="858"/>
    </w:p>
    <w:bookmarkEnd w:id="859"/>
    <w:bookmarkEnd w:id="860"/>
    <w:p w14:paraId="6C10E74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187F7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BC64A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DCAFC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1.11.4 除专用合同条款另有约定外，承包人在合同签订前和签订时已确定采用的专利、专有技术、技术秘密的使用费已包含在签约合同价中。</w:t>
      </w:r>
    </w:p>
    <w:p w14:paraId="439A80D5">
      <w:pPr>
        <w:pStyle w:val="7"/>
        <w:spacing w:before="0" w:beforeAutospacing="0" w:after="0" w:afterAutospacing="0" w:line="360" w:lineRule="auto"/>
        <w:ind w:firstLine="422" w:firstLineChars="200"/>
        <w:rPr>
          <w:color w:val="auto"/>
          <w:sz w:val="21"/>
          <w:szCs w:val="21"/>
        </w:rPr>
      </w:pPr>
      <w:bookmarkStart w:id="861" w:name="_Toc532377193"/>
      <w:bookmarkStart w:id="862" w:name="_Toc351203507"/>
      <w:r>
        <w:rPr>
          <w:rFonts w:hint="eastAsia"/>
          <w:color w:val="auto"/>
          <w:sz w:val="21"/>
          <w:szCs w:val="21"/>
        </w:rPr>
        <w:t>1</w:t>
      </w:r>
      <w:bookmarkStart w:id="863" w:name="_Toc337558738"/>
      <w:r>
        <w:rPr>
          <w:rFonts w:hint="eastAsia"/>
          <w:color w:val="auto"/>
          <w:sz w:val="21"/>
          <w:szCs w:val="21"/>
        </w:rPr>
        <w:t>.12保密</w:t>
      </w:r>
      <w:bookmarkEnd w:id="861"/>
      <w:bookmarkEnd w:id="862"/>
    </w:p>
    <w:bookmarkEnd w:id="863"/>
    <w:p w14:paraId="6A4791B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除法律规定或合同另有约定外，未经发包人同意，承包人不得将发包人提供的图纸、文件以及声明需要保密的资料信息等商业秘密泄露给第三方。</w:t>
      </w:r>
    </w:p>
    <w:p w14:paraId="6C35AA2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除法律规定或合同另有约定外，未经承包人同意，发包人不得将承包人提供的技术秘密及声明需要保密的资料信息等商业秘密泄露给第三方。</w:t>
      </w:r>
    </w:p>
    <w:p w14:paraId="3C7326B4">
      <w:pPr>
        <w:pStyle w:val="7"/>
        <w:spacing w:before="0" w:beforeAutospacing="0" w:after="0" w:afterAutospacing="0" w:line="360" w:lineRule="auto"/>
        <w:ind w:firstLine="422" w:firstLineChars="200"/>
        <w:rPr>
          <w:color w:val="auto"/>
          <w:sz w:val="21"/>
          <w:szCs w:val="21"/>
        </w:rPr>
      </w:pPr>
      <w:bookmarkStart w:id="864" w:name="_Toc532377194"/>
      <w:bookmarkStart w:id="865" w:name="_Toc351203508"/>
      <w:r>
        <w:rPr>
          <w:rFonts w:hint="eastAsia"/>
          <w:color w:val="auto"/>
          <w:sz w:val="21"/>
          <w:szCs w:val="21"/>
        </w:rPr>
        <w:t>1.13工程量清单错误的修正</w:t>
      </w:r>
      <w:bookmarkEnd w:id="864"/>
      <w:bookmarkEnd w:id="865"/>
    </w:p>
    <w:p w14:paraId="7B4F78F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除专用合同条款另有约定外，发包人提供的工程量清单，应被认为是准确的和完整的。出现下列情形之一时，发包人应予以修正，并相应调整合同价格：</w:t>
      </w:r>
    </w:p>
    <w:p w14:paraId="434F2D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（1）工程量清单存在缺项、漏项的；</w:t>
      </w:r>
    </w:p>
    <w:p w14:paraId="293660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（2）工程量清单偏差超出专用合同条款约定的工程量偏差范围的；</w:t>
      </w:r>
    </w:p>
    <w:p w14:paraId="1EEBE65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（3）未按照国家现行计量规范强制性规定计量的。</w:t>
      </w:r>
    </w:p>
    <w:p w14:paraId="09914134">
      <w:pPr>
        <w:pStyle w:val="6"/>
        <w:keepNext/>
        <w:keepLines/>
        <w:spacing w:beforeLines="50" w:beforeAutospacing="0" w:afterLines="50" w:afterAutospacing="0" w:line="360" w:lineRule="auto"/>
        <w:jc w:val="both"/>
        <w:rPr>
          <w:color w:val="auto"/>
          <w:kern w:val="2"/>
          <w:sz w:val="21"/>
          <w:szCs w:val="21"/>
        </w:rPr>
      </w:pPr>
      <w:bookmarkStart w:id="866" w:name="_Toc351203509"/>
      <w:bookmarkStart w:id="867" w:name="_Toc532377195"/>
      <w:bookmarkStart w:id="868" w:name="_Toc532375588"/>
      <w:r>
        <w:rPr>
          <w:rFonts w:hint="eastAsia"/>
          <w:color w:val="auto"/>
          <w:kern w:val="2"/>
          <w:sz w:val="21"/>
          <w:szCs w:val="21"/>
        </w:rPr>
        <w:t>2</w:t>
      </w:r>
      <w:bookmarkStart w:id="869" w:name="_Toc337558739"/>
      <w:bookmarkStart w:id="870" w:name="_Toc296503038"/>
      <w:bookmarkStart w:id="871" w:name="_Toc296346539"/>
      <w:bookmarkStart w:id="872" w:name="OLE_LINK2"/>
      <w:r>
        <w:rPr>
          <w:rFonts w:hint="eastAsia"/>
          <w:color w:val="auto"/>
          <w:kern w:val="2"/>
          <w:sz w:val="21"/>
          <w:szCs w:val="21"/>
        </w:rPr>
        <w:t>. 发包人</w:t>
      </w:r>
      <w:bookmarkEnd w:id="866"/>
      <w:bookmarkEnd w:id="867"/>
      <w:bookmarkEnd w:id="868"/>
    </w:p>
    <w:bookmarkEnd w:id="869"/>
    <w:bookmarkEnd w:id="870"/>
    <w:bookmarkEnd w:id="871"/>
    <w:p w14:paraId="4E633E00">
      <w:pPr>
        <w:pStyle w:val="7"/>
        <w:spacing w:before="0" w:beforeAutospacing="0" w:after="0" w:afterAutospacing="0" w:line="360" w:lineRule="auto"/>
        <w:ind w:firstLine="422" w:firstLineChars="200"/>
        <w:rPr>
          <w:color w:val="auto"/>
          <w:sz w:val="21"/>
          <w:szCs w:val="21"/>
        </w:rPr>
      </w:pPr>
      <w:bookmarkStart w:id="873" w:name="_Toc532377196"/>
      <w:bookmarkStart w:id="874" w:name="_Toc351203510"/>
      <w:r>
        <w:rPr>
          <w:rFonts w:hint="eastAsia"/>
          <w:color w:val="auto"/>
          <w:sz w:val="21"/>
          <w:szCs w:val="21"/>
        </w:rPr>
        <w:t>2</w:t>
      </w:r>
      <w:bookmarkStart w:id="875" w:name="_Toc296503039"/>
      <w:bookmarkStart w:id="876" w:name="_Toc296346540"/>
      <w:bookmarkStart w:id="877" w:name="_Toc337558740"/>
      <w:r>
        <w:rPr>
          <w:rFonts w:hint="eastAsia"/>
          <w:color w:val="auto"/>
          <w:sz w:val="21"/>
          <w:szCs w:val="21"/>
        </w:rPr>
        <w:t>.1 许可或批准</w:t>
      </w:r>
      <w:bookmarkEnd w:id="873"/>
      <w:bookmarkEnd w:id="874"/>
    </w:p>
    <w:p w14:paraId="5D909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发包人应遵守法律，并办理法律规定由其办理的许可、批准或备案。施工所需临时用水、临时用电、中断道路交通、临时占道的许可或批准由承包人负责办理。</w:t>
      </w:r>
    </w:p>
    <w:p w14:paraId="1AFD7A7F">
      <w:pPr>
        <w:pStyle w:val="7"/>
        <w:spacing w:before="0" w:beforeAutospacing="0" w:after="0" w:afterAutospacing="0" w:line="360" w:lineRule="auto"/>
        <w:ind w:firstLine="422" w:firstLineChars="200"/>
        <w:rPr>
          <w:color w:val="auto"/>
          <w:sz w:val="21"/>
          <w:szCs w:val="21"/>
        </w:rPr>
      </w:pPr>
      <w:bookmarkStart w:id="878" w:name="_Toc532377197"/>
      <w:bookmarkStart w:id="879" w:name="_Toc351203511"/>
      <w:r>
        <w:rPr>
          <w:rFonts w:hint="eastAsia"/>
          <w:color w:val="auto"/>
          <w:sz w:val="21"/>
          <w:szCs w:val="21"/>
        </w:rPr>
        <w:t>2.2 发包人代表</w:t>
      </w:r>
      <w:bookmarkEnd w:id="878"/>
      <w:bookmarkEnd w:id="879"/>
    </w:p>
    <w:p w14:paraId="2E20724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8D2BA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发包人代表不能按照合同约定履行其职责及义务，并导致合同无法继续正常履行的，承包人可以要求发包人撤换发包人代表。</w:t>
      </w:r>
    </w:p>
    <w:p w14:paraId="2B8C7D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不属于法定必须监理的工程，监理人的职权可以由发包人代表或发包人指定的其他人员行使。</w:t>
      </w:r>
    </w:p>
    <w:p w14:paraId="1EF831D4">
      <w:pPr>
        <w:pStyle w:val="7"/>
        <w:spacing w:before="0" w:beforeAutospacing="0" w:after="0" w:afterAutospacing="0" w:line="360" w:lineRule="auto"/>
        <w:ind w:firstLine="422" w:firstLineChars="200"/>
        <w:rPr>
          <w:color w:val="auto"/>
          <w:sz w:val="21"/>
          <w:szCs w:val="21"/>
        </w:rPr>
      </w:pPr>
      <w:bookmarkStart w:id="880" w:name="_Toc532377198"/>
      <w:bookmarkStart w:id="881" w:name="_Toc351203512"/>
      <w:r>
        <w:rPr>
          <w:rFonts w:hint="eastAsia"/>
          <w:color w:val="auto"/>
          <w:sz w:val="21"/>
          <w:szCs w:val="21"/>
        </w:rPr>
        <w:t>2.3 发包人人员</w:t>
      </w:r>
      <w:bookmarkEnd w:id="880"/>
      <w:bookmarkEnd w:id="881"/>
    </w:p>
    <w:p w14:paraId="5076A03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发包人应要求在施工现场的发包人人员遵守法律及有关安全、质量、环境保护、文明施工等规定，并保障承包人免于承受因发包人人员未遵守上述要求给承包人造成的损失和责任。</w:t>
      </w:r>
    </w:p>
    <w:p w14:paraId="6AC699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发包人人员包括发包人代表及其他由发包人派驻施工现场的人员。</w:t>
      </w:r>
      <w:bookmarkEnd w:id="875"/>
      <w:bookmarkEnd w:id="876"/>
      <w:bookmarkEnd w:id="877"/>
    </w:p>
    <w:p w14:paraId="6937AA76">
      <w:pPr>
        <w:pStyle w:val="7"/>
        <w:spacing w:before="0" w:beforeAutospacing="0" w:after="0" w:afterAutospacing="0" w:line="360" w:lineRule="auto"/>
        <w:ind w:firstLine="422" w:firstLineChars="200"/>
        <w:rPr>
          <w:color w:val="auto"/>
          <w:sz w:val="21"/>
          <w:szCs w:val="21"/>
        </w:rPr>
      </w:pPr>
      <w:bookmarkStart w:id="882" w:name="_Toc351203513"/>
      <w:bookmarkStart w:id="883" w:name="_Toc532377199"/>
      <w:r>
        <w:rPr>
          <w:rFonts w:hint="eastAsia"/>
          <w:color w:val="auto"/>
          <w:sz w:val="21"/>
          <w:szCs w:val="21"/>
        </w:rPr>
        <w:t>2</w:t>
      </w:r>
      <w:bookmarkStart w:id="884" w:name="_Toc337558741"/>
      <w:bookmarkStart w:id="885" w:name="_Toc296503040"/>
      <w:bookmarkStart w:id="886" w:name="_Toc296346541"/>
      <w:r>
        <w:rPr>
          <w:rFonts w:hint="eastAsia"/>
          <w:color w:val="auto"/>
          <w:sz w:val="21"/>
          <w:szCs w:val="21"/>
        </w:rPr>
        <w:t>.4 施工现场、施工条件和基础资料的提供</w:t>
      </w:r>
      <w:bookmarkEnd w:id="882"/>
      <w:bookmarkEnd w:id="883"/>
      <w:bookmarkEnd w:id="884"/>
      <w:bookmarkEnd w:id="885"/>
      <w:bookmarkEnd w:id="886"/>
    </w:p>
    <w:p w14:paraId="613BE0F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2.4.1 提供施工现场</w:t>
      </w:r>
    </w:p>
    <w:p w14:paraId="6A5DDB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w:t>
      </w:r>
      <w:bookmarkEnd w:id="872"/>
      <w:r>
        <w:rPr>
          <w:rFonts w:hint="eastAsia" w:ascii="宋体" w:hAnsi="宋体"/>
          <w:color w:val="auto"/>
          <w:kern w:val="0"/>
          <w:szCs w:val="21"/>
        </w:rPr>
        <w:t>专用合同条款另有约定外，发包人应最迟于开工日期7天前向承包人移交施工现场。</w:t>
      </w:r>
    </w:p>
    <w:p w14:paraId="244C35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2.4.2 提供施工条件</w:t>
      </w:r>
    </w:p>
    <w:p w14:paraId="3E46A9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除专用合同条款另有约定外，发包人应负责提供施工所需要的条件，包括：</w:t>
      </w:r>
    </w:p>
    <w:p w14:paraId="66ACDCE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（1）将施工用水、电力、通讯线路等施工所必需的条件接至施工现场内；</w:t>
      </w:r>
    </w:p>
    <w:p w14:paraId="7989BA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（2）保证向承包人提供正常施工所需要的进入施工现场的交通条件；</w:t>
      </w:r>
    </w:p>
    <w:p w14:paraId="25807E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（3）协调处理施工现场周围地下管线和邻近建筑物、构筑物、古树名木的保护工作，并承担相关费用；</w:t>
      </w:r>
    </w:p>
    <w:p w14:paraId="6C5C09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（4）按照专用合同条款约定应提供的其他设施和条件。</w:t>
      </w:r>
    </w:p>
    <w:p w14:paraId="27229CF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2.4.3 提供基础资料</w:t>
      </w:r>
    </w:p>
    <w:p w14:paraId="5DC49A3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FDB2E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按照法律规定确需在开工后方能提供的基础资料，发包人应尽其努力及时地在相应工程施工前的合理期限内提供，合理期限应以不影响承包人的正常施工为限。</w:t>
      </w:r>
    </w:p>
    <w:p w14:paraId="4BB6317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2.4.4 逾期提供的责任</w:t>
      </w:r>
    </w:p>
    <w:p w14:paraId="5780ACB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因发包人原因未能按合同约定及时向承包人提供施工现场、施工条件、基础资料的，由发包人承担由此增加的费用和（或）延误的工期。</w:t>
      </w:r>
    </w:p>
    <w:p w14:paraId="324A95D6">
      <w:pPr>
        <w:pStyle w:val="7"/>
        <w:spacing w:before="0" w:beforeAutospacing="0" w:after="0" w:afterAutospacing="0" w:line="360" w:lineRule="auto"/>
        <w:ind w:firstLine="422" w:firstLineChars="200"/>
        <w:rPr>
          <w:color w:val="auto"/>
          <w:sz w:val="21"/>
          <w:szCs w:val="21"/>
        </w:rPr>
      </w:pPr>
      <w:bookmarkStart w:id="887" w:name="_Toc351203514"/>
      <w:bookmarkStart w:id="888" w:name="_Toc532377200"/>
      <w:r>
        <w:rPr>
          <w:rFonts w:hint="eastAsia"/>
          <w:color w:val="auto"/>
          <w:sz w:val="21"/>
          <w:szCs w:val="21"/>
        </w:rPr>
        <w:t>2</w:t>
      </w:r>
      <w:bookmarkStart w:id="889" w:name="_Toc337558745"/>
      <w:bookmarkStart w:id="890" w:name="_Toc296503042"/>
      <w:bookmarkStart w:id="891" w:name="_Toc296346543"/>
      <w:r>
        <w:rPr>
          <w:rFonts w:hint="eastAsia"/>
          <w:color w:val="auto"/>
          <w:sz w:val="21"/>
          <w:szCs w:val="21"/>
        </w:rPr>
        <w:t>.5 资</w:t>
      </w:r>
      <w:bookmarkEnd w:id="889"/>
      <w:bookmarkEnd w:id="890"/>
      <w:bookmarkEnd w:id="891"/>
      <w:r>
        <w:rPr>
          <w:rFonts w:hint="eastAsia"/>
          <w:color w:val="auto"/>
          <w:sz w:val="21"/>
          <w:szCs w:val="21"/>
        </w:rPr>
        <w:t>金来源证明及支付担保</w:t>
      </w:r>
      <w:bookmarkEnd w:id="887"/>
      <w:bookmarkEnd w:id="888"/>
    </w:p>
    <w:p w14:paraId="23EEF87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除专用合同条款另有约定外，发包人应在收到承包人要求提供资金来源证明的书面通知后28天内，向承包人提供能够按照合同约定支付合同价款的相应资金来源证明。</w:t>
      </w:r>
    </w:p>
    <w:p w14:paraId="6874F8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4B1E96A0">
      <w:pPr>
        <w:pStyle w:val="7"/>
        <w:spacing w:before="0" w:beforeAutospacing="0" w:after="0" w:afterAutospacing="0" w:line="360" w:lineRule="auto"/>
        <w:ind w:firstLine="422" w:firstLineChars="200"/>
        <w:rPr>
          <w:color w:val="auto"/>
          <w:sz w:val="21"/>
          <w:szCs w:val="21"/>
        </w:rPr>
      </w:pPr>
      <w:bookmarkStart w:id="892" w:name="_Toc532377201"/>
      <w:bookmarkStart w:id="893" w:name="_Toc351203515"/>
      <w:r>
        <w:rPr>
          <w:rFonts w:hint="eastAsia"/>
          <w:color w:val="auto"/>
          <w:sz w:val="21"/>
          <w:szCs w:val="21"/>
        </w:rPr>
        <w:t>2.6 支付合同价款</w:t>
      </w:r>
      <w:bookmarkEnd w:id="892"/>
      <w:bookmarkEnd w:id="893"/>
    </w:p>
    <w:p w14:paraId="5BE554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发包人应按合同约定向承包人及时支付合同价款。</w:t>
      </w:r>
    </w:p>
    <w:p w14:paraId="3C3A4A6B">
      <w:pPr>
        <w:pStyle w:val="7"/>
        <w:spacing w:before="0" w:beforeAutospacing="0" w:after="0" w:afterAutospacing="0" w:line="360" w:lineRule="auto"/>
        <w:ind w:firstLine="422" w:firstLineChars="200"/>
        <w:rPr>
          <w:color w:val="auto"/>
          <w:sz w:val="21"/>
          <w:szCs w:val="21"/>
        </w:rPr>
      </w:pPr>
      <w:bookmarkStart w:id="894" w:name="_Toc532377202"/>
      <w:bookmarkStart w:id="895" w:name="_Toc351203516"/>
      <w:r>
        <w:rPr>
          <w:rFonts w:hint="eastAsia"/>
          <w:color w:val="auto"/>
          <w:sz w:val="21"/>
          <w:szCs w:val="21"/>
        </w:rPr>
        <w:t>2.7 组织竣工验收</w:t>
      </w:r>
      <w:bookmarkEnd w:id="894"/>
      <w:bookmarkEnd w:id="895"/>
    </w:p>
    <w:p w14:paraId="06507F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发包人应按合同约定及时组织竣工验收。</w:t>
      </w:r>
    </w:p>
    <w:p w14:paraId="5B6312DD">
      <w:pPr>
        <w:pStyle w:val="7"/>
        <w:spacing w:before="0" w:beforeAutospacing="0" w:after="0" w:afterAutospacing="0" w:line="360" w:lineRule="auto"/>
        <w:ind w:firstLine="422" w:firstLineChars="200"/>
        <w:rPr>
          <w:color w:val="auto"/>
          <w:sz w:val="21"/>
          <w:szCs w:val="21"/>
        </w:rPr>
      </w:pPr>
      <w:bookmarkStart w:id="896" w:name="_Toc532377203"/>
      <w:bookmarkStart w:id="897" w:name="_Toc351203517"/>
      <w:r>
        <w:rPr>
          <w:rFonts w:hint="eastAsia"/>
          <w:color w:val="auto"/>
          <w:sz w:val="21"/>
          <w:szCs w:val="21"/>
        </w:rPr>
        <w:t>2.8 现场统一管理协议</w:t>
      </w:r>
      <w:bookmarkEnd w:id="896"/>
      <w:bookmarkEnd w:id="897"/>
    </w:p>
    <w:p w14:paraId="6442F8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发包人应与承包人、由发包人直接发包的专业工程的承包人签订施工现场统一管理协议，明确各方的权利义务。施工现场统一管理协议作为专用合同条款的附件。</w:t>
      </w:r>
    </w:p>
    <w:p w14:paraId="0A58301C">
      <w:pPr>
        <w:pStyle w:val="6"/>
        <w:keepNext/>
        <w:keepLines/>
        <w:spacing w:beforeLines="50" w:beforeAutospacing="0" w:afterLines="50" w:afterAutospacing="0" w:line="360" w:lineRule="auto"/>
        <w:jc w:val="both"/>
        <w:rPr>
          <w:bCs w:val="0"/>
          <w:color w:val="auto"/>
          <w:kern w:val="2"/>
          <w:sz w:val="21"/>
          <w:szCs w:val="21"/>
        </w:rPr>
      </w:pPr>
      <w:bookmarkStart w:id="898" w:name="_Toc532377204"/>
      <w:bookmarkStart w:id="899" w:name="_Toc351203518"/>
      <w:bookmarkStart w:id="900" w:name="_Toc532375589"/>
      <w:r>
        <w:rPr>
          <w:rFonts w:hint="eastAsia"/>
          <w:color w:val="auto"/>
          <w:kern w:val="2"/>
          <w:sz w:val="21"/>
          <w:szCs w:val="21"/>
        </w:rPr>
        <w:t>3</w:t>
      </w:r>
      <w:bookmarkStart w:id="901" w:name="_Toc337558746"/>
      <w:bookmarkStart w:id="902" w:name="_Toc296346546"/>
      <w:bookmarkStart w:id="903" w:name="_Toc296503045"/>
      <w:r>
        <w:rPr>
          <w:rFonts w:hint="eastAsia"/>
          <w:color w:val="auto"/>
          <w:kern w:val="2"/>
          <w:sz w:val="21"/>
          <w:szCs w:val="21"/>
        </w:rPr>
        <w:t>. 承包人</w:t>
      </w:r>
      <w:bookmarkEnd w:id="898"/>
      <w:bookmarkEnd w:id="899"/>
      <w:bookmarkEnd w:id="900"/>
    </w:p>
    <w:bookmarkEnd w:id="901"/>
    <w:bookmarkEnd w:id="902"/>
    <w:bookmarkEnd w:id="903"/>
    <w:p w14:paraId="36C9C589">
      <w:pPr>
        <w:pStyle w:val="7"/>
        <w:spacing w:before="0" w:beforeAutospacing="0" w:after="0" w:afterAutospacing="0" w:line="360" w:lineRule="auto"/>
        <w:ind w:firstLine="422" w:firstLineChars="200"/>
        <w:rPr>
          <w:color w:val="auto"/>
          <w:sz w:val="21"/>
          <w:szCs w:val="21"/>
        </w:rPr>
      </w:pPr>
      <w:bookmarkStart w:id="904" w:name="_Toc532377205"/>
      <w:bookmarkStart w:id="905" w:name="_Toc351203519"/>
      <w:r>
        <w:rPr>
          <w:rFonts w:hint="eastAsia"/>
          <w:color w:val="auto"/>
          <w:sz w:val="21"/>
          <w:szCs w:val="21"/>
        </w:rPr>
        <w:t>3</w:t>
      </w:r>
      <w:bookmarkStart w:id="906" w:name="_Toc296346547"/>
      <w:bookmarkStart w:id="907" w:name="_Toc296503046"/>
      <w:bookmarkStart w:id="908" w:name="_Toc337558747"/>
      <w:r>
        <w:rPr>
          <w:rFonts w:hint="eastAsia"/>
          <w:color w:val="auto"/>
          <w:sz w:val="21"/>
          <w:szCs w:val="21"/>
        </w:rPr>
        <w:t>.1 承包人的一般义务</w:t>
      </w:r>
      <w:bookmarkEnd w:id="904"/>
      <w:bookmarkEnd w:id="905"/>
    </w:p>
    <w:bookmarkEnd w:id="906"/>
    <w:bookmarkEnd w:id="907"/>
    <w:bookmarkEnd w:id="908"/>
    <w:p w14:paraId="00B6C01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承包人在履行合同过程中应遵守法律和工程建设标准规范，并履行以下义务：</w:t>
      </w:r>
    </w:p>
    <w:p w14:paraId="51EE86F7">
      <w:pPr>
        <w:numPr>
          <w:ilvl w:val="0"/>
          <w:numId w:val="3"/>
        </w:num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办理法律规定应由承包人办理的许可和批准，并将办理结果书面报送发包人留存；</w:t>
      </w:r>
    </w:p>
    <w:p w14:paraId="74E8B3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（2）按法律规定和合同约定完成工程，并在保修期内承担保修义务；</w:t>
      </w:r>
    </w:p>
    <w:p w14:paraId="4903E41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（3）按法律规定和合同约定采取施工安全和环境保护措施，办理工伤保险，确保工程及人员、材料、设备和设施的安全；</w:t>
      </w:r>
    </w:p>
    <w:p w14:paraId="275B12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（4）按合同约定的工作内容和施工进度要求，编制施工组织设计和施工措施计划，并对所有施工作业和施工方法的完备性和安全可靠性负责；</w:t>
      </w:r>
    </w:p>
    <w:p w14:paraId="0DB556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17A79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（6）按照第6.3款〔环境保护〕约定负责施工场地及其周边环境与生态的保护工作；</w:t>
      </w:r>
    </w:p>
    <w:p w14:paraId="08DC69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（7）按第6.1款〔安全文明施工〕约定采取施工安全措施，确保工程及其人员、材料、设备和设施的安全，防止因工程施工造成的人身伤害和财产损失；</w:t>
      </w:r>
    </w:p>
    <w:p w14:paraId="4DB5197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（8）将发包人按合同约定支付的各项价款专用于合同工程，且应及时支付其雇用人员工资，并及时向分包人支付合同价款；</w:t>
      </w:r>
    </w:p>
    <w:p w14:paraId="6237866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（9）按照法律规定和合同约定编制竣工资料，完成竣工资料立卷及归档，并按专用合同条款约定的竣工资料的套数、内容、时间等要求移交发包人；</w:t>
      </w:r>
    </w:p>
    <w:p w14:paraId="4EF832C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（10）应履行的其他义务。</w:t>
      </w:r>
    </w:p>
    <w:p w14:paraId="491FE170">
      <w:pPr>
        <w:pStyle w:val="7"/>
        <w:spacing w:before="0" w:beforeAutospacing="0" w:after="0" w:afterAutospacing="0" w:line="360" w:lineRule="auto"/>
        <w:ind w:firstLine="422" w:firstLineChars="200"/>
        <w:rPr>
          <w:color w:val="auto"/>
          <w:sz w:val="21"/>
          <w:szCs w:val="21"/>
        </w:rPr>
      </w:pPr>
      <w:bookmarkStart w:id="909" w:name="_Toc351203520"/>
      <w:bookmarkStart w:id="910" w:name="_Toc532377206"/>
      <w:r>
        <w:rPr>
          <w:rFonts w:hint="eastAsia"/>
          <w:color w:val="auto"/>
          <w:sz w:val="21"/>
          <w:szCs w:val="21"/>
        </w:rPr>
        <w:t>3</w:t>
      </w:r>
      <w:bookmarkStart w:id="911" w:name="_Toc296503047"/>
      <w:bookmarkStart w:id="912" w:name="_Toc337558748"/>
      <w:bookmarkStart w:id="913" w:name="_Toc296346548"/>
      <w:r>
        <w:rPr>
          <w:rFonts w:hint="eastAsia"/>
          <w:color w:val="auto"/>
          <w:sz w:val="21"/>
          <w:szCs w:val="21"/>
        </w:rPr>
        <w:t xml:space="preserve">.2 </w:t>
      </w:r>
      <w:bookmarkEnd w:id="909"/>
      <w:r>
        <w:rPr>
          <w:rFonts w:hint="eastAsia"/>
          <w:color w:val="auto"/>
          <w:sz w:val="21"/>
          <w:szCs w:val="21"/>
        </w:rPr>
        <w:t>项目经理</w:t>
      </w:r>
      <w:bookmarkEnd w:id="910"/>
    </w:p>
    <w:bookmarkEnd w:id="911"/>
    <w:bookmarkEnd w:id="912"/>
    <w:bookmarkEnd w:id="913"/>
    <w:p w14:paraId="2D8013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56F99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75CD3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承包人违反上述约定的，应按照专用合同条款的约定，承担违约责任。</w:t>
      </w:r>
    </w:p>
    <w:p w14:paraId="3B5920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DFED7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98B240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3166B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4A88D4C9">
      <w:pPr>
        <w:pStyle w:val="7"/>
        <w:spacing w:before="0" w:beforeAutospacing="0" w:after="0" w:afterAutospacing="0" w:line="360" w:lineRule="auto"/>
        <w:ind w:firstLine="422" w:firstLineChars="200"/>
        <w:rPr>
          <w:color w:val="auto"/>
          <w:sz w:val="21"/>
          <w:szCs w:val="21"/>
        </w:rPr>
      </w:pPr>
      <w:bookmarkStart w:id="914" w:name="_Toc532377207"/>
      <w:bookmarkStart w:id="915" w:name="_Toc351203521"/>
      <w:r>
        <w:rPr>
          <w:rFonts w:hint="eastAsia"/>
          <w:color w:val="auto"/>
          <w:sz w:val="21"/>
          <w:szCs w:val="21"/>
        </w:rPr>
        <w:t>3</w:t>
      </w:r>
      <w:bookmarkStart w:id="916" w:name="_Toc296503048"/>
      <w:bookmarkStart w:id="917" w:name="_Toc296346549"/>
      <w:bookmarkStart w:id="918" w:name="_Toc337558749"/>
      <w:r>
        <w:rPr>
          <w:rFonts w:hint="eastAsia"/>
          <w:color w:val="auto"/>
          <w:sz w:val="21"/>
          <w:szCs w:val="21"/>
        </w:rPr>
        <w:t xml:space="preserve">.3 </w:t>
      </w:r>
      <w:bookmarkEnd w:id="916"/>
      <w:bookmarkEnd w:id="917"/>
      <w:r>
        <w:rPr>
          <w:rFonts w:hint="eastAsia"/>
          <w:color w:val="auto"/>
          <w:sz w:val="21"/>
          <w:szCs w:val="21"/>
        </w:rPr>
        <w:t>承包人人员</w:t>
      </w:r>
      <w:bookmarkEnd w:id="914"/>
      <w:bookmarkEnd w:id="915"/>
    </w:p>
    <w:bookmarkEnd w:id="918"/>
    <w:p w14:paraId="4878C6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2685B2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8B8398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特殊工种作业人员均应持有相应的资格证明，监理人可以随时检查。</w:t>
      </w:r>
    </w:p>
    <w:p w14:paraId="622FE48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475EA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786575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3.3.5 承包人擅自更换主要施工管理人员，或前述人员未经监理人或发包人同意擅自离开施工现场的，应按照专用合同条款约定承担违约责任。</w:t>
      </w:r>
    </w:p>
    <w:p w14:paraId="50543BD2">
      <w:pPr>
        <w:pStyle w:val="7"/>
        <w:spacing w:before="0" w:beforeAutospacing="0" w:after="0" w:afterAutospacing="0" w:line="360" w:lineRule="auto"/>
        <w:ind w:firstLine="422" w:firstLineChars="200"/>
        <w:rPr>
          <w:color w:val="auto"/>
          <w:sz w:val="21"/>
          <w:szCs w:val="21"/>
        </w:rPr>
      </w:pPr>
      <w:bookmarkStart w:id="919" w:name="_Toc351203522"/>
      <w:bookmarkStart w:id="920" w:name="_Toc532377208"/>
      <w:r>
        <w:rPr>
          <w:rFonts w:hint="eastAsia"/>
          <w:color w:val="auto"/>
          <w:sz w:val="21"/>
          <w:szCs w:val="21"/>
        </w:rPr>
        <w:t>3</w:t>
      </w:r>
      <w:bookmarkStart w:id="921" w:name="_Toc296503050"/>
      <w:bookmarkStart w:id="922" w:name="_Toc296346551"/>
      <w:bookmarkStart w:id="923" w:name="_Toc337558750"/>
      <w:r>
        <w:rPr>
          <w:rFonts w:hint="eastAsia"/>
          <w:color w:val="auto"/>
          <w:sz w:val="21"/>
          <w:szCs w:val="21"/>
        </w:rPr>
        <w:t>.4 承包人现场查勘</w:t>
      </w:r>
      <w:bookmarkEnd w:id="919"/>
      <w:bookmarkEnd w:id="920"/>
    </w:p>
    <w:bookmarkEnd w:id="921"/>
    <w:bookmarkEnd w:id="922"/>
    <w:bookmarkEnd w:id="923"/>
    <w:p w14:paraId="06F472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承包人应对基于发包人按照第2.4.3项〔提供基础资料〕提交的基础资料所做出的解释和推断负责，但因基础资料存在错误、遗漏导致承包人解释或推断失实的，由发包人承担责任。</w:t>
      </w:r>
    </w:p>
    <w:p w14:paraId="6BC4AC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935F866">
      <w:pPr>
        <w:pStyle w:val="7"/>
        <w:spacing w:before="0" w:beforeAutospacing="0" w:after="0" w:afterAutospacing="0" w:line="360" w:lineRule="auto"/>
        <w:ind w:firstLine="422" w:firstLineChars="200"/>
        <w:rPr>
          <w:color w:val="auto"/>
          <w:sz w:val="21"/>
          <w:szCs w:val="21"/>
        </w:rPr>
      </w:pPr>
      <w:bookmarkStart w:id="924" w:name="_Toc351203523"/>
      <w:bookmarkStart w:id="925" w:name="_Toc532377209"/>
      <w:r>
        <w:rPr>
          <w:rFonts w:hint="eastAsia"/>
          <w:color w:val="auto"/>
          <w:sz w:val="21"/>
          <w:szCs w:val="21"/>
        </w:rPr>
        <w:t>3</w:t>
      </w:r>
      <w:bookmarkStart w:id="926" w:name="_Toc296503051"/>
      <w:bookmarkStart w:id="927" w:name="_Toc296346552"/>
      <w:bookmarkStart w:id="928" w:name="_Toc337558751"/>
      <w:r>
        <w:rPr>
          <w:rFonts w:hint="eastAsia"/>
          <w:color w:val="auto"/>
          <w:sz w:val="21"/>
          <w:szCs w:val="21"/>
        </w:rPr>
        <w:t>.5 分包</w:t>
      </w:r>
      <w:bookmarkEnd w:id="924"/>
      <w:bookmarkEnd w:id="925"/>
    </w:p>
    <w:bookmarkEnd w:id="926"/>
    <w:bookmarkEnd w:id="927"/>
    <w:bookmarkEnd w:id="928"/>
    <w:p w14:paraId="6AB1B77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3.5.1 分包的一般约定</w:t>
      </w:r>
    </w:p>
    <w:p w14:paraId="49BDF79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399CE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承包人不得以劳务分包的名义转包或违法分包工程。</w:t>
      </w:r>
    </w:p>
    <w:p w14:paraId="1699F70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3.5.2 分包的确定</w:t>
      </w:r>
    </w:p>
    <w:p w14:paraId="633BE10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C9159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3.5.3 分包管理</w:t>
      </w:r>
    </w:p>
    <w:p w14:paraId="16602D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承包人应向监理人提交分包人的主要施工管理人员表，并对分包人的施工人员进行实名制管理，包括但不限于进出场管理、登记造册以及各种证照的办理。</w:t>
      </w:r>
    </w:p>
    <w:p w14:paraId="5492353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3.5.4 分包合同价款</w:t>
      </w:r>
    </w:p>
    <w:p w14:paraId="23C754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（1）除本项第（2）目约定的情况或专用合同条款另有约定外，分包合同价款由承包人与分包人结算，未经承包人同意，发包人不得向分包人支付分包工程价款；</w:t>
      </w:r>
    </w:p>
    <w:p w14:paraId="6DED6C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（2）生效法律文书要求发包人向分包人支付分包合同价款的，发包人有权从应付承包人工程款中扣除该部分款项。</w:t>
      </w:r>
    </w:p>
    <w:p w14:paraId="6AA548C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3.5.5 分包合同权益的转让</w:t>
      </w:r>
    </w:p>
    <w:p w14:paraId="4CA4056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929" w:name="_Toc351203524"/>
    </w:p>
    <w:p w14:paraId="03BAD5A1">
      <w:pPr>
        <w:pStyle w:val="7"/>
        <w:spacing w:before="0" w:beforeAutospacing="0" w:after="0" w:afterAutospacing="0" w:line="360" w:lineRule="auto"/>
        <w:ind w:firstLine="422" w:firstLineChars="200"/>
        <w:rPr>
          <w:color w:val="auto"/>
          <w:sz w:val="21"/>
          <w:szCs w:val="21"/>
        </w:rPr>
      </w:pPr>
      <w:bookmarkStart w:id="930" w:name="_Toc532377210"/>
      <w:r>
        <w:rPr>
          <w:rFonts w:hint="eastAsia"/>
          <w:color w:val="auto"/>
          <w:sz w:val="21"/>
          <w:szCs w:val="21"/>
        </w:rPr>
        <w:t>3.6 工程照管与成品、半成品保护</w:t>
      </w:r>
      <w:bookmarkEnd w:id="929"/>
      <w:bookmarkEnd w:id="930"/>
    </w:p>
    <w:p w14:paraId="556A49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（1）除专用合同条款另有约定外，自发包人向承包人移交施工现场之日起，承包人应负责照管工程及工程相关的材料、工程设备，直到颁发工程接收证书之日止。</w:t>
      </w:r>
    </w:p>
    <w:p w14:paraId="772CDF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（2）在承包人负责照管期间，因承包人原因造成工程、材料、工程设备损坏的，由承包人负责修复或更换，并承担由此增加的费用和（或）延误的工期。</w:t>
      </w:r>
    </w:p>
    <w:p w14:paraId="7B41E96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3BAFD0ED">
      <w:pPr>
        <w:pStyle w:val="7"/>
        <w:spacing w:before="0" w:beforeAutospacing="0" w:after="0" w:afterAutospacing="0" w:line="360" w:lineRule="auto"/>
        <w:ind w:firstLine="422" w:firstLineChars="200"/>
        <w:rPr>
          <w:color w:val="auto"/>
          <w:sz w:val="21"/>
          <w:szCs w:val="21"/>
        </w:rPr>
      </w:pPr>
      <w:bookmarkStart w:id="931" w:name="_Toc351203525"/>
      <w:bookmarkStart w:id="932" w:name="_Toc532377211"/>
      <w:r>
        <w:rPr>
          <w:rFonts w:hint="eastAsia"/>
          <w:color w:val="auto"/>
          <w:sz w:val="21"/>
          <w:szCs w:val="21"/>
        </w:rPr>
        <w:t>3</w:t>
      </w:r>
      <w:bookmarkStart w:id="933" w:name="_Toc337558752"/>
      <w:bookmarkStart w:id="934" w:name="_Toc296503052"/>
      <w:bookmarkStart w:id="935" w:name="_Toc296346553"/>
      <w:r>
        <w:rPr>
          <w:rFonts w:hint="eastAsia"/>
          <w:color w:val="auto"/>
          <w:sz w:val="21"/>
          <w:szCs w:val="21"/>
        </w:rPr>
        <w:t>.7 履约担保</w:t>
      </w:r>
      <w:bookmarkEnd w:id="931"/>
      <w:bookmarkEnd w:id="932"/>
    </w:p>
    <w:bookmarkEnd w:id="933"/>
    <w:bookmarkEnd w:id="934"/>
    <w:bookmarkEnd w:id="935"/>
    <w:p w14:paraId="5FEA83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1FDD9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因承包人原因导致工期延长的，继续提供履约担保所增加的费用由承包人承担；非因承包人原因导致工期延长的，继续提供履约担保所增加的费用由发包人承担。</w:t>
      </w:r>
    </w:p>
    <w:p w14:paraId="645B7068">
      <w:pPr>
        <w:pStyle w:val="7"/>
        <w:spacing w:before="0" w:beforeAutospacing="0" w:after="0" w:afterAutospacing="0" w:line="360" w:lineRule="auto"/>
        <w:ind w:firstLine="422" w:firstLineChars="200"/>
        <w:rPr>
          <w:color w:val="auto"/>
          <w:sz w:val="21"/>
          <w:szCs w:val="21"/>
        </w:rPr>
      </w:pPr>
      <w:bookmarkStart w:id="936" w:name="_Toc351203526"/>
      <w:bookmarkStart w:id="937" w:name="_Toc532377212"/>
      <w:r>
        <w:rPr>
          <w:rFonts w:hint="eastAsia"/>
          <w:color w:val="auto"/>
          <w:sz w:val="21"/>
          <w:szCs w:val="21"/>
        </w:rPr>
        <w:t>3.8 联合体</w:t>
      </w:r>
      <w:bookmarkEnd w:id="936"/>
      <w:bookmarkEnd w:id="937"/>
    </w:p>
    <w:p w14:paraId="14BE80A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3.8.1 联合体各方应共同与发包人签订合同协议书。联合体各方应为履行合同向发包人承担连带责任。</w:t>
      </w:r>
    </w:p>
    <w:p w14:paraId="5EBA54A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3.8.2 联合体协议经发包人确认后作为合同附件。在履行合同过程中，未经发包人同意，不得修改联合体协议。</w:t>
      </w:r>
    </w:p>
    <w:p w14:paraId="11E990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3.8.3 联合体牵头人负责与发包人和监理人联系，并接受指示，负责组织联合体各成员全面履行合同。</w:t>
      </w:r>
    </w:p>
    <w:p w14:paraId="06A3EB4E">
      <w:pPr>
        <w:pStyle w:val="6"/>
        <w:keepNext/>
        <w:keepLines/>
        <w:spacing w:beforeLines="50" w:beforeAutospacing="0" w:afterLines="50" w:afterAutospacing="0" w:line="360" w:lineRule="auto"/>
        <w:jc w:val="both"/>
        <w:rPr>
          <w:bCs w:val="0"/>
          <w:color w:val="auto"/>
          <w:kern w:val="2"/>
          <w:sz w:val="21"/>
          <w:szCs w:val="21"/>
        </w:rPr>
      </w:pPr>
      <w:bookmarkStart w:id="938" w:name="_Toc351203527"/>
      <w:bookmarkStart w:id="939" w:name="_Toc532375590"/>
      <w:bookmarkStart w:id="940" w:name="_Toc532377213"/>
      <w:r>
        <w:rPr>
          <w:rFonts w:hint="eastAsia"/>
          <w:color w:val="auto"/>
          <w:kern w:val="2"/>
          <w:sz w:val="21"/>
          <w:szCs w:val="21"/>
        </w:rPr>
        <w:t>4</w:t>
      </w:r>
      <w:bookmarkStart w:id="941" w:name="_Toc296503053"/>
      <w:bookmarkStart w:id="942" w:name="_Toc296346554"/>
      <w:bookmarkStart w:id="943" w:name="_Toc337558753"/>
      <w:r>
        <w:rPr>
          <w:rFonts w:hint="eastAsia"/>
          <w:color w:val="auto"/>
          <w:kern w:val="2"/>
          <w:sz w:val="21"/>
          <w:szCs w:val="21"/>
        </w:rPr>
        <w:t>. 监</w:t>
      </w:r>
      <w:bookmarkEnd w:id="941"/>
      <w:bookmarkEnd w:id="942"/>
      <w:r>
        <w:rPr>
          <w:rFonts w:hint="eastAsia"/>
          <w:color w:val="auto"/>
          <w:kern w:val="2"/>
          <w:sz w:val="21"/>
          <w:szCs w:val="21"/>
        </w:rPr>
        <w:t>理人</w:t>
      </w:r>
      <w:bookmarkEnd w:id="938"/>
      <w:bookmarkEnd w:id="939"/>
      <w:bookmarkEnd w:id="940"/>
    </w:p>
    <w:bookmarkEnd w:id="943"/>
    <w:p w14:paraId="5EC6EEFA">
      <w:pPr>
        <w:pStyle w:val="7"/>
        <w:spacing w:before="0" w:beforeAutospacing="0" w:after="0" w:afterAutospacing="0" w:line="360" w:lineRule="auto"/>
        <w:ind w:firstLine="422" w:firstLineChars="200"/>
        <w:rPr>
          <w:color w:val="auto"/>
          <w:sz w:val="21"/>
          <w:szCs w:val="21"/>
        </w:rPr>
      </w:pPr>
      <w:bookmarkStart w:id="944" w:name="_Toc532377214"/>
      <w:bookmarkStart w:id="945" w:name="_Toc351203528"/>
      <w:r>
        <w:rPr>
          <w:rFonts w:hint="eastAsia"/>
          <w:color w:val="auto"/>
          <w:sz w:val="21"/>
          <w:szCs w:val="21"/>
        </w:rPr>
        <w:t>4</w:t>
      </w:r>
      <w:bookmarkStart w:id="946" w:name="_Toc296503054"/>
      <w:bookmarkStart w:id="947" w:name="_Toc296346555"/>
      <w:bookmarkStart w:id="948" w:name="_Toc337558754"/>
      <w:r>
        <w:rPr>
          <w:rFonts w:hint="eastAsia"/>
          <w:color w:val="auto"/>
          <w:sz w:val="21"/>
          <w:szCs w:val="21"/>
        </w:rPr>
        <w:t>.1监理人的一般规定</w:t>
      </w:r>
      <w:bookmarkEnd w:id="944"/>
      <w:bookmarkEnd w:id="945"/>
    </w:p>
    <w:bookmarkEnd w:id="946"/>
    <w:bookmarkEnd w:id="947"/>
    <w:bookmarkEnd w:id="948"/>
    <w:p w14:paraId="7909F8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DC7EB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除专用合同条款另有约定外，监理人在施工现场的办公场所、生活场所由承包人提供，所发生的费用由发包人承担。</w:t>
      </w:r>
    </w:p>
    <w:p w14:paraId="41D39E47">
      <w:pPr>
        <w:pStyle w:val="7"/>
        <w:spacing w:before="0" w:beforeAutospacing="0" w:after="0" w:afterAutospacing="0" w:line="360" w:lineRule="auto"/>
        <w:ind w:firstLine="422" w:firstLineChars="200"/>
        <w:rPr>
          <w:color w:val="auto"/>
          <w:sz w:val="21"/>
          <w:szCs w:val="21"/>
        </w:rPr>
      </w:pPr>
      <w:bookmarkStart w:id="949" w:name="_Toc351203529"/>
      <w:bookmarkStart w:id="950" w:name="_Toc532377215"/>
      <w:r>
        <w:rPr>
          <w:rFonts w:hint="eastAsia"/>
          <w:color w:val="auto"/>
          <w:sz w:val="21"/>
          <w:szCs w:val="21"/>
        </w:rPr>
        <w:t>4</w:t>
      </w:r>
      <w:bookmarkStart w:id="951" w:name="_Toc337558755"/>
      <w:r>
        <w:rPr>
          <w:rFonts w:hint="eastAsia"/>
          <w:color w:val="auto"/>
          <w:sz w:val="21"/>
          <w:szCs w:val="21"/>
        </w:rPr>
        <w:t>.2监理人员</w:t>
      </w:r>
      <w:bookmarkEnd w:id="949"/>
      <w:bookmarkEnd w:id="950"/>
    </w:p>
    <w:bookmarkEnd w:id="951"/>
    <w:p w14:paraId="5D31FB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569108C">
      <w:pPr>
        <w:pStyle w:val="7"/>
        <w:spacing w:before="0" w:beforeAutospacing="0" w:after="0" w:afterAutospacing="0" w:line="360" w:lineRule="auto"/>
        <w:ind w:firstLine="422" w:firstLineChars="200"/>
        <w:rPr>
          <w:color w:val="auto"/>
          <w:sz w:val="21"/>
          <w:szCs w:val="21"/>
        </w:rPr>
      </w:pPr>
      <w:bookmarkStart w:id="952" w:name="_Toc351203530"/>
      <w:bookmarkStart w:id="953" w:name="_Toc532377216"/>
      <w:r>
        <w:rPr>
          <w:rFonts w:hint="eastAsia"/>
          <w:color w:val="auto"/>
          <w:sz w:val="21"/>
          <w:szCs w:val="21"/>
        </w:rPr>
        <w:t>4</w:t>
      </w:r>
      <w:bookmarkStart w:id="954" w:name="_Toc296503055"/>
      <w:bookmarkStart w:id="955" w:name="_Toc296346556"/>
      <w:bookmarkStart w:id="956" w:name="_Toc337558756"/>
      <w:r>
        <w:rPr>
          <w:rFonts w:hint="eastAsia"/>
          <w:color w:val="auto"/>
          <w:sz w:val="21"/>
          <w:szCs w:val="21"/>
        </w:rPr>
        <w:t>.3</w:t>
      </w:r>
      <w:bookmarkEnd w:id="954"/>
      <w:bookmarkEnd w:id="955"/>
      <w:r>
        <w:rPr>
          <w:rFonts w:hint="eastAsia"/>
          <w:color w:val="auto"/>
          <w:sz w:val="21"/>
          <w:szCs w:val="21"/>
        </w:rPr>
        <w:t>监理人的指</w:t>
      </w:r>
      <w:bookmarkEnd w:id="956"/>
      <w:r>
        <w:rPr>
          <w:rFonts w:hint="eastAsia"/>
          <w:color w:val="auto"/>
          <w:sz w:val="21"/>
          <w:szCs w:val="21"/>
        </w:rPr>
        <w:t>示</w:t>
      </w:r>
      <w:bookmarkEnd w:id="952"/>
      <w:bookmarkEnd w:id="953"/>
    </w:p>
    <w:p w14:paraId="59FFA8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C3D00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453B0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承包人对监理人发出的指示有疑问的，应向监理人提出书面异议，监理人应在48小时内对该指示予以确认、更改或撤销，监理人逾期未回复的，承包人有权拒绝执行上述指示。</w:t>
      </w:r>
    </w:p>
    <w:p w14:paraId="6CE3059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14:paraId="4A198675">
      <w:pPr>
        <w:pStyle w:val="7"/>
        <w:spacing w:before="0" w:beforeAutospacing="0" w:after="0" w:afterAutospacing="0" w:line="360" w:lineRule="auto"/>
        <w:ind w:firstLine="422" w:firstLineChars="200"/>
        <w:rPr>
          <w:color w:val="auto"/>
          <w:sz w:val="21"/>
          <w:szCs w:val="21"/>
        </w:rPr>
      </w:pPr>
      <w:bookmarkStart w:id="957" w:name="_Toc351203531"/>
      <w:bookmarkStart w:id="958" w:name="_Toc532377217"/>
      <w:r>
        <w:rPr>
          <w:rFonts w:hint="eastAsia"/>
          <w:color w:val="auto"/>
          <w:sz w:val="21"/>
          <w:szCs w:val="21"/>
        </w:rPr>
        <w:t>4</w:t>
      </w:r>
      <w:bookmarkStart w:id="959" w:name="_Toc296346558"/>
      <w:bookmarkStart w:id="960" w:name="_Toc296503057"/>
      <w:bookmarkStart w:id="961" w:name="_Toc337558757"/>
      <w:r>
        <w:rPr>
          <w:rFonts w:hint="eastAsia"/>
          <w:color w:val="auto"/>
          <w:sz w:val="21"/>
          <w:szCs w:val="21"/>
        </w:rPr>
        <w:t>.4 商定或确定</w:t>
      </w:r>
      <w:bookmarkEnd w:id="957"/>
      <w:bookmarkEnd w:id="958"/>
    </w:p>
    <w:bookmarkEnd w:id="959"/>
    <w:bookmarkEnd w:id="960"/>
    <w:bookmarkEnd w:id="961"/>
    <w:p w14:paraId="70258DE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合同当事人进行商定或确定时，总监理工程师应当会同合同当事人尽量通过协商达成一致，不能达成一致的，由总监理工程师按照合同约定审慎做出公正的确定。</w:t>
      </w:r>
    </w:p>
    <w:p w14:paraId="6F128C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0DEAA459">
      <w:pPr>
        <w:pStyle w:val="6"/>
        <w:keepNext/>
        <w:keepLines/>
        <w:spacing w:beforeLines="50" w:beforeAutospacing="0" w:afterLines="50" w:afterAutospacing="0" w:line="360" w:lineRule="auto"/>
        <w:jc w:val="both"/>
        <w:rPr>
          <w:bCs w:val="0"/>
          <w:color w:val="auto"/>
          <w:kern w:val="2"/>
          <w:sz w:val="21"/>
          <w:szCs w:val="21"/>
        </w:rPr>
      </w:pPr>
      <w:bookmarkStart w:id="962" w:name="_Toc351203532"/>
      <w:bookmarkStart w:id="963" w:name="_Toc532375591"/>
      <w:bookmarkStart w:id="964" w:name="_Toc532377218"/>
      <w:r>
        <w:rPr>
          <w:rFonts w:hint="eastAsia"/>
          <w:color w:val="auto"/>
          <w:kern w:val="2"/>
          <w:sz w:val="21"/>
          <w:szCs w:val="21"/>
        </w:rPr>
        <w:t>5</w:t>
      </w:r>
      <w:bookmarkStart w:id="965" w:name="_Toc337558758"/>
      <w:r>
        <w:rPr>
          <w:rFonts w:hint="eastAsia"/>
          <w:color w:val="auto"/>
          <w:kern w:val="2"/>
          <w:sz w:val="21"/>
          <w:szCs w:val="21"/>
        </w:rPr>
        <w:t>. 工程质量</w:t>
      </w:r>
      <w:bookmarkEnd w:id="962"/>
      <w:bookmarkEnd w:id="963"/>
      <w:bookmarkEnd w:id="964"/>
    </w:p>
    <w:bookmarkEnd w:id="965"/>
    <w:p w14:paraId="64069BFF">
      <w:pPr>
        <w:pStyle w:val="7"/>
        <w:spacing w:before="0" w:beforeAutospacing="0" w:after="0" w:afterAutospacing="0" w:line="360" w:lineRule="auto"/>
        <w:ind w:firstLine="422" w:firstLineChars="200"/>
        <w:rPr>
          <w:color w:val="auto"/>
          <w:sz w:val="21"/>
          <w:szCs w:val="21"/>
        </w:rPr>
      </w:pPr>
      <w:bookmarkStart w:id="966" w:name="_Toc351203533"/>
      <w:bookmarkStart w:id="967" w:name="_Toc532377219"/>
      <w:r>
        <w:rPr>
          <w:rFonts w:hint="eastAsia"/>
          <w:color w:val="auto"/>
          <w:sz w:val="21"/>
          <w:szCs w:val="21"/>
        </w:rPr>
        <w:t>5</w:t>
      </w:r>
      <w:bookmarkStart w:id="968" w:name="_Toc337558759"/>
      <w:r>
        <w:rPr>
          <w:rFonts w:hint="eastAsia"/>
          <w:color w:val="auto"/>
          <w:sz w:val="21"/>
          <w:szCs w:val="21"/>
        </w:rPr>
        <w:t>.1质量要求</w:t>
      </w:r>
      <w:bookmarkEnd w:id="966"/>
      <w:bookmarkEnd w:id="967"/>
    </w:p>
    <w:bookmarkEnd w:id="968"/>
    <w:p w14:paraId="5B1102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5.1.1 工程质量标准必须符合现行国家有关工程施工质量验收规范和标准的要求。有关工程质量的特殊标准或要求由合同当事人在专用合同条款中约定。</w:t>
      </w:r>
    </w:p>
    <w:p w14:paraId="1ACCD0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5.1.2 因发包人原因造成工程质量未达到合同约定标准的，由发包人承担由此增加的费用和（或）延误的工期，并支付承包人合理的利润。</w:t>
      </w:r>
    </w:p>
    <w:p w14:paraId="32CF7E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5.1.3 因承包人原因造成工程质量未达到合同约定标准的，发包人有权要求承包人返工直至工程质量达到合同约定的标准为止，并由承包人承担由此增加的费用和（或）延误的工期。</w:t>
      </w:r>
    </w:p>
    <w:p w14:paraId="594B8E79">
      <w:pPr>
        <w:pStyle w:val="7"/>
        <w:spacing w:before="0" w:beforeAutospacing="0" w:after="0" w:afterAutospacing="0" w:line="360" w:lineRule="auto"/>
        <w:ind w:firstLine="422" w:firstLineChars="200"/>
        <w:rPr>
          <w:color w:val="auto"/>
          <w:sz w:val="21"/>
          <w:szCs w:val="21"/>
        </w:rPr>
      </w:pPr>
      <w:bookmarkStart w:id="969" w:name="_Toc351203534"/>
      <w:bookmarkStart w:id="970" w:name="_Toc532377220"/>
      <w:r>
        <w:rPr>
          <w:rFonts w:hint="eastAsia"/>
          <w:color w:val="auto"/>
          <w:sz w:val="21"/>
          <w:szCs w:val="21"/>
        </w:rPr>
        <w:t>5</w:t>
      </w:r>
      <w:bookmarkStart w:id="971" w:name="_Toc337558760"/>
      <w:r>
        <w:rPr>
          <w:rFonts w:hint="eastAsia"/>
          <w:color w:val="auto"/>
          <w:sz w:val="21"/>
          <w:szCs w:val="21"/>
        </w:rPr>
        <w:t>.2质量保证措施</w:t>
      </w:r>
      <w:bookmarkEnd w:id="969"/>
      <w:bookmarkEnd w:id="970"/>
    </w:p>
    <w:bookmarkEnd w:id="971"/>
    <w:p w14:paraId="73D14B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5.2.1 发包人的质量管理</w:t>
      </w:r>
    </w:p>
    <w:p w14:paraId="04C2718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发包人应按照法律规定及合同约定完成与工程质量有关的各项工作。</w:t>
      </w:r>
    </w:p>
    <w:p w14:paraId="450BB3B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5.2.2 承包人的质量管理</w:t>
      </w:r>
    </w:p>
    <w:p w14:paraId="30B9D2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CB5B22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承包人应对施工人员进行质量教育和技术培训，定期考核施工人员的劳动技能，严格执行施工规范和操作规程。</w:t>
      </w:r>
    </w:p>
    <w:p w14:paraId="6E2102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286BC1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5.2.3 监理人的质量检查和检验</w:t>
      </w:r>
    </w:p>
    <w:p w14:paraId="27B93C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526B1F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D1F2F5A">
      <w:pPr>
        <w:pStyle w:val="7"/>
        <w:spacing w:before="0" w:beforeAutospacing="0" w:after="0" w:afterAutospacing="0" w:line="360" w:lineRule="auto"/>
        <w:ind w:firstLine="422" w:firstLineChars="200"/>
        <w:rPr>
          <w:color w:val="auto"/>
          <w:sz w:val="21"/>
          <w:szCs w:val="21"/>
        </w:rPr>
      </w:pPr>
      <w:bookmarkStart w:id="972" w:name="_Toc351203535"/>
      <w:bookmarkStart w:id="973" w:name="_Toc532377221"/>
      <w:r>
        <w:rPr>
          <w:rFonts w:hint="eastAsia"/>
          <w:color w:val="auto"/>
          <w:sz w:val="21"/>
          <w:szCs w:val="21"/>
        </w:rPr>
        <w:t>5</w:t>
      </w:r>
      <w:bookmarkStart w:id="974" w:name="_Toc337558761"/>
      <w:r>
        <w:rPr>
          <w:rFonts w:hint="eastAsia"/>
          <w:color w:val="auto"/>
          <w:sz w:val="21"/>
          <w:szCs w:val="21"/>
        </w:rPr>
        <w:t>.3 隐蔽工程检查</w:t>
      </w:r>
      <w:bookmarkEnd w:id="972"/>
      <w:bookmarkEnd w:id="973"/>
    </w:p>
    <w:bookmarkEnd w:id="974"/>
    <w:p w14:paraId="65EB4E3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5.3.1承包人自检</w:t>
      </w:r>
    </w:p>
    <w:p w14:paraId="040F536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承包人应当对工程隐蔽部位进行自检，并经自检确认是否具备覆盖条件。</w:t>
      </w:r>
    </w:p>
    <w:p w14:paraId="50457C4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5.3.2检查程序</w:t>
      </w:r>
    </w:p>
    <w:p w14:paraId="6C1669E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E04133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5A88A5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6BFF5E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5.3.3 重新检查</w:t>
      </w:r>
    </w:p>
    <w:p w14:paraId="7F41940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7F1C3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5.3.4 承包人私自覆盖</w:t>
      </w:r>
    </w:p>
    <w:p w14:paraId="07C83DC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14:paraId="7208CF03">
      <w:pPr>
        <w:pStyle w:val="7"/>
        <w:spacing w:before="0" w:beforeAutospacing="0" w:after="0" w:afterAutospacing="0" w:line="360" w:lineRule="auto"/>
        <w:ind w:firstLine="422" w:firstLineChars="200"/>
        <w:rPr>
          <w:color w:val="auto"/>
          <w:sz w:val="21"/>
          <w:szCs w:val="21"/>
        </w:rPr>
      </w:pPr>
      <w:bookmarkStart w:id="975" w:name="_Toc532377222"/>
      <w:r>
        <w:rPr>
          <w:rFonts w:hint="eastAsia"/>
          <w:color w:val="auto"/>
          <w:sz w:val="21"/>
          <w:szCs w:val="21"/>
        </w:rPr>
        <w:t>5.4不合格工程的处理</w:t>
      </w:r>
      <w:bookmarkEnd w:id="975"/>
    </w:p>
    <w:p w14:paraId="4EC92DB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67586A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5.4.2 因发包人原因造成工程不合格的，由此增加的费用和（或）延误的工期由发包人承担，并支付承包人合理的利润。</w:t>
      </w:r>
    </w:p>
    <w:p w14:paraId="111B1EF7">
      <w:pPr>
        <w:pStyle w:val="7"/>
        <w:spacing w:before="0" w:beforeAutospacing="0" w:after="0" w:afterAutospacing="0" w:line="360" w:lineRule="auto"/>
        <w:ind w:firstLine="422" w:firstLineChars="200"/>
        <w:rPr>
          <w:color w:val="auto"/>
          <w:sz w:val="21"/>
          <w:szCs w:val="21"/>
        </w:rPr>
      </w:pPr>
      <w:bookmarkStart w:id="976" w:name="_Toc351203537"/>
      <w:bookmarkStart w:id="977" w:name="_Toc532377223"/>
      <w:r>
        <w:rPr>
          <w:rFonts w:hint="eastAsia"/>
          <w:color w:val="auto"/>
          <w:sz w:val="21"/>
          <w:szCs w:val="21"/>
        </w:rPr>
        <w:t>5.5 质量争议检测</w:t>
      </w:r>
      <w:bookmarkEnd w:id="976"/>
      <w:bookmarkEnd w:id="977"/>
    </w:p>
    <w:p w14:paraId="6AC83EC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合同当事人对工程质量有争议的，由双方协商确定的工程质量检测机构鉴定，由此产生的费用及因此造成的损失，由责任方承担。</w:t>
      </w:r>
    </w:p>
    <w:p w14:paraId="05E697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合同当事人均有责任的，由双方根据其责任分别承担。合同当事人无法达成一致的，按照第4.4款〔商定或确定〕执行。</w:t>
      </w:r>
    </w:p>
    <w:p w14:paraId="6E3827DC">
      <w:pPr>
        <w:pStyle w:val="6"/>
        <w:keepNext/>
        <w:keepLines/>
        <w:spacing w:beforeLines="50" w:beforeAutospacing="0" w:afterLines="50" w:afterAutospacing="0" w:line="360" w:lineRule="auto"/>
        <w:jc w:val="both"/>
        <w:rPr>
          <w:bCs w:val="0"/>
          <w:color w:val="auto"/>
          <w:kern w:val="2"/>
          <w:sz w:val="21"/>
          <w:szCs w:val="21"/>
        </w:rPr>
      </w:pPr>
      <w:bookmarkStart w:id="978" w:name="_Toc532377224"/>
      <w:bookmarkStart w:id="979" w:name="_Toc532375592"/>
      <w:bookmarkStart w:id="980" w:name="_Toc351203538"/>
      <w:r>
        <w:rPr>
          <w:rFonts w:hint="eastAsia"/>
          <w:color w:val="auto"/>
          <w:kern w:val="2"/>
          <w:sz w:val="21"/>
          <w:szCs w:val="21"/>
        </w:rPr>
        <w:t>6</w:t>
      </w:r>
      <w:bookmarkStart w:id="981" w:name="_Toc337558763"/>
      <w:r>
        <w:rPr>
          <w:rFonts w:hint="eastAsia"/>
          <w:color w:val="auto"/>
          <w:kern w:val="2"/>
          <w:sz w:val="21"/>
          <w:szCs w:val="21"/>
        </w:rPr>
        <w:t>. 安全文明施工与环境保护</w:t>
      </w:r>
      <w:bookmarkEnd w:id="978"/>
      <w:bookmarkEnd w:id="979"/>
      <w:bookmarkEnd w:id="980"/>
    </w:p>
    <w:bookmarkEnd w:id="981"/>
    <w:p w14:paraId="0DB50078">
      <w:pPr>
        <w:pStyle w:val="7"/>
        <w:spacing w:before="0" w:beforeAutospacing="0" w:after="0" w:afterAutospacing="0" w:line="360" w:lineRule="auto"/>
        <w:ind w:firstLine="422" w:firstLineChars="200"/>
        <w:rPr>
          <w:color w:val="auto"/>
          <w:sz w:val="21"/>
          <w:szCs w:val="21"/>
        </w:rPr>
      </w:pPr>
      <w:bookmarkStart w:id="982" w:name="_Toc532377225"/>
      <w:bookmarkStart w:id="983" w:name="_Toc351203539"/>
      <w:r>
        <w:rPr>
          <w:rFonts w:hint="eastAsia"/>
          <w:color w:val="auto"/>
          <w:sz w:val="21"/>
          <w:szCs w:val="21"/>
        </w:rPr>
        <w:t>6</w:t>
      </w:r>
      <w:bookmarkStart w:id="984" w:name="_Toc337558764"/>
      <w:r>
        <w:rPr>
          <w:rFonts w:hint="eastAsia"/>
          <w:color w:val="auto"/>
          <w:sz w:val="21"/>
          <w:szCs w:val="21"/>
        </w:rPr>
        <w:t>.1安全文明施工</w:t>
      </w:r>
      <w:bookmarkEnd w:id="982"/>
      <w:bookmarkEnd w:id="983"/>
    </w:p>
    <w:bookmarkEnd w:id="984"/>
    <w:p w14:paraId="38FB27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6.1.1安全生产要求</w:t>
      </w:r>
    </w:p>
    <w:p w14:paraId="600A3B1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8B98B0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14:paraId="7C91E62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因安全生产需要暂停施工的，按照第7.8款〔暂停施工〕的约定执行。</w:t>
      </w:r>
    </w:p>
    <w:p w14:paraId="38ED7FC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6.1.2 安全生产保证措施</w:t>
      </w:r>
    </w:p>
    <w:p w14:paraId="10AFF5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2B9A8BE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6.1.3特别安全生产事项</w:t>
      </w:r>
    </w:p>
    <w:p w14:paraId="34268B2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5E05D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承包人在动力设备、输电线路、地下管道、密封防震车间、易燃易爆地段以及临街交通要道附近施工时，施工开始前应向发包人和监理人提出安全防护措施，经发包人认可后实施。 </w:t>
      </w:r>
    </w:p>
    <w:p w14:paraId="05B5888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7D78924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需单独编制危险性较大分部分项专项工程施工方案的，及要求进行专家论证的超过一定规模的危险性较大的分部分项工程，承包人应及时编制和组织论证。</w:t>
      </w:r>
    </w:p>
    <w:p w14:paraId="75D2480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6.1.4 治安保卫</w:t>
      </w:r>
    </w:p>
    <w:p w14:paraId="5C039E5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除专用合同条款另有约定外，发包人应与当地公安部门协商，在现场建立治安管理机构或联防组织，统一管理施工场地的治安保卫事项，履行合同工程的治安保卫职责。</w:t>
      </w:r>
    </w:p>
    <w:p w14:paraId="5A23983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发包人和承包人除应协助现场治安管理机构或联防组织维护施工场地的社会治安外，还应做好包括生活区在内的各自管辖区的治安保卫工作。</w:t>
      </w:r>
    </w:p>
    <w:p w14:paraId="3D7A094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1D3F5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6.1.5 文明施工</w:t>
      </w:r>
    </w:p>
    <w:p w14:paraId="3B1D9C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BCD42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228AF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6.1.6 安全文明施工费</w:t>
      </w:r>
    </w:p>
    <w:p w14:paraId="268102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安全文明施工费由发包人承担，发包人不得以任何形式扣减该部分费用。因基准日期后合同所适用的法律或政府有关规定发生变化，增加的安全文明施工费由发包人承担。</w:t>
      </w:r>
    </w:p>
    <w:p w14:paraId="4C1589A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0199C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DF879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C98578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6.1.7 紧急情况处理</w:t>
      </w:r>
    </w:p>
    <w:p w14:paraId="63382D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4DEDE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6.1.8 事故处理</w:t>
      </w:r>
    </w:p>
    <w:p w14:paraId="7086280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01DC7E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 安全生产责任</w:t>
      </w:r>
    </w:p>
    <w:p w14:paraId="31D9BCE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6.1.9.1 发包人的安全责任</w:t>
      </w:r>
    </w:p>
    <w:p w14:paraId="19608C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发包人应负责赔偿以下各种情况造成的损失：</w:t>
      </w:r>
    </w:p>
    <w:p w14:paraId="193795E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（1）工程或工程的任何部分对土地的占用所造成的第三者财产损失；</w:t>
      </w:r>
    </w:p>
    <w:p w14:paraId="66F5C1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（2）由于发包人原因在施工场地及其毗邻地带造成的第三者人身伤亡和财产损失；</w:t>
      </w:r>
    </w:p>
    <w:p w14:paraId="7F6E2D3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（3）由于发包人原因对承包人、监理人造成的人员人身伤亡和财产损失；</w:t>
      </w:r>
    </w:p>
    <w:p w14:paraId="69D909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（4）由于发包人原因造成的发包人自身人员的人身伤害以及财产损失。</w:t>
      </w:r>
    </w:p>
    <w:p w14:paraId="160FD3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6.1.9.2 承包人的安全责任</w:t>
      </w:r>
    </w:p>
    <w:p w14:paraId="2CE5D2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由于承包人原因在施工场地内及其毗邻地带造成的发包人、监理人以及第三者人员伤亡和财产损失，由承包人负责赔偿。</w:t>
      </w:r>
    </w:p>
    <w:p w14:paraId="5C9C5DB6">
      <w:pPr>
        <w:pStyle w:val="7"/>
        <w:spacing w:before="0" w:beforeAutospacing="0" w:after="0" w:afterAutospacing="0" w:line="360" w:lineRule="auto"/>
        <w:ind w:firstLine="422" w:firstLineChars="200"/>
        <w:rPr>
          <w:color w:val="auto"/>
          <w:sz w:val="21"/>
          <w:szCs w:val="21"/>
        </w:rPr>
      </w:pPr>
      <w:bookmarkStart w:id="985" w:name="_Toc532377226"/>
      <w:bookmarkStart w:id="986" w:name="_Toc351203540"/>
      <w:r>
        <w:rPr>
          <w:rFonts w:hint="eastAsia"/>
          <w:color w:val="auto"/>
          <w:sz w:val="21"/>
          <w:szCs w:val="21"/>
        </w:rPr>
        <w:t>6</w:t>
      </w:r>
      <w:bookmarkStart w:id="987" w:name="_Toc337558765"/>
      <w:r>
        <w:rPr>
          <w:rFonts w:hint="eastAsia"/>
          <w:color w:val="auto"/>
          <w:sz w:val="21"/>
          <w:szCs w:val="21"/>
        </w:rPr>
        <w:t>.2 职业健康</w:t>
      </w:r>
      <w:bookmarkEnd w:id="985"/>
      <w:bookmarkEnd w:id="986"/>
    </w:p>
    <w:bookmarkEnd w:id="987"/>
    <w:p w14:paraId="1FEB07D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6.2.1 劳动保护</w:t>
      </w:r>
    </w:p>
    <w:p w14:paraId="0101E0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C95326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96056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14:paraId="1126B0E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6.2.2 生活条件</w:t>
      </w:r>
    </w:p>
    <w:p w14:paraId="1E2EDAA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945A1FB">
      <w:pPr>
        <w:pStyle w:val="7"/>
        <w:spacing w:before="0" w:beforeAutospacing="0" w:after="0" w:afterAutospacing="0" w:line="360" w:lineRule="auto"/>
        <w:ind w:firstLine="422" w:firstLineChars="200"/>
        <w:rPr>
          <w:color w:val="auto"/>
          <w:sz w:val="21"/>
          <w:szCs w:val="21"/>
        </w:rPr>
      </w:pPr>
      <w:bookmarkStart w:id="988" w:name="_Toc532377227"/>
      <w:bookmarkStart w:id="989" w:name="_Toc351203541"/>
      <w:r>
        <w:rPr>
          <w:rFonts w:hint="eastAsia"/>
          <w:color w:val="auto"/>
          <w:sz w:val="21"/>
          <w:szCs w:val="21"/>
        </w:rPr>
        <w:t>6</w:t>
      </w:r>
      <w:bookmarkStart w:id="990" w:name="_Toc337558766"/>
      <w:r>
        <w:rPr>
          <w:rFonts w:hint="eastAsia"/>
          <w:color w:val="auto"/>
          <w:sz w:val="21"/>
          <w:szCs w:val="21"/>
        </w:rPr>
        <w:t>.3 环境保护</w:t>
      </w:r>
      <w:bookmarkEnd w:id="988"/>
      <w:bookmarkEnd w:id="989"/>
    </w:p>
    <w:bookmarkEnd w:id="990"/>
    <w:p w14:paraId="74C8D62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A473F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承包人应当承担因其原因引起的环境污染侵权损害赔偿责任，因上述环境污染引起纠纷而导致暂停施工的，由此增加的费用和（或）延误的工期由承包人承担。</w:t>
      </w:r>
    </w:p>
    <w:p w14:paraId="4B1DF91C">
      <w:pPr>
        <w:pStyle w:val="6"/>
        <w:keepNext/>
        <w:keepLines/>
        <w:spacing w:beforeLines="50" w:beforeAutospacing="0" w:afterLines="50" w:afterAutospacing="0" w:line="360" w:lineRule="auto"/>
        <w:jc w:val="both"/>
        <w:rPr>
          <w:bCs w:val="0"/>
          <w:color w:val="auto"/>
          <w:kern w:val="2"/>
          <w:sz w:val="21"/>
          <w:szCs w:val="21"/>
        </w:rPr>
      </w:pPr>
      <w:bookmarkStart w:id="991" w:name="_Toc351203542"/>
      <w:bookmarkStart w:id="992" w:name="_Toc532375593"/>
      <w:bookmarkStart w:id="993" w:name="_Toc532377228"/>
      <w:r>
        <w:rPr>
          <w:rFonts w:hint="eastAsia"/>
          <w:color w:val="auto"/>
          <w:kern w:val="2"/>
          <w:sz w:val="21"/>
          <w:szCs w:val="21"/>
        </w:rPr>
        <w:t>7</w:t>
      </w:r>
      <w:bookmarkStart w:id="994" w:name="_Toc337558767"/>
      <w:r>
        <w:rPr>
          <w:rFonts w:hint="eastAsia"/>
          <w:color w:val="auto"/>
          <w:kern w:val="2"/>
          <w:sz w:val="21"/>
          <w:szCs w:val="21"/>
        </w:rPr>
        <w:t>. 工期和进度</w:t>
      </w:r>
      <w:bookmarkEnd w:id="991"/>
      <w:bookmarkEnd w:id="992"/>
      <w:bookmarkEnd w:id="993"/>
    </w:p>
    <w:bookmarkEnd w:id="994"/>
    <w:p w14:paraId="20CBC557">
      <w:pPr>
        <w:pStyle w:val="7"/>
        <w:spacing w:before="0" w:beforeAutospacing="0" w:after="0" w:afterAutospacing="0" w:line="360" w:lineRule="auto"/>
        <w:ind w:firstLine="422" w:firstLineChars="200"/>
        <w:rPr>
          <w:color w:val="auto"/>
          <w:sz w:val="21"/>
          <w:szCs w:val="21"/>
        </w:rPr>
      </w:pPr>
      <w:bookmarkStart w:id="995" w:name="_Toc532377229"/>
      <w:bookmarkStart w:id="996" w:name="_Toc351203543"/>
      <w:r>
        <w:rPr>
          <w:rFonts w:hint="eastAsia"/>
          <w:color w:val="auto"/>
          <w:sz w:val="21"/>
          <w:szCs w:val="21"/>
        </w:rPr>
        <w:t>7</w:t>
      </w:r>
      <w:bookmarkStart w:id="997" w:name="_Toc337558768"/>
      <w:bookmarkStart w:id="998" w:name="_Toc296346567"/>
      <w:bookmarkStart w:id="999" w:name="_Toc296503066"/>
      <w:r>
        <w:rPr>
          <w:rFonts w:hint="eastAsia"/>
          <w:color w:val="auto"/>
          <w:sz w:val="21"/>
          <w:szCs w:val="21"/>
        </w:rPr>
        <w:t>.1施工组织设计</w:t>
      </w:r>
      <w:bookmarkEnd w:id="995"/>
      <w:bookmarkEnd w:id="996"/>
    </w:p>
    <w:bookmarkEnd w:id="997"/>
    <w:p w14:paraId="75598A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7.1.1 施工组织设计的内容</w:t>
      </w:r>
    </w:p>
    <w:p w14:paraId="7AB1E08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施工组织设计应包含以下内容：</w:t>
      </w:r>
    </w:p>
    <w:p w14:paraId="560CAC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（1）施工方案； </w:t>
      </w:r>
    </w:p>
    <w:p w14:paraId="5E0654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（2）施工现场平面布置图；</w:t>
      </w:r>
    </w:p>
    <w:p w14:paraId="6BDD07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（3）施工进度计划和保证措施； </w:t>
      </w:r>
    </w:p>
    <w:p w14:paraId="5C45C7E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（4）劳动力及材料供应计划；</w:t>
      </w:r>
    </w:p>
    <w:p w14:paraId="008999F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（5）施工机械设备的选用；</w:t>
      </w:r>
    </w:p>
    <w:p w14:paraId="542419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（6）质量保证体系及措施；</w:t>
      </w:r>
    </w:p>
    <w:p w14:paraId="73705F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（7）安全生产、文明施工措施；</w:t>
      </w:r>
    </w:p>
    <w:p w14:paraId="0F54F68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（8）环境保护、成本控制措施；</w:t>
      </w:r>
    </w:p>
    <w:p w14:paraId="175DC83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（9）合同当事人约定的其他内容。</w:t>
      </w:r>
    </w:p>
    <w:p w14:paraId="730173A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7.1.2 施工组织设计的提交和修改</w:t>
      </w:r>
    </w:p>
    <w:p w14:paraId="3EC194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511F410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施工进度计划的编制和修改按照第7.2款〔施工进度计划〕执行。</w:t>
      </w:r>
    </w:p>
    <w:p w14:paraId="3ABC08FF">
      <w:pPr>
        <w:pStyle w:val="7"/>
        <w:spacing w:before="0" w:beforeAutospacing="0" w:after="0" w:afterAutospacing="0" w:line="360" w:lineRule="auto"/>
        <w:ind w:firstLine="422" w:firstLineChars="200"/>
        <w:rPr>
          <w:color w:val="auto"/>
          <w:sz w:val="21"/>
          <w:szCs w:val="21"/>
        </w:rPr>
      </w:pPr>
      <w:bookmarkStart w:id="1000" w:name="_Toc351203544"/>
      <w:bookmarkStart w:id="1001" w:name="_Toc532377230"/>
      <w:r>
        <w:rPr>
          <w:rFonts w:hint="eastAsia"/>
          <w:color w:val="auto"/>
          <w:sz w:val="21"/>
          <w:szCs w:val="21"/>
        </w:rPr>
        <w:t>7</w:t>
      </w:r>
      <w:bookmarkStart w:id="1002" w:name="_Toc337558769"/>
      <w:r>
        <w:rPr>
          <w:rFonts w:hint="eastAsia"/>
          <w:color w:val="auto"/>
          <w:sz w:val="21"/>
          <w:szCs w:val="21"/>
        </w:rPr>
        <w:t>.2 施工进度计划</w:t>
      </w:r>
      <w:bookmarkEnd w:id="1000"/>
      <w:bookmarkEnd w:id="1001"/>
    </w:p>
    <w:bookmarkEnd w:id="1002"/>
    <w:p w14:paraId="3C5AA8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7.2.1 施工进度计划的编制</w:t>
      </w:r>
    </w:p>
    <w:p w14:paraId="49100EE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0B1879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7.2.2 施工进度计划的修订</w:t>
      </w:r>
    </w:p>
    <w:p w14:paraId="53F69DE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6556AF9">
      <w:pPr>
        <w:pStyle w:val="7"/>
        <w:spacing w:before="0" w:beforeAutospacing="0" w:after="0" w:afterAutospacing="0" w:line="360" w:lineRule="auto"/>
        <w:ind w:firstLine="422" w:firstLineChars="200"/>
        <w:rPr>
          <w:color w:val="auto"/>
          <w:sz w:val="21"/>
          <w:szCs w:val="21"/>
        </w:rPr>
      </w:pPr>
      <w:bookmarkStart w:id="1003" w:name="_Toc532377231"/>
      <w:bookmarkStart w:id="1004" w:name="_Toc351203545"/>
      <w:r>
        <w:rPr>
          <w:rFonts w:hint="eastAsia"/>
          <w:color w:val="auto"/>
          <w:sz w:val="21"/>
          <w:szCs w:val="21"/>
        </w:rPr>
        <w:t>7</w:t>
      </w:r>
      <w:bookmarkStart w:id="1005" w:name="_Toc337558770"/>
      <w:r>
        <w:rPr>
          <w:rFonts w:hint="eastAsia"/>
          <w:color w:val="auto"/>
          <w:sz w:val="21"/>
          <w:szCs w:val="21"/>
        </w:rPr>
        <w:t>.3 开工</w:t>
      </w:r>
      <w:bookmarkEnd w:id="1003"/>
      <w:bookmarkEnd w:id="1004"/>
    </w:p>
    <w:p w14:paraId="527B82C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7.3.1 开工准备</w:t>
      </w:r>
    </w:p>
    <w:p w14:paraId="37DDC9E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D9736A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除专用合同条款另有约定外，合同当事人应按约定完成开工准备工作。</w:t>
      </w:r>
    </w:p>
    <w:p w14:paraId="54D748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7.3.2 开工通知</w:t>
      </w:r>
    </w:p>
    <w:bookmarkEnd w:id="1005"/>
    <w:p w14:paraId="0B4A554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5581B3E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75D6815">
      <w:pPr>
        <w:pStyle w:val="7"/>
        <w:spacing w:before="0" w:beforeAutospacing="0" w:after="0" w:afterAutospacing="0" w:line="360" w:lineRule="auto"/>
        <w:ind w:firstLine="422" w:firstLineChars="200"/>
        <w:rPr>
          <w:color w:val="auto"/>
          <w:sz w:val="21"/>
          <w:szCs w:val="21"/>
        </w:rPr>
      </w:pPr>
      <w:bookmarkStart w:id="1006" w:name="_Toc532377232"/>
      <w:bookmarkStart w:id="1007" w:name="_Toc351203546"/>
      <w:r>
        <w:rPr>
          <w:rFonts w:hint="eastAsia"/>
          <w:color w:val="auto"/>
          <w:sz w:val="21"/>
          <w:szCs w:val="21"/>
        </w:rPr>
        <w:t>7.4测量放线</w:t>
      </w:r>
      <w:bookmarkEnd w:id="1006"/>
      <w:bookmarkEnd w:id="1007"/>
    </w:p>
    <w:p w14:paraId="1D2C95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F8112C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F06B0C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D2D0B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施工过程中对施工现场内水准点等测量标志物的保护工作由承包人负责。</w:t>
      </w:r>
      <w:bookmarkStart w:id="1008" w:name="_Toc351203547"/>
    </w:p>
    <w:p w14:paraId="1CE0D245">
      <w:pPr>
        <w:pStyle w:val="7"/>
        <w:spacing w:before="0" w:beforeAutospacing="0" w:after="0" w:afterAutospacing="0" w:line="360" w:lineRule="auto"/>
        <w:ind w:firstLine="422" w:firstLineChars="200"/>
        <w:rPr>
          <w:color w:val="auto"/>
          <w:sz w:val="21"/>
          <w:szCs w:val="21"/>
        </w:rPr>
      </w:pPr>
      <w:bookmarkStart w:id="1009" w:name="_Toc532377233"/>
      <w:r>
        <w:rPr>
          <w:rFonts w:hint="eastAsia"/>
          <w:color w:val="auto"/>
          <w:sz w:val="21"/>
          <w:szCs w:val="21"/>
        </w:rPr>
        <w:t>7</w:t>
      </w:r>
      <w:bookmarkEnd w:id="998"/>
      <w:bookmarkEnd w:id="999"/>
      <w:bookmarkStart w:id="1010" w:name="_Toc296503073"/>
      <w:bookmarkStart w:id="1011" w:name="_Toc296346574"/>
      <w:bookmarkStart w:id="1012" w:name="_Toc337558772"/>
      <w:r>
        <w:rPr>
          <w:rFonts w:hint="eastAsia"/>
          <w:color w:val="auto"/>
          <w:sz w:val="21"/>
          <w:szCs w:val="21"/>
        </w:rPr>
        <w:t>.5 工期延误</w:t>
      </w:r>
      <w:bookmarkEnd w:id="1008"/>
      <w:bookmarkEnd w:id="1009"/>
    </w:p>
    <w:bookmarkEnd w:id="1010"/>
    <w:bookmarkEnd w:id="1011"/>
    <w:bookmarkEnd w:id="1012"/>
    <w:p w14:paraId="40EF0F5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7.5.1 因发包人原因导致工期延误</w:t>
      </w:r>
    </w:p>
    <w:p w14:paraId="20B3A6A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在合同履行过程中，因下列情况导致工期延误和（或）费用增加的，由发包人承担由此延误的工期和（或）增加的费用，且发包人应支付承包人合理的利润： </w:t>
      </w:r>
    </w:p>
    <w:p w14:paraId="188FF77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（1）发包人未能按合同约定提供图纸或所提供图纸不符合合同约定的；</w:t>
      </w:r>
    </w:p>
    <w:p w14:paraId="5F5B8CD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（2）发包人未能按合同约定提供施工现场、施工条件、基础资料、许可、批准等开工条件的；</w:t>
      </w:r>
    </w:p>
    <w:p w14:paraId="50FF195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（3）发包人提供的测量基准点、基准线和水准点及其书面资料存在错误或疏漏的；</w:t>
      </w:r>
    </w:p>
    <w:p w14:paraId="48F1F6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（4）发包人未能在计划开工日期之日起7天内同意下达开工通知的；</w:t>
      </w:r>
    </w:p>
    <w:p w14:paraId="7A1445E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（5）发包人未能按合同约定日期支付工程预付款、进度款或竣工结算款的；</w:t>
      </w:r>
    </w:p>
    <w:p w14:paraId="0B02F02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（6）监理人未按合同约定发出指示、批准等文件的；</w:t>
      </w:r>
    </w:p>
    <w:p w14:paraId="6CAC640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（7）专用合同条款中约定的其他情形。</w:t>
      </w:r>
    </w:p>
    <w:p w14:paraId="2FD6DE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30E6B5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7.5.2 因承包人原因导致工期延误</w:t>
      </w:r>
    </w:p>
    <w:p w14:paraId="5F66E1D3">
      <w:pPr>
        <w:autoSpaceDE w:val="0"/>
        <w:autoSpaceDN w:val="0"/>
        <w:spacing w:line="360" w:lineRule="auto"/>
        <w:ind w:firstLine="420" w:firstLineChars="200"/>
        <w:jc w:val="left"/>
        <w:rPr>
          <w:rFonts w:ascii="宋体" w:hAnsi="宋体"/>
          <w:color w:val="auto"/>
          <w:kern w:val="0"/>
          <w:szCs w:val="21"/>
        </w:rPr>
      </w:pPr>
      <w:bookmarkStart w:id="1013" w:name="_Toc296503076"/>
      <w:bookmarkStart w:id="1014" w:name="_Toc296346577"/>
      <w:r>
        <w:rPr>
          <w:rFonts w:hint="eastAsia" w:ascii="宋体" w:hAnsi="宋体"/>
          <w:color w:val="auto"/>
          <w:kern w:val="0"/>
          <w:szCs w:val="21"/>
        </w:rPr>
        <w:t>因</w:t>
      </w:r>
      <w:bookmarkEnd w:id="1013"/>
      <w:bookmarkEnd w:id="1014"/>
      <w:r>
        <w:rPr>
          <w:rFonts w:hint="eastAsia" w:ascii="宋体" w:hAnsi="宋体"/>
          <w:color w:val="auto"/>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7DAA963A">
      <w:pPr>
        <w:pStyle w:val="7"/>
        <w:spacing w:before="0" w:beforeAutospacing="0" w:after="0" w:afterAutospacing="0" w:line="360" w:lineRule="auto"/>
        <w:ind w:firstLine="422" w:firstLineChars="200"/>
        <w:rPr>
          <w:color w:val="auto"/>
          <w:sz w:val="21"/>
          <w:szCs w:val="21"/>
        </w:rPr>
      </w:pPr>
      <w:bookmarkStart w:id="1015" w:name="_Toc532377234"/>
      <w:bookmarkStart w:id="1016" w:name="_Toc351203548"/>
      <w:r>
        <w:rPr>
          <w:rFonts w:hint="eastAsia"/>
          <w:color w:val="auto"/>
          <w:sz w:val="21"/>
          <w:szCs w:val="21"/>
        </w:rPr>
        <w:t>7</w:t>
      </w:r>
      <w:bookmarkStart w:id="1017" w:name="_Toc296346575"/>
      <w:bookmarkStart w:id="1018" w:name="_Toc337558773"/>
      <w:bookmarkStart w:id="1019" w:name="_Toc296503074"/>
      <w:bookmarkStart w:id="1020" w:name="_Toc296346578"/>
      <w:bookmarkStart w:id="1021" w:name="_Toc296503077"/>
      <w:r>
        <w:rPr>
          <w:rFonts w:hint="eastAsia"/>
          <w:color w:val="auto"/>
          <w:sz w:val="21"/>
          <w:szCs w:val="21"/>
        </w:rPr>
        <w:t>.6 不利物质条件</w:t>
      </w:r>
      <w:bookmarkEnd w:id="1015"/>
      <w:bookmarkEnd w:id="1016"/>
    </w:p>
    <w:bookmarkEnd w:id="1017"/>
    <w:bookmarkEnd w:id="1018"/>
    <w:bookmarkEnd w:id="1019"/>
    <w:p w14:paraId="5EE5624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4A2D66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55E61EF">
      <w:pPr>
        <w:pStyle w:val="7"/>
        <w:spacing w:before="0" w:beforeAutospacing="0" w:after="0" w:afterAutospacing="0" w:line="360" w:lineRule="auto"/>
        <w:ind w:firstLine="422" w:firstLineChars="200"/>
        <w:rPr>
          <w:color w:val="auto"/>
          <w:sz w:val="21"/>
          <w:szCs w:val="21"/>
        </w:rPr>
      </w:pPr>
      <w:bookmarkStart w:id="1022" w:name="_Toc351203549"/>
      <w:bookmarkStart w:id="1023" w:name="_Toc532377235"/>
      <w:r>
        <w:rPr>
          <w:rFonts w:hint="eastAsia"/>
          <w:color w:val="auto"/>
          <w:sz w:val="21"/>
          <w:szCs w:val="21"/>
        </w:rPr>
        <w:t>7</w:t>
      </w:r>
      <w:bookmarkStart w:id="1024" w:name="_Toc296346576"/>
      <w:bookmarkStart w:id="1025" w:name="_Toc296503075"/>
      <w:bookmarkStart w:id="1026" w:name="_Toc337558774"/>
      <w:r>
        <w:rPr>
          <w:rFonts w:hint="eastAsia"/>
          <w:color w:val="auto"/>
          <w:sz w:val="21"/>
          <w:szCs w:val="21"/>
        </w:rPr>
        <w:t>.7 异常恶劣的气候条件</w:t>
      </w:r>
      <w:bookmarkEnd w:id="1022"/>
      <w:bookmarkEnd w:id="1023"/>
    </w:p>
    <w:bookmarkEnd w:id="1024"/>
    <w:bookmarkEnd w:id="1025"/>
    <w:bookmarkEnd w:id="1026"/>
    <w:p w14:paraId="3BC220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2402B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027" w:name="_Toc351203550"/>
    </w:p>
    <w:p w14:paraId="4380851B">
      <w:pPr>
        <w:pStyle w:val="7"/>
        <w:spacing w:before="0" w:beforeAutospacing="0" w:after="0" w:afterAutospacing="0" w:line="360" w:lineRule="auto"/>
        <w:ind w:firstLine="422" w:firstLineChars="200"/>
        <w:rPr>
          <w:color w:val="auto"/>
          <w:sz w:val="21"/>
          <w:szCs w:val="21"/>
        </w:rPr>
      </w:pPr>
      <w:bookmarkStart w:id="1028" w:name="_Toc532377236"/>
      <w:r>
        <w:rPr>
          <w:rFonts w:hint="eastAsia"/>
          <w:color w:val="auto"/>
          <w:sz w:val="21"/>
          <w:szCs w:val="21"/>
        </w:rPr>
        <w:t>7</w:t>
      </w:r>
      <w:bookmarkStart w:id="1029" w:name="_Toc337558775"/>
      <w:r>
        <w:rPr>
          <w:rFonts w:hint="eastAsia"/>
          <w:color w:val="auto"/>
          <w:sz w:val="21"/>
          <w:szCs w:val="21"/>
        </w:rPr>
        <w:t>.8 暂停施工</w:t>
      </w:r>
      <w:bookmarkEnd w:id="1027"/>
      <w:bookmarkEnd w:id="1028"/>
    </w:p>
    <w:bookmarkEnd w:id="1020"/>
    <w:bookmarkEnd w:id="1021"/>
    <w:bookmarkEnd w:id="1029"/>
    <w:p w14:paraId="265D99B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7.8.1发包人原因引起的暂停施工</w:t>
      </w:r>
    </w:p>
    <w:p w14:paraId="628C53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因发包人原因引起暂停施工的，监理人经发包人同意后，应及时下达暂停施工指示。情况紧急且监理人未及时下达暂停施工指示的，按照第7.8.4项〔紧急情况下的暂停施工〕执行。</w:t>
      </w:r>
    </w:p>
    <w:p w14:paraId="4245FB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因发包人原因引起的暂停施工，发包人应承担由此增加的费用和（或）延误的工期，并支付承包人合理的利润。</w:t>
      </w:r>
    </w:p>
    <w:p w14:paraId="54D8DF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7.8.2 承包人原因引起的暂停施工</w:t>
      </w:r>
    </w:p>
    <w:p w14:paraId="1DA8A5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730C53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7.8.3 指示暂停施工</w:t>
      </w:r>
    </w:p>
    <w:p w14:paraId="0B1C3AD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监理人认为有必要时，并经发包人批准后，可向承包人作出暂停施工的指示，承包人应按监理人指示暂停施工。</w:t>
      </w:r>
    </w:p>
    <w:p w14:paraId="7712E25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7.8.4 紧急情况下的暂停施工</w:t>
      </w:r>
    </w:p>
    <w:p w14:paraId="2A7B897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745BE3C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7.8.5 暂停施工后的复工</w:t>
      </w:r>
    </w:p>
    <w:p w14:paraId="0698303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369F5C2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承包人无故拖延和拒绝复工的，承包人承担由此增加的费用和（或）延误的工期；因发包人原因无法按时复工的，按照第7.5.1项〔因发包人原因导致工期延误〕约定办理。</w:t>
      </w:r>
    </w:p>
    <w:p w14:paraId="11579D3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7.8.6 暂停施工持续56天以上</w:t>
      </w:r>
    </w:p>
    <w:p w14:paraId="661832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DC9D2B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BAE7FE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7.8.7 暂停施工期间的工程照管</w:t>
      </w:r>
    </w:p>
    <w:p w14:paraId="4D9A720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暂停施工期间，承包人应负责妥善照管工程并提供安全保障，由此增加的费用由责任方承担。</w:t>
      </w:r>
    </w:p>
    <w:p w14:paraId="0C611B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7.8.8 暂停施工的措施</w:t>
      </w:r>
    </w:p>
    <w:p w14:paraId="574F9EC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暂停施工期间，发包人和承包人均应采取必要的措施确保工程质量及安全，防止因暂停施工扩大损失。</w:t>
      </w:r>
    </w:p>
    <w:p w14:paraId="5EE09EA3">
      <w:pPr>
        <w:pStyle w:val="7"/>
        <w:spacing w:before="0" w:beforeAutospacing="0" w:after="0" w:afterAutospacing="0" w:line="360" w:lineRule="auto"/>
        <w:ind w:firstLine="422" w:firstLineChars="200"/>
        <w:rPr>
          <w:color w:val="auto"/>
          <w:sz w:val="21"/>
          <w:szCs w:val="21"/>
        </w:rPr>
      </w:pPr>
      <w:bookmarkStart w:id="1030" w:name="_Toc532377237"/>
      <w:bookmarkStart w:id="1031" w:name="_Toc351203551"/>
      <w:r>
        <w:rPr>
          <w:rFonts w:hint="eastAsia"/>
          <w:color w:val="auto"/>
          <w:sz w:val="21"/>
          <w:szCs w:val="21"/>
        </w:rPr>
        <w:t>7.9提前竣工</w:t>
      </w:r>
      <w:bookmarkEnd w:id="1030"/>
      <w:bookmarkEnd w:id="1031"/>
    </w:p>
    <w:p w14:paraId="45EF98D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1D5A598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7.9.2 发包人要求承包人提前竣工，或承包人提出提前竣工的建议能够给发包人带来效益的，合同当事人可以在专用合同条款中约定提前竣工的奖励。</w:t>
      </w:r>
    </w:p>
    <w:p w14:paraId="74399570">
      <w:pPr>
        <w:pStyle w:val="6"/>
        <w:keepNext/>
        <w:keepLines/>
        <w:spacing w:beforeLines="50" w:beforeAutospacing="0" w:afterLines="50" w:afterAutospacing="0" w:line="360" w:lineRule="auto"/>
        <w:jc w:val="both"/>
        <w:rPr>
          <w:bCs w:val="0"/>
          <w:color w:val="auto"/>
          <w:kern w:val="2"/>
          <w:sz w:val="21"/>
          <w:szCs w:val="21"/>
        </w:rPr>
      </w:pPr>
      <w:bookmarkStart w:id="1032" w:name="_Toc351203552"/>
      <w:bookmarkStart w:id="1033" w:name="_Toc532377238"/>
      <w:bookmarkStart w:id="1034" w:name="_Toc532375594"/>
      <w:r>
        <w:rPr>
          <w:rFonts w:hint="eastAsia"/>
          <w:color w:val="auto"/>
          <w:kern w:val="2"/>
          <w:sz w:val="21"/>
          <w:szCs w:val="21"/>
        </w:rPr>
        <w:t>8</w:t>
      </w:r>
      <w:bookmarkStart w:id="1035" w:name="_Toc337558776"/>
      <w:bookmarkStart w:id="1036" w:name="_Toc296503058"/>
      <w:bookmarkStart w:id="1037" w:name="_Toc296346559"/>
      <w:r>
        <w:rPr>
          <w:rFonts w:hint="eastAsia"/>
          <w:color w:val="auto"/>
          <w:kern w:val="2"/>
          <w:sz w:val="21"/>
          <w:szCs w:val="21"/>
        </w:rPr>
        <w:t>. 材料与设备</w:t>
      </w:r>
      <w:bookmarkEnd w:id="1032"/>
      <w:bookmarkEnd w:id="1033"/>
      <w:bookmarkEnd w:id="1034"/>
    </w:p>
    <w:bookmarkEnd w:id="1035"/>
    <w:bookmarkEnd w:id="1036"/>
    <w:bookmarkEnd w:id="1037"/>
    <w:p w14:paraId="3E25F14C">
      <w:pPr>
        <w:pStyle w:val="7"/>
        <w:spacing w:before="0" w:beforeAutospacing="0" w:after="0" w:afterAutospacing="0" w:line="360" w:lineRule="auto"/>
        <w:ind w:firstLine="422" w:firstLineChars="200"/>
        <w:rPr>
          <w:color w:val="auto"/>
          <w:sz w:val="21"/>
          <w:szCs w:val="21"/>
        </w:rPr>
      </w:pPr>
      <w:bookmarkStart w:id="1038" w:name="_Toc351203553"/>
      <w:bookmarkStart w:id="1039" w:name="_Toc532377239"/>
      <w:r>
        <w:rPr>
          <w:rFonts w:hint="eastAsia"/>
          <w:color w:val="auto"/>
          <w:sz w:val="21"/>
          <w:szCs w:val="21"/>
        </w:rPr>
        <w:t>8</w:t>
      </w:r>
      <w:bookmarkStart w:id="1040" w:name="_Toc296503059"/>
      <w:bookmarkStart w:id="1041" w:name="_Toc296346560"/>
      <w:bookmarkStart w:id="1042" w:name="_Toc337558777"/>
      <w:bookmarkStart w:id="1043" w:name="_Toc468936960"/>
      <w:r>
        <w:rPr>
          <w:rFonts w:hint="eastAsia"/>
          <w:color w:val="auto"/>
          <w:sz w:val="21"/>
          <w:szCs w:val="21"/>
        </w:rPr>
        <w:t>.1发包人供应材料与工程设备</w:t>
      </w:r>
      <w:bookmarkEnd w:id="1038"/>
      <w:bookmarkEnd w:id="1039"/>
    </w:p>
    <w:bookmarkEnd w:id="1040"/>
    <w:bookmarkEnd w:id="1041"/>
    <w:bookmarkEnd w:id="1042"/>
    <w:p w14:paraId="20A908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发包人自行供应材料、工程设备的，应在签订合同时在专用合同条款的附件《发包人供应材料设备一览表》中明确材料、工程设备的品种、规格、型号、数量、单价、质量等级和送达地点。</w:t>
      </w:r>
    </w:p>
    <w:p w14:paraId="28308E0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CC22E4B">
      <w:pPr>
        <w:pStyle w:val="7"/>
        <w:spacing w:before="0" w:beforeAutospacing="0" w:after="0" w:afterAutospacing="0" w:line="360" w:lineRule="auto"/>
        <w:ind w:firstLine="422" w:firstLineChars="200"/>
        <w:rPr>
          <w:color w:val="auto"/>
          <w:sz w:val="21"/>
          <w:szCs w:val="21"/>
        </w:rPr>
      </w:pPr>
      <w:bookmarkStart w:id="1044" w:name="_Toc532377240"/>
      <w:r>
        <w:rPr>
          <w:rFonts w:hint="eastAsia"/>
          <w:color w:val="auto"/>
          <w:sz w:val="21"/>
          <w:szCs w:val="21"/>
        </w:rPr>
        <w:t>8.2承包人采购材料与工程设备</w:t>
      </w:r>
      <w:bookmarkEnd w:id="1044"/>
    </w:p>
    <w:p w14:paraId="6230C8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BB910CB">
      <w:pPr>
        <w:pStyle w:val="7"/>
        <w:spacing w:before="0" w:beforeAutospacing="0" w:after="0" w:afterAutospacing="0" w:line="360" w:lineRule="auto"/>
        <w:ind w:firstLine="422" w:firstLineChars="200"/>
        <w:rPr>
          <w:color w:val="auto"/>
          <w:sz w:val="21"/>
          <w:szCs w:val="21"/>
        </w:rPr>
      </w:pPr>
      <w:bookmarkStart w:id="1045" w:name="_Toc532377241"/>
      <w:bookmarkStart w:id="1046" w:name="_Toc351203555"/>
      <w:r>
        <w:rPr>
          <w:rFonts w:hint="eastAsia"/>
          <w:color w:val="auto"/>
          <w:sz w:val="21"/>
          <w:szCs w:val="21"/>
        </w:rPr>
        <w:t>8</w:t>
      </w:r>
      <w:bookmarkStart w:id="1047" w:name="_Toc296503061"/>
      <w:bookmarkStart w:id="1048" w:name="_Toc337558779"/>
      <w:bookmarkStart w:id="1049" w:name="_Toc296346562"/>
      <w:r>
        <w:rPr>
          <w:rFonts w:hint="eastAsia"/>
          <w:color w:val="auto"/>
          <w:sz w:val="21"/>
          <w:szCs w:val="21"/>
        </w:rPr>
        <w:t>.3材料与工程设备的接收与拒收</w:t>
      </w:r>
      <w:bookmarkEnd w:id="1045"/>
      <w:bookmarkEnd w:id="1046"/>
    </w:p>
    <w:bookmarkEnd w:id="1047"/>
    <w:bookmarkEnd w:id="1048"/>
    <w:bookmarkEnd w:id="1049"/>
    <w:p w14:paraId="388E8C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ED6AB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发包人提供的材料和工程设备的规格、数量或质量不符合合同约定的，或因发包人原因导致交货日期延误或交货地点变更等情况的，按照第16.1款〔发包人违约〕约定办理。</w:t>
      </w:r>
    </w:p>
    <w:p w14:paraId="1305454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8.3.2 承包人采购的材料和工程设备，应保证产品质量合格，承包人应在材料和工程设备到货前24小时通知监理人检验。承</w:t>
      </w:r>
      <w:bookmarkStart w:id="1050" w:name="_Toc250655469"/>
      <w:r>
        <w:rPr>
          <w:rFonts w:hint="eastAsia" w:ascii="宋体" w:hAnsi="宋体"/>
          <w:color w:val="auto"/>
          <w:kern w:val="0"/>
          <w:szCs w:val="21"/>
        </w:rPr>
        <w:t>包人进行永久设备、材料的制造和生产的，应符合相关质量标准，并向监理人提交材料的样本以及有关资料，并应在使用该材料或工程设备之前获得监理人同意。</w:t>
      </w:r>
    </w:p>
    <w:bookmarkEnd w:id="1050"/>
    <w:p w14:paraId="48AF45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2E23D9C">
      <w:pPr>
        <w:pStyle w:val="7"/>
        <w:spacing w:before="0" w:beforeAutospacing="0" w:after="0" w:afterAutospacing="0" w:line="360" w:lineRule="auto"/>
        <w:ind w:firstLine="422" w:firstLineChars="200"/>
        <w:rPr>
          <w:color w:val="auto"/>
          <w:sz w:val="21"/>
          <w:szCs w:val="21"/>
        </w:rPr>
      </w:pPr>
      <w:bookmarkStart w:id="1051" w:name="_Toc532377242"/>
      <w:bookmarkStart w:id="1052" w:name="_Toc351203556"/>
      <w:r>
        <w:rPr>
          <w:rFonts w:hint="eastAsia"/>
          <w:color w:val="auto"/>
          <w:sz w:val="21"/>
          <w:szCs w:val="21"/>
        </w:rPr>
        <w:t>8</w:t>
      </w:r>
      <w:bookmarkStart w:id="1053" w:name="_Toc296346563"/>
      <w:bookmarkStart w:id="1054" w:name="_Toc337558780"/>
      <w:bookmarkStart w:id="1055" w:name="_Toc296503062"/>
      <w:r>
        <w:rPr>
          <w:rFonts w:hint="eastAsia"/>
          <w:color w:val="auto"/>
          <w:sz w:val="21"/>
          <w:szCs w:val="21"/>
        </w:rPr>
        <w:t>.4材料与工程设备的保管与使用</w:t>
      </w:r>
      <w:bookmarkEnd w:id="1051"/>
      <w:bookmarkEnd w:id="1052"/>
    </w:p>
    <w:bookmarkEnd w:id="1053"/>
    <w:bookmarkEnd w:id="1054"/>
    <w:bookmarkEnd w:id="1055"/>
    <w:p w14:paraId="66FCF7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8.4.1 发包人供应材料与工程设备的保管与使用</w:t>
      </w:r>
    </w:p>
    <w:p w14:paraId="52B462A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3382BC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发包人供应的材料和工程设备使用前，由承包人负责检验，检验费用由发包人承担，不合格的不得使用。</w:t>
      </w:r>
    </w:p>
    <w:p w14:paraId="67C93EF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8.4.2 承包人采购材料与工程设备的保管与使用</w:t>
      </w:r>
    </w:p>
    <w:p w14:paraId="67AF89F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55CB61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发包人或监理人发现承包人使用不符合设计或有关标准要求的材料和工程设备时，有权要求承包人进行修复、拆除或重新采购，由此增加的费用和（或）延误的工期，由承包人承担。</w:t>
      </w:r>
    </w:p>
    <w:p w14:paraId="7C7AD364">
      <w:pPr>
        <w:pStyle w:val="7"/>
        <w:spacing w:before="0" w:beforeAutospacing="0" w:after="0" w:afterAutospacing="0" w:line="360" w:lineRule="auto"/>
        <w:ind w:firstLine="422" w:firstLineChars="200"/>
        <w:rPr>
          <w:color w:val="auto"/>
          <w:sz w:val="21"/>
          <w:szCs w:val="21"/>
        </w:rPr>
      </w:pPr>
      <w:bookmarkStart w:id="1056" w:name="_Toc351203557"/>
      <w:bookmarkStart w:id="1057" w:name="_Toc532377243"/>
      <w:r>
        <w:rPr>
          <w:rFonts w:hint="eastAsia"/>
          <w:color w:val="auto"/>
          <w:sz w:val="21"/>
          <w:szCs w:val="21"/>
        </w:rPr>
        <w:t>8.5禁止使用不合格的材料和工程设备</w:t>
      </w:r>
      <w:bookmarkEnd w:id="1056"/>
      <w:bookmarkEnd w:id="1057"/>
    </w:p>
    <w:p w14:paraId="1B2598D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8.5.1 监理人有权拒绝承包人提供的不合格材料或工程设备，并要求承包人立即进行更换。监理人应在更换后再次进行检查和检验，由此增加的费用和（或）延误的工期由承包人承担。</w:t>
      </w:r>
    </w:p>
    <w:p w14:paraId="355DAE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8.5.2 监理人发现承包人使用了不合格的材料和工程设备，承包人应按照监理人的指示立即改正，并禁止在工程中继续使用不合格的材料和工程设备。</w:t>
      </w:r>
    </w:p>
    <w:p w14:paraId="15F80D2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8.5.3 发包人提供的材料或工程设备不符合合同要求的，承包人有权拒绝，并可要求发包人更换，由此增加的费用和（或）延误的工期由发包人承担，并支付承包人合理的利润。</w:t>
      </w:r>
    </w:p>
    <w:p w14:paraId="0100E2A4">
      <w:pPr>
        <w:pStyle w:val="7"/>
        <w:spacing w:before="0" w:beforeAutospacing="0" w:after="0" w:afterAutospacing="0" w:line="360" w:lineRule="auto"/>
        <w:ind w:firstLine="422" w:firstLineChars="200"/>
        <w:rPr>
          <w:color w:val="auto"/>
          <w:sz w:val="21"/>
          <w:szCs w:val="21"/>
        </w:rPr>
      </w:pPr>
      <w:bookmarkStart w:id="1058" w:name="_Toc532377244"/>
      <w:bookmarkStart w:id="1059" w:name="_Toc351203558"/>
      <w:r>
        <w:rPr>
          <w:rFonts w:hint="eastAsia"/>
          <w:color w:val="auto"/>
          <w:sz w:val="21"/>
          <w:szCs w:val="21"/>
        </w:rPr>
        <w:t>8.6 样品</w:t>
      </w:r>
      <w:bookmarkEnd w:id="1058"/>
      <w:bookmarkEnd w:id="1059"/>
    </w:p>
    <w:p w14:paraId="228998C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8.6.1</w:t>
      </w:r>
      <w:r>
        <w:rPr>
          <w:rFonts w:hint="eastAsia" w:ascii="宋体" w:hAnsi="宋体"/>
          <w:color w:val="auto"/>
          <w:kern w:val="0"/>
          <w:szCs w:val="21"/>
        </w:rPr>
        <w:tab/>
      </w:r>
      <w:r>
        <w:rPr>
          <w:rFonts w:hint="eastAsia" w:ascii="宋体" w:hAnsi="宋体"/>
          <w:color w:val="auto"/>
          <w:kern w:val="0"/>
          <w:szCs w:val="21"/>
        </w:rPr>
        <w:t>样品的报送与封存</w:t>
      </w:r>
    </w:p>
    <w:p w14:paraId="2756F4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需要承包人报送样品的材料或工程设备，样品的种类、名称、规格、数量等要求均应在专用合同条款中约定。样品的报送程序如下：</w:t>
      </w:r>
    </w:p>
    <w:p w14:paraId="5D75C6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37BE4A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82973A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（3）经发包人和监理人审批确认的样品应按约定的方法封样，封存的样品作为检验工程相关部分的标准之一。承包人在施工过程中不得使用与样品不符的材料或工程设备。</w:t>
      </w:r>
    </w:p>
    <w:p w14:paraId="188D357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4C1C3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8.6.2 样品的保管</w:t>
      </w:r>
    </w:p>
    <w:p w14:paraId="7E885C5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经批准的样品应由监理人负责封存于现场，承包人应在现场为保存样品提供适当和固定的场所并保持适当和良好的存储环境条件。</w:t>
      </w:r>
    </w:p>
    <w:p w14:paraId="33A03719">
      <w:pPr>
        <w:pStyle w:val="7"/>
        <w:spacing w:before="0" w:beforeAutospacing="0" w:after="0" w:afterAutospacing="0" w:line="360" w:lineRule="auto"/>
        <w:ind w:firstLine="422" w:firstLineChars="200"/>
        <w:rPr>
          <w:color w:val="auto"/>
          <w:sz w:val="21"/>
          <w:szCs w:val="21"/>
        </w:rPr>
      </w:pPr>
      <w:bookmarkStart w:id="1060" w:name="_Toc532377245"/>
      <w:bookmarkStart w:id="1061" w:name="_Toc351203559"/>
      <w:r>
        <w:rPr>
          <w:rFonts w:hint="eastAsia"/>
          <w:color w:val="auto"/>
          <w:sz w:val="21"/>
          <w:szCs w:val="21"/>
        </w:rPr>
        <w:t>8.7材料与工程设备的替代</w:t>
      </w:r>
      <w:bookmarkEnd w:id="1060"/>
      <w:bookmarkEnd w:id="1061"/>
    </w:p>
    <w:p w14:paraId="022B5C8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8.7.1 出现下列情况需要使用替代材料和工程设备的，承包人应按照第8.7.2项约定的程序执行：</w:t>
      </w:r>
    </w:p>
    <w:p w14:paraId="7C9F88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（1）基准日期后生效的法律规定禁止使用的；</w:t>
      </w:r>
    </w:p>
    <w:p w14:paraId="379425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（2）发包人要求使用替代品的；</w:t>
      </w:r>
    </w:p>
    <w:p w14:paraId="6F3A811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（3）因其他原因必须使用替代品的。</w:t>
      </w:r>
    </w:p>
    <w:p w14:paraId="63221C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8.7.2 承包人应在使用替代材料和工程设备28天前书面通知监理人，并附下列文件：</w:t>
      </w:r>
    </w:p>
    <w:p w14:paraId="67D88D4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（1）被替代的材料和工程设备的名称、数量、规格、型号、品牌、性能、价格及其他相关资料；</w:t>
      </w:r>
    </w:p>
    <w:p w14:paraId="710C27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（2）替代品的名称、数量、规格、型号、品牌、性能、价格及其他相关资料；</w:t>
      </w:r>
    </w:p>
    <w:p w14:paraId="3E28927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（3）替代品与被替代产品之间的差异以及使用替代品可能对工程产生的影响；</w:t>
      </w:r>
    </w:p>
    <w:p w14:paraId="7FB2D4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（4）替代品与被替代产品的价格差异；</w:t>
      </w:r>
    </w:p>
    <w:p w14:paraId="0F08351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（5）使用替代品的理由和原因说明；</w:t>
      </w:r>
    </w:p>
    <w:p w14:paraId="4E88D1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（6）监理人要求的其他文件。</w:t>
      </w:r>
    </w:p>
    <w:p w14:paraId="32DE821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监理人应在收到通知后14天内向承包人发出经发包人签认的书面指示；监理人逾期发出书面指示的，视为发包人和监理人同意使用替代品。</w:t>
      </w:r>
    </w:p>
    <w:p w14:paraId="391ABBF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638948E2">
      <w:pPr>
        <w:pStyle w:val="7"/>
        <w:spacing w:before="0" w:beforeAutospacing="0" w:after="0" w:afterAutospacing="0" w:line="360" w:lineRule="auto"/>
        <w:ind w:firstLine="422" w:firstLineChars="200"/>
        <w:rPr>
          <w:color w:val="auto"/>
          <w:sz w:val="21"/>
          <w:szCs w:val="21"/>
        </w:rPr>
      </w:pPr>
      <w:bookmarkStart w:id="1062" w:name="_Toc532377246"/>
      <w:bookmarkStart w:id="1063" w:name="_Toc351203560"/>
      <w:r>
        <w:rPr>
          <w:rFonts w:hint="eastAsia"/>
          <w:color w:val="auto"/>
          <w:sz w:val="21"/>
          <w:szCs w:val="21"/>
        </w:rPr>
        <w:t>8.8施工设备和临时设施</w:t>
      </w:r>
      <w:bookmarkEnd w:id="1062"/>
      <w:bookmarkEnd w:id="1063"/>
    </w:p>
    <w:p w14:paraId="77E704B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8.8.1 承包人提供的施工设备和临时设施</w:t>
      </w:r>
    </w:p>
    <w:p w14:paraId="6F5C351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14:paraId="776EED6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除专用合同条款另有约定外，承包人应自行承担修建临时设施的费用，需要临时占地的，应由发包人办理申请手续并承担相应费用。</w:t>
      </w:r>
    </w:p>
    <w:p w14:paraId="73B307D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8.8.2发包人提供的施工设备和临时设施</w:t>
      </w:r>
    </w:p>
    <w:p w14:paraId="113D98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发包人提供的施工设备或临时设施在专用合同条款中约定。</w:t>
      </w:r>
    </w:p>
    <w:p w14:paraId="1EF557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8.8.3要求承包人增加或更换施工设备</w:t>
      </w:r>
    </w:p>
    <w:p w14:paraId="5420A1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承包人使用的施工设备不能满足合同进度计划和（或）质量要求时，监理人有权要求承包人增加或更换施工设备，承包人应及时增加或更换，由此增加的费用和（或）延误的工期由承包人承担。</w:t>
      </w:r>
    </w:p>
    <w:p w14:paraId="4798BBF2">
      <w:pPr>
        <w:pStyle w:val="7"/>
        <w:spacing w:before="0" w:beforeAutospacing="0" w:after="0" w:afterAutospacing="0" w:line="360" w:lineRule="auto"/>
        <w:ind w:firstLine="422" w:firstLineChars="200"/>
        <w:rPr>
          <w:color w:val="auto"/>
          <w:sz w:val="21"/>
          <w:szCs w:val="21"/>
        </w:rPr>
      </w:pPr>
      <w:bookmarkStart w:id="1064" w:name="_Toc351203561"/>
      <w:bookmarkStart w:id="1065" w:name="_Toc532377247"/>
      <w:r>
        <w:rPr>
          <w:rFonts w:hint="eastAsia"/>
          <w:color w:val="auto"/>
          <w:sz w:val="21"/>
          <w:szCs w:val="21"/>
        </w:rPr>
        <w:t>8</w:t>
      </w:r>
      <w:bookmarkStart w:id="1066" w:name="_Toc337558781"/>
      <w:bookmarkStart w:id="1067" w:name="_Toc296503063"/>
      <w:bookmarkStart w:id="1068" w:name="_Toc296346564"/>
      <w:r>
        <w:rPr>
          <w:rFonts w:hint="eastAsia"/>
          <w:color w:val="auto"/>
          <w:sz w:val="21"/>
          <w:szCs w:val="21"/>
        </w:rPr>
        <w:t>.9材料与设备专用</w:t>
      </w:r>
      <w:bookmarkEnd w:id="1064"/>
      <w:r>
        <w:rPr>
          <w:rFonts w:hint="eastAsia"/>
          <w:color w:val="auto"/>
          <w:sz w:val="21"/>
          <w:szCs w:val="21"/>
        </w:rPr>
        <w:t>要求</w:t>
      </w:r>
      <w:bookmarkEnd w:id="1065"/>
    </w:p>
    <w:bookmarkEnd w:id="1066"/>
    <w:bookmarkEnd w:id="1067"/>
    <w:bookmarkEnd w:id="1068"/>
    <w:p w14:paraId="3DF4BCD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1043"/>
      <w:r>
        <w:rPr>
          <w:rFonts w:hint="eastAsia" w:ascii="宋体" w:hAnsi="宋体"/>
          <w:color w:val="auto"/>
          <w:kern w:val="0"/>
          <w:szCs w:val="21"/>
        </w:rPr>
        <w:t>经发包人批准，承包人可以根据施工进度计划撤走闲置的施工设备和其他物品。</w:t>
      </w:r>
    </w:p>
    <w:p w14:paraId="2683498D">
      <w:pPr>
        <w:pStyle w:val="6"/>
        <w:keepNext/>
        <w:keepLines/>
        <w:spacing w:beforeLines="50" w:beforeAutospacing="0" w:afterLines="50" w:afterAutospacing="0" w:line="360" w:lineRule="auto"/>
        <w:jc w:val="both"/>
        <w:rPr>
          <w:bCs w:val="0"/>
          <w:color w:val="auto"/>
          <w:kern w:val="2"/>
          <w:sz w:val="21"/>
          <w:szCs w:val="21"/>
        </w:rPr>
      </w:pPr>
      <w:bookmarkStart w:id="1069" w:name="_Toc532375595"/>
      <w:bookmarkStart w:id="1070" w:name="_Toc532377248"/>
      <w:bookmarkStart w:id="1071" w:name="_Toc351203562"/>
      <w:r>
        <w:rPr>
          <w:rFonts w:hint="eastAsia"/>
          <w:color w:val="auto"/>
          <w:kern w:val="2"/>
          <w:sz w:val="21"/>
          <w:szCs w:val="21"/>
        </w:rPr>
        <w:t>9</w:t>
      </w:r>
      <w:bookmarkStart w:id="1072" w:name="_Toc337558782"/>
      <w:bookmarkStart w:id="1073" w:name="_Toc296346584"/>
      <w:bookmarkStart w:id="1074" w:name="_Toc296503083"/>
      <w:r>
        <w:rPr>
          <w:rFonts w:hint="eastAsia"/>
          <w:color w:val="auto"/>
          <w:kern w:val="2"/>
          <w:sz w:val="21"/>
          <w:szCs w:val="21"/>
        </w:rPr>
        <w:t>. 试验与检验</w:t>
      </w:r>
      <w:bookmarkEnd w:id="1069"/>
      <w:bookmarkEnd w:id="1070"/>
      <w:bookmarkEnd w:id="1071"/>
    </w:p>
    <w:bookmarkEnd w:id="1072"/>
    <w:p w14:paraId="645B3742">
      <w:pPr>
        <w:pStyle w:val="7"/>
        <w:spacing w:before="0" w:beforeAutospacing="0" w:after="0" w:afterAutospacing="0" w:line="360" w:lineRule="auto"/>
        <w:ind w:firstLine="422" w:firstLineChars="200"/>
        <w:rPr>
          <w:color w:val="auto"/>
          <w:sz w:val="21"/>
          <w:szCs w:val="21"/>
        </w:rPr>
      </w:pPr>
      <w:bookmarkStart w:id="1075" w:name="_Toc532377249"/>
      <w:bookmarkStart w:id="1076" w:name="_Toc351203563"/>
      <w:r>
        <w:rPr>
          <w:rFonts w:hint="eastAsia"/>
          <w:color w:val="auto"/>
          <w:sz w:val="21"/>
          <w:szCs w:val="21"/>
        </w:rPr>
        <w:t>9</w:t>
      </w:r>
      <w:bookmarkStart w:id="1077" w:name="_Toc337558783"/>
      <w:r>
        <w:rPr>
          <w:rFonts w:hint="eastAsia"/>
          <w:color w:val="auto"/>
          <w:sz w:val="21"/>
          <w:szCs w:val="21"/>
        </w:rPr>
        <w:t>.1试验设备与试验人员</w:t>
      </w:r>
      <w:bookmarkEnd w:id="1075"/>
      <w:bookmarkEnd w:id="1076"/>
    </w:p>
    <w:bookmarkEnd w:id="1077"/>
    <w:p w14:paraId="1A42EB2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0CD8F5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9.1.2 承包人应按专用合同条款的约定提供试验设备、取样装置、试验场所和试验条件，并向监理人提交相应进场计划表。</w:t>
      </w:r>
    </w:p>
    <w:p w14:paraId="336C59E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承包人配置的试验设备要符合相应试验规程的要求并经过具有资质的检测单位检测，且在正式使用该试验设备前，需要经过监理人与承包人共同校定。</w:t>
      </w:r>
    </w:p>
    <w:p w14:paraId="32FBC9A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9.1.3 承包人应向监理人提交试验人员的名单及其岗位、资格等证明资料，试验人员必须能够熟练进行相应的检测试验，承包人对试验人员的试验程序和试验结果的正确性负责。</w:t>
      </w:r>
    </w:p>
    <w:p w14:paraId="53D8C02E">
      <w:pPr>
        <w:pStyle w:val="7"/>
        <w:spacing w:before="0" w:beforeAutospacing="0" w:after="0" w:afterAutospacing="0" w:line="360" w:lineRule="auto"/>
        <w:ind w:firstLine="422" w:firstLineChars="200"/>
        <w:rPr>
          <w:color w:val="auto"/>
          <w:sz w:val="21"/>
          <w:szCs w:val="21"/>
        </w:rPr>
      </w:pPr>
      <w:bookmarkStart w:id="1078" w:name="_Toc532377250"/>
      <w:bookmarkStart w:id="1079" w:name="_Toc351203564"/>
      <w:r>
        <w:rPr>
          <w:rFonts w:hint="eastAsia"/>
          <w:color w:val="auto"/>
          <w:sz w:val="21"/>
          <w:szCs w:val="21"/>
        </w:rPr>
        <w:t>9</w:t>
      </w:r>
      <w:bookmarkStart w:id="1080" w:name="_Toc337558784"/>
      <w:r>
        <w:rPr>
          <w:rFonts w:hint="eastAsia"/>
          <w:color w:val="auto"/>
          <w:sz w:val="21"/>
          <w:szCs w:val="21"/>
        </w:rPr>
        <w:t>.2取样</w:t>
      </w:r>
      <w:bookmarkEnd w:id="1078"/>
      <w:bookmarkEnd w:id="1079"/>
    </w:p>
    <w:bookmarkEnd w:id="1080"/>
    <w:p w14:paraId="49BA1E6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试验属于自检性质的，承包人可以单独取样。试验属于监理人抽检性质的，可由监理人取样，也可由承包人的试验人员在监理人的监督下取样。</w:t>
      </w:r>
    </w:p>
    <w:p w14:paraId="118DE6AA">
      <w:pPr>
        <w:pStyle w:val="7"/>
        <w:spacing w:before="0" w:beforeAutospacing="0" w:after="0" w:afterAutospacing="0" w:line="360" w:lineRule="auto"/>
        <w:ind w:firstLine="422" w:firstLineChars="200"/>
        <w:rPr>
          <w:color w:val="auto"/>
          <w:sz w:val="21"/>
          <w:szCs w:val="21"/>
        </w:rPr>
      </w:pPr>
      <w:bookmarkStart w:id="1081" w:name="_Toc351203565"/>
      <w:bookmarkStart w:id="1082" w:name="_Toc532377251"/>
      <w:r>
        <w:rPr>
          <w:rFonts w:hint="eastAsia"/>
          <w:color w:val="auto"/>
          <w:sz w:val="21"/>
          <w:szCs w:val="21"/>
        </w:rPr>
        <w:t>9</w:t>
      </w:r>
      <w:bookmarkStart w:id="1083" w:name="_Toc337558785"/>
      <w:r>
        <w:rPr>
          <w:rFonts w:hint="eastAsia"/>
          <w:color w:val="auto"/>
          <w:sz w:val="21"/>
          <w:szCs w:val="21"/>
        </w:rPr>
        <w:t>.3材料、工程设备和工程的试验和检验</w:t>
      </w:r>
      <w:bookmarkEnd w:id="1081"/>
      <w:bookmarkEnd w:id="1082"/>
    </w:p>
    <w:bookmarkEnd w:id="1083"/>
    <w:p w14:paraId="531ABBB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8528F1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31196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C44EBC7">
      <w:pPr>
        <w:pStyle w:val="7"/>
        <w:spacing w:before="0" w:beforeAutospacing="0" w:after="0" w:afterAutospacing="0" w:line="360" w:lineRule="auto"/>
        <w:ind w:firstLine="422" w:firstLineChars="200"/>
        <w:rPr>
          <w:color w:val="auto"/>
          <w:sz w:val="21"/>
          <w:szCs w:val="21"/>
        </w:rPr>
      </w:pPr>
      <w:bookmarkStart w:id="1084" w:name="_Toc532377252"/>
      <w:bookmarkStart w:id="1085" w:name="_Toc351203566"/>
      <w:r>
        <w:rPr>
          <w:rFonts w:hint="eastAsia"/>
          <w:color w:val="auto"/>
          <w:sz w:val="21"/>
          <w:szCs w:val="21"/>
        </w:rPr>
        <w:t>9</w:t>
      </w:r>
      <w:bookmarkStart w:id="1086" w:name="_Toc337558786"/>
      <w:r>
        <w:rPr>
          <w:rFonts w:hint="eastAsia"/>
          <w:color w:val="auto"/>
          <w:sz w:val="21"/>
          <w:szCs w:val="21"/>
        </w:rPr>
        <w:t>.4现场工艺试验</w:t>
      </w:r>
      <w:bookmarkEnd w:id="1084"/>
      <w:bookmarkEnd w:id="1085"/>
    </w:p>
    <w:bookmarkEnd w:id="1086"/>
    <w:p w14:paraId="7285377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承包人应按合同约定或监理人指示进行现场工艺试验。对大型的现场工艺试验，监理人认为必要时，承包人应根据监理人提出的工艺试验要求，编制工艺试验措施计划，报送监理人审查。</w:t>
      </w:r>
    </w:p>
    <w:p w14:paraId="40A7AA4E">
      <w:pPr>
        <w:pStyle w:val="6"/>
        <w:keepNext/>
        <w:keepLines/>
        <w:spacing w:beforeLines="50" w:beforeAutospacing="0" w:afterLines="50" w:afterAutospacing="0" w:line="360" w:lineRule="auto"/>
        <w:jc w:val="both"/>
        <w:rPr>
          <w:bCs w:val="0"/>
          <w:color w:val="auto"/>
          <w:kern w:val="2"/>
          <w:sz w:val="21"/>
          <w:szCs w:val="21"/>
        </w:rPr>
      </w:pPr>
      <w:bookmarkStart w:id="1087" w:name="_Toc351203567"/>
      <w:bookmarkStart w:id="1088" w:name="_Toc532375596"/>
      <w:bookmarkStart w:id="1089" w:name="_Toc532377253"/>
      <w:r>
        <w:rPr>
          <w:rFonts w:hint="eastAsia"/>
          <w:color w:val="auto"/>
          <w:kern w:val="2"/>
          <w:sz w:val="21"/>
          <w:szCs w:val="21"/>
        </w:rPr>
        <w:t>1</w:t>
      </w:r>
      <w:bookmarkStart w:id="1090" w:name="_Toc337558787"/>
      <w:r>
        <w:rPr>
          <w:rFonts w:hint="eastAsia"/>
          <w:color w:val="auto"/>
          <w:kern w:val="2"/>
          <w:sz w:val="21"/>
          <w:szCs w:val="21"/>
        </w:rPr>
        <w:t>0. 变更</w:t>
      </w:r>
      <w:bookmarkEnd w:id="1073"/>
      <w:bookmarkEnd w:id="1074"/>
      <w:bookmarkEnd w:id="1087"/>
      <w:bookmarkEnd w:id="1088"/>
      <w:bookmarkEnd w:id="1089"/>
    </w:p>
    <w:bookmarkEnd w:id="1090"/>
    <w:p w14:paraId="273526C8">
      <w:pPr>
        <w:pStyle w:val="7"/>
        <w:spacing w:before="0" w:beforeAutospacing="0" w:after="0" w:afterAutospacing="0" w:line="360" w:lineRule="auto"/>
        <w:ind w:firstLine="422" w:firstLineChars="200"/>
        <w:rPr>
          <w:color w:val="auto"/>
          <w:sz w:val="21"/>
          <w:szCs w:val="21"/>
        </w:rPr>
      </w:pPr>
      <w:bookmarkStart w:id="1091" w:name="_Toc351203568"/>
      <w:bookmarkStart w:id="1092" w:name="_Toc532377254"/>
      <w:r>
        <w:rPr>
          <w:rFonts w:hint="eastAsia"/>
          <w:color w:val="auto"/>
          <w:sz w:val="21"/>
          <w:szCs w:val="21"/>
        </w:rPr>
        <w:t>1</w:t>
      </w:r>
      <w:bookmarkStart w:id="1093" w:name="_Toc296346585"/>
      <w:bookmarkStart w:id="1094" w:name="_Toc337558788"/>
      <w:bookmarkStart w:id="1095" w:name="_Toc296503084"/>
      <w:r>
        <w:rPr>
          <w:rFonts w:hint="eastAsia"/>
          <w:color w:val="auto"/>
          <w:sz w:val="21"/>
          <w:szCs w:val="21"/>
        </w:rPr>
        <w:t>0.1变更的范围</w:t>
      </w:r>
      <w:bookmarkEnd w:id="1091"/>
      <w:bookmarkEnd w:id="1092"/>
    </w:p>
    <w:bookmarkEnd w:id="1093"/>
    <w:bookmarkEnd w:id="1094"/>
    <w:bookmarkEnd w:id="1095"/>
    <w:p w14:paraId="40A09E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除专用合同条款另有约定外，合同履行过程中发生以下情形的，应按照本条约定进行变更：</w:t>
      </w:r>
    </w:p>
    <w:p w14:paraId="2EE353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（1）增加或减少合同中任何工作，或追加额外的工作；</w:t>
      </w:r>
    </w:p>
    <w:p w14:paraId="1B0688F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（2）取消合同中任何工作，但转由他人实施的工作除外；</w:t>
      </w:r>
    </w:p>
    <w:p w14:paraId="053067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（3）改变合同中任何工作的质量标准或其他特性；</w:t>
      </w:r>
    </w:p>
    <w:p w14:paraId="575BF16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（4）改变工程的基线、标高、位置和尺寸；</w:t>
      </w:r>
    </w:p>
    <w:p w14:paraId="3BD0DC5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（5）改变工程的时间安排或实施顺序。</w:t>
      </w:r>
    </w:p>
    <w:p w14:paraId="7B5CEC26">
      <w:pPr>
        <w:pStyle w:val="7"/>
        <w:spacing w:before="0" w:beforeAutospacing="0" w:after="0" w:afterAutospacing="0" w:line="360" w:lineRule="auto"/>
        <w:ind w:firstLine="422" w:firstLineChars="200"/>
        <w:rPr>
          <w:color w:val="auto"/>
          <w:sz w:val="21"/>
          <w:szCs w:val="21"/>
        </w:rPr>
      </w:pPr>
      <w:bookmarkStart w:id="1096" w:name="_Toc532377255"/>
      <w:r>
        <w:rPr>
          <w:rFonts w:hint="eastAsia"/>
          <w:color w:val="auto"/>
          <w:sz w:val="21"/>
          <w:szCs w:val="21"/>
        </w:rPr>
        <w:t>10.2变更权</w:t>
      </w:r>
      <w:bookmarkEnd w:id="1096"/>
    </w:p>
    <w:p w14:paraId="295DA5E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CF6F2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涉及设计变更的，应由设计人提供变更后的图纸和说明。如变更超过原设计标准或批准的建设规模时，发包人应及时办理规划、设计变更等审批手续。</w:t>
      </w:r>
    </w:p>
    <w:p w14:paraId="50EB4822">
      <w:pPr>
        <w:pStyle w:val="7"/>
        <w:spacing w:before="0" w:beforeAutospacing="0" w:after="0" w:afterAutospacing="0" w:line="360" w:lineRule="auto"/>
        <w:ind w:firstLine="422" w:firstLineChars="200"/>
        <w:rPr>
          <w:color w:val="auto"/>
          <w:sz w:val="21"/>
          <w:szCs w:val="21"/>
        </w:rPr>
      </w:pPr>
      <w:bookmarkStart w:id="1097" w:name="_Toc532377256"/>
      <w:r>
        <w:rPr>
          <w:rFonts w:hint="eastAsia"/>
          <w:color w:val="auto"/>
          <w:sz w:val="21"/>
          <w:szCs w:val="21"/>
        </w:rPr>
        <w:t>10.3变更程序</w:t>
      </w:r>
      <w:bookmarkEnd w:id="1097"/>
    </w:p>
    <w:p w14:paraId="676E91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10.3.1 发包人提出变更</w:t>
      </w:r>
    </w:p>
    <w:p w14:paraId="2A8358E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发包人提出变更的，应通过监理人向承包人发出变更指示，变更指示应说明计划变更的工程范围和变更的内容。</w:t>
      </w:r>
    </w:p>
    <w:p w14:paraId="443C45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10.3.2 监理人提出变更建议</w:t>
      </w:r>
    </w:p>
    <w:p w14:paraId="2B2B2EE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FCC9D9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10.3.3 变更执行</w:t>
      </w:r>
    </w:p>
    <w:p w14:paraId="4D41AF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102FB5E6">
      <w:pPr>
        <w:pStyle w:val="7"/>
        <w:spacing w:before="0" w:beforeAutospacing="0" w:after="0" w:afterAutospacing="0" w:line="360" w:lineRule="auto"/>
        <w:ind w:firstLine="422" w:firstLineChars="200"/>
        <w:rPr>
          <w:color w:val="auto"/>
          <w:sz w:val="21"/>
          <w:szCs w:val="21"/>
        </w:rPr>
      </w:pPr>
      <w:bookmarkStart w:id="1098" w:name="_Toc351203571"/>
      <w:bookmarkStart w:id="1099" w:name="_Toc532377257"/>
      <w:r>
        <w:rPr>
          <w:rFonts w:hint="eastAsia"/>
          <w:color w:val="auto"/>
          <w:sz w:val="21"/>
          <w:szCs w:val="21"/>
        </w:rPr>
        <w:t>1</w:t>
      </w:r>
      <w:bookmarkStart w:id="1100" w:name="_Toc296346588"/>
      <w:bookmarkStart w:id="1101" w:name="_Toc296503087"/>
      <w:bookmarkStart w:id="1102" w:name="_Toc337558791"/>
      <w:r>
        <w:rPr>
          <w:rFonts w:hint="eastAsia"/>
          <w:color w:val="auto"/>
          <w:sz w:val="21"/>
          <w:szCs w:val="21"/>
        </w:rPr>
        <w:t>0.4变更估价</w:t>
      </w:r>
      <w:bookmarkEnd w:id="1098"/>
      <w:bookmarkEnd w:id="1099"/>
    </w:p>
    <w:bookmarkEnd w:id="1100"/>
    <w:bookmarkEnd w:id="1101"/>
    <w:bookmarkEnd w:id="1102"/>
    <w:p w14:paraId="7D89FB2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10.4.1 变更估价原则</w:t>
      </w:r>
    </w:p>
    <w:p w14:paraId="7CA75F9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除专用合同条款另有约定外，变更估价按照本款约定处理：</w:t>
      </w:r>
    </w:p>
    <w:p w14:paraId="5AFFDA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（1）已标价工程量清单或预算书有相同项目的，按照相同项目单价认定；</w:t>
      </w:r>
    </w:p>
    <w:p w14:paraId="1A2EDC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（2）已标价工程量清单或预算书中无相同项目，但有类似项目的，参照类似项目的单价认定；</w:t>
      </w:r>
    </w:p>
    <w:p w14:paraId="481B19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C4FE1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10.4.2 变更估价程序</w:t>
      </w:r>
    </w:p>
    <w:p w14:paraId="27B1A20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8448E6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因变更引起的价格调整应计入最近一期的进度款中支付。</w:t>
      </w:r>
    </w:p>
    <w:p w14:paraId="23516802">
      <w:pPr>
        <w:pStyle w:val="7"/>
        <w:spacing w:before="0" w:beforeAutospacing="0" w:after="0" w:afterAutospacing="0" w:line="360" w:lineRule="auto"/>
        <w:ind w:firstLine="422" w:firstLineChars="200"/>
        <w:rPr>
          <w:color w:val="auto"/>
          <w:sz w:val="21"/>
          <w:szCs w:val="21"/>
        </w:rPr>
      </w:pPr>
      <w:bookmarkStart w:id="1103" w:name="_Toc351203572"/>
      <w:bookmarkStart w:id="1104" w:name="_Toc532377258"/>
      <w:r>
        <w:rPr>
          <w:rFonts w:hint="eastAsia"/>
          <w:color w:val="auto"/>
          <w:sz w:val="21"/>
          <w:szCs w:val="21"/>
        </w:rPr>
        <w:t>1</w:t>
      </w:r>
      <w:bookmarkStart w:id="1105" w:name="_Toc296503094"/>
      <w:bookmarkStart w:id="1106" w:name="_Toc296346595"/>
      <w:bookmarkStart w:id="1107" w:name="_Toc337558792"/>
      <w:r>
        <w:rPr>
          <w:rFonts w:hint="eastAsia"/>
          <w:color w:val="auto"/>
          <w:sz w:val="21"/>
          <w:szCs w:val="21"/>
        </w:rPr>
        <w:t>0.5承包人的合理化建议</w:t>
      </w:r>
      <w:bookmarkEnd w:id="1103"/>
      <w:bookmarkEnd w:id="1104"/>
    </w:p>
    <w:bookmarkEnd w:id="1105"/>
    <w:bookmarkEnd w:id="1106"/>
    <w:bookmarkEnd w:id="1107"/>
    <w:p w14:paraId="4B0BD2E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承包人提出合理化建议的，应向监理人提交合理化建议说明，说明建议的内容和理由，以及实施该建议对合同价格和工期的影响。</w:t>
      </w:r>
    </w:p>
    <w:p w14:paraId="737014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8ED6D0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合理化建议降低了合同价格或者提高了工程经济效益的，发包人可对承包人给予奖励，奖励的方法和金额在专用合同条款中约定。</w:t>
      </w:r>
    </w:p>
    <w:p w14:paraId="29853E01">
      <w:pPr>
        <w:pStyle w:val="7"/>
        <w:spacing w:before="0" w:beforeAutospacing="0" w:after="0" w:afterAutospacing="0" w:line="360" w:lineRule="auto"/>
        <w:ind w:firstLine="422" w:firstLineChars="200"/>
        <w:rPr>
          <w:color w:val="auto"/>
          <w:sz w:val="21"/>
          <w:szCs w:val="21"/>
        </w:rPr>
      </w:pPr>
      <w:bookmarkStart w:id="1108" w:name="_Toc351203573"/>
      <w:bookmarkStart w:id="1109" w:name="_Toc532377259"/>
      <w:r>
        <w:rPr>
          <w:rFonts w:hint="eastAsia"/>
          <w:color w:val="auto"/>
          <w:sz w:val="21"/>
          <w:szCs w:val="21"/>
        </w:rPr>
        <w:t>1</w:t>
      </w:r>
      <w:bookmarkStart w:id="1110" w:name="_Toc337558793"/>
      <w:r>
        <w:rPr>
          <w:rFonts w:hint="eastAsia"/>
          <w:color w:val="auto"/>
          <w:sz w:val="21"/>
          <w:szCs w:val="21"/>
        </w:rPr>
        <w:t>0.6变更引起的工期调整</w:t>
      </w:r>
      <w:bookmarkEnd w:id="1108"/>
      <w:bookmarkEnd w:id="1109"/>
      <w:bookmarkEnd w:id="1110"/>
    </w:p>
    <w:p w14:paraId="1F98B84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因变更引起工期变化的，合同当事人均可要求调整合同工期，由合同当事人按照第4.4款〔商定或确定〕并参考工程所在地的工期定额标准确定增减工期天数。</w:t>
      </w:r>
    </w:p>
    <w:p w14:paraId="0BD2B695">
      <w:pPr>
        <w:pStyle w:val="7"/>
        <w:spacing w:before="0" w:beforeAutospacing="0" w:after="0" w:afterAutospacing="0" w:line="360" w:lineRule="auto"/>
        <w:ind w:firstLine="422" w:firstLineChars="200"/>
        <w:rPr>
          <w:color w:val="auto"/>
          <w:sz w:val="21"/>
          <w:szCs w:val="21"/>
        </w:rPr>
      </w:pPr>
      <w:bookmarkStart w:id="1111" w:name="_Toc532377260"/>
      <w:bookmarkStart w:id="1112" w:name="_Toc351203574"/>
      <w:r>
        <w:rPr>
          <w:rFonts w:hint="eastAsia"/>
          <w:color w:val="auto"/>
          <w:sz w:val="21"/>
          <w:szCs w:val="21"/>
        </w:rPr>
        <w:t>10.7暂估价</w:t>
      </w:r>
      <w:bookmarkEnd w:id="1111"/>
      <w:bookmarkEnd w:id="1112"/>
    </w:p>
    <w:p w14:paraId="77F8F3B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暂估价专业分包工程、服务、材料和工程设备的明细由合同当事人在专用合同条款中约定。</w:t>
      </w:r>
    </w:p>
    <w:p w14:paraId="53B1D95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10.7.1 依法必须采购的暂估价项目</w:t>
      </w:r>
    </w:p>
    <w:p w14:paraId="20C0EFE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对于依法必须采购的暂估价项目，采取以下第1种方式确定。合同当事人也可以在专用合同条款中选择其他采购方式。</w:t>
      </w:r>
    </w:p>
    <w:p w14:paraId="7EF2B01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第1种方式：对于依法必须采购的暂估价项目，由承包人采购，对该暂估价项目的确认和批准按照以下约定执行：</w:t>
      </w:r>
    </w:p>
    <w:p w14:paraId="3B22303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当根据施工进度计划，在采购工作启动前14天将采购方案通过监理人报送发包人审查，发包人应当在收到承包人报送的采购方案后7天内批准或提出修改意见。承包人应当按照经过发包人批准的采购方案开展采购工作；</w:t>
      </w:r>
    </w:p>
    <w:p w14:paraId="5988D26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当根据施工进度计划，提前14天将采购文件通过监理人报送发包人审批，发包人应当在收到承包人报送的相关文件后7天内完成审批或提出修改意见；发包人有权确定最高限价并按照法律规定参加评标；</w:t>
      </w:r>
    </w:p>
    <w:p w14:paraId="3DB587C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D6A005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对于依法必须采购的暂估价项目，由发包人和承包人共同采购确定暂估价供应商或分包人的，承包人应按照施工进度计划，在采购工作启动前14天通知发包人，并提交暂估价采购方案和工作分工。发包人应在收到后7天内确认。确定中标人后，由发包人、承包人与中标人共同签订暂估价合同。</w:t>
      </w:r>
    </w:p>
    <w:p w14:paraId="6F5A21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10.7.2不属于依法必须采购的暂估价项目</w:t>
      </w:r>
    </w:p>
    <w:p w14:paraId="48A50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除专用合同条款另有约定外，对于不属于依法必须采购的暂估价项目，采取以下第1种方式确定： </w:t>
      </w:r>
    </w:p>
    <w:p w14:paraId="5439047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第1种方式：对于不属于依法必须采购的暂估价项目，按本项约定确认和批准：</w:t>
      </w:r>
    </w:p>
    <w:p w14:paraId="45069BA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7CCFE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（2）发包人认为承包人确定的供应商、分包人无法满足工程质量或合同要求的，发包人可以要求承包人重新确定暂估价项目的供应商、分包人;</w:t>
      </w:r>
    </w:p>
    <w:p w14:paraId="361B132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（3）承包人应当在签订暂估价合同后7天内，将暂估价合同副本报送发包人留存。</w:t>
      </w:r>
    </w:p>
    <w:p w14:paraId="5C2760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第2种方式：承包人按照第10.7.1项〔依法必须采购的暂估价项目〕约定的第1种方式确定暂估价项目。</w:t>
      </w:r>
    </w:p>
    <w:p w14:paraId="21289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第3种方式：承包人直接实施的暂估价项目</w:t>
      </w:r>
    </w:p>
    <w:p w14:paraId="04BADB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承包人具备实施暂估价项目的资格和条件的，经发包人和承包人协商一致后，可由承包人自行实施暂估价项目，合同当事人可以在专用合同条款约定具体事项。</w:t>
      </w:r>
    </w:p>
    <w:p w14:paraId="2470EB5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6B85F51">
      <w:pPr>
        <w:pStyle w:val="7"/>
        <w:spacing w:before="0" w:beforeAutospacing="0" w:after="0" w:afterAutospacing="0" w:line="360" w:lineRule="auto"/>
        <w:ind w:firstLine="422" w:firstLineChars="200"/>
        <w:rPr>
          <w:color w:val="auto"/>
          <w:sz w:val="21"/>
          <w:szCs w:val="21"/>
        </w:rPr>
      </w:pPr>
      <w:bookmarkStart w:id="1113" w:name="_Toc351203575"/>
      <w:bookmarkStart w:id="1114" w:name="_Toc532377261"/>
      <w:r>
        <w:rPr>
          <w:rFonts w:hint="eastAsia"/>
          <w:color w:val="auto"/>
          <w:sz w:val="21"/>
          <w:szCs w:val="21"/>
        </w:rPr>
        <w:t>1</w:t>
      </w:r>
      <w:bookmarkStart w:id="1115" w:name="_Toc337558794"/>
      <w:bookmarkStart w:id="1116" w:name="_Toc296503090"/>
      <w:bookmarkStart w:id="1117" w:name="_Toc296346591"/>
      <w:bookmarkStart w:id="1118" w:name="_Toc322522561"/>
      <w:r>
        <w:rPr>
          <w:rFonts w:hint="eastAsia"/>
          <w:color w:val="auto"/>
          <w:sz w:val="21"/>
          <w:szCs w:val="21"/>
        </w:rPr>
        <w:t>0.8暂列金额</w:t>
      </w:r>
      <w:bookmarkEnd w:id="1113"/>
      <w:bookmarkEnd w:id="1114"/>
    </w:p>
    <w:bookmarkEnd w:id="1115"/>
    <w:p w14:paraId="68F878D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暂列金额应按照发包人的要求使用，发包人的要求应通过监理人发出。合同当事人可以在专用合同条款中协商确定有关事项。</w:t>
      </w:r>
    </w:p>
    <w:bookmarkEnd w:id="1116"/>
    <w:bookmarkEnd w:id="1117"/>
    <w:bookmarkEnd w:id="1118"/>
    <w:p w14:paraId="175ED7FE">
      <w:pPr>
        <w:pStyle w:val="7"/>
        <w:spacing w:before="0" w:beforeAutospacing="0" w:after="0" w:afterAutospacing="0" w:line="360" w:lineRule="auto"/>
        <w:ind w:firstLine="422" w:firstLineChars="200"/>
        <w:rPr>
          <w:color w:val="auto"/>
          <w:sz w:val="21"/>
          <w:szCs w:val="21"/>
        </w:rPr>
      </w:pPr>
      <w:bookmarkStart w:id="1119" w:name="_Toc351203576"/>
      <w:bookmarkStart w:id="1120" w:name="_Toc532377262"/>
      <w:r>
        <w:rPr>
          <w:rFonts w:hint="eastAsia"/>
          <w:color w:val="auto"/>
          <w:sz w:val="21"/>
          <w:szCs w:val="21"/>
        </w:rPr>
        <w:t>1</w:t>
      </w:r>
      <w:bookmarkStart w:id="1121" w:name="_Toc296503091"/>
      <w:bookmarkStart w:id="1122" w:name="_Toc296346592"/>
      <w:bookmarkStart w:id="1123" w:name="_Toc337558796"/>
      <w:r>
        <w:rPr>
          <w:rFonts w:hint="eastAsia"/>
          <w:color w:val="auto"/>
          <w:sz w:val="21"/>
          <w:szCs w:val="21"/>
        </w:rPr>
        <w:t>0.9计日工</w:t>
      </w:r>
      <w:bookmarkEnd w:id="1119"/>
      <w:bookmarkEnd w:id="1120"/>
      <w:bookmarkEnd w:id="1121"/>
      <w:bookmarkEnd w:id="1122"/>
      <w:bookmarkEnd w:id="1123"/>
    </w:p>
    <w:p w14:paraId="45E270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10E8AA5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采用计日工计价的任何一项工作，承包人应在该项工作实施过程中，每天提交以下报表和有关凭证报送监理人审查：</w:t>
      </w:r>
    </w:p>
    <w:p w14:paraId="4FE274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（1）工作名称、内容和数量；</w:t>
      </w:r>
    </w:p>
    <w:p w14:paraId="5DE8E1A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（2）投入该工作的所有人员的姓名、专业、工种、级别和耗用工时；</w:t>
      </w:r>
    </w:p>
    <w:p w14:paraId="724893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（3）投入该工作的材料类别和数量；</w:t>
      </w:r>
    </w:p>
    <w:p w14:paraId="236ECE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（4）投入该工作的施工设备型号、台数和耗用台时；</w:t>
      </w:r>
    </w:p>
    <w:p w14:paraId="0C763F7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（5）其他有关资料和凭证。</w:t>
      </w:r>
    </w:p>
    <w:p w14:paraId="17C8524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 计日工由承包人汇总后，列入最近一期进度付款申请单，由监理人审查并经发包人批准后列入进度付款。</w:t>
      </w:r>
    </w:p>
    <w:p w14:paraId="0977CC34">
      <w:pPr>
        <w:pStyle w:val="6"/>
        <w:keepNext/>
        <w:keepLines/>
        <w:spacing w:beforeLines="50" w:beforeAutospacing="0" w:afterLines="50" w:afterAutospacing="0" w:line="360" w:lineRule="auto"/>
        <w:jc w:val="both"/>
        <w:rPr>
          <w:bCs w:val="0"/>
          <w:color w:val="auto"/>
          <w:kern w:val="2"/>
          <w:sz w:val="21"/>
          <w:szCs w:val="21"/>
        </w:rPr>
      </w:pPr>
      <w:bookmarkStart w:id="1124" w:name="_Toc532375597"/>
      <w:bookmarkStart w:id="1125" w:name="_Toc532377263"/>
      <w:bookmarkStart w:id="1126" w:name="_Toc351203577"/>
      <w:r>
        <w:rPr>
          <w:rFonts w:hint="eastAsia"/>
          <w:color w:val="auto"/>
          <w:kern w:val="2"/>
          <w:sz w:val="21"/>
          <w:szCs w:val="21"/>
        </w:rPr>
        <w:t>11. 价格调整</w:t>
      </w:r>
      <w:bookmarkEnd w:id="1124"/>
      <w:bookmarkEnd w:id="1125"/>
      <w:bookmarkEnd w:id="1126"/>
    </w:p>
    <w:p w14:paraId="208BE423">
      <w:pPr>
        <w:pStyle w:val="7"/>
        <w:spacing w:before="0" w:beforeAutospacing="0" w:after="0" w:afterAutospacing="0" w:line="360" w:lineRule="auto"/>
        <w:ind w:firstLine="422" w:firstLineChars="200"/>
        <w:rPr>
          <w:color w:val="auto"/>
          <w:sz w:val="21"/>
          <w:szCs w:val="21"/>
        </w:rPr>
      </w:pPr>
      <w:bookmarkStart w:id="1127" w:name="_Toc532377264"/>
      <w:bookmarkStart w:id="1128" w:name="_Toc351203578"/>
      <w:bookmarkStart w:id="1129" w:name="_Toc296503092"/>
      <w:bookmarkStart w:id="1130" w:name="_Toc337558797"/>
      <w:bookmarkStart w:id="1131" w:name="_Toc296346593"/>
      <w:r>
        <w:rPr>
          <w:rFonts w:hint="eastAsia"/>
          <w:color w:val="auto"/>
          <w:sz w:val="21"/>
          <w:szCs w:val="21"/>
        </w:rPr>
        <w:t>11.1市场价格波动引起的调整</w:t>
      </w:r>
      <w:bookmarkEnd w:id="1127"/>
      <w:bookmarkEnd w:id="1128"/>
    </w:p>
    <w:bookmarkEnd w:id="1129"/>
    <w:bookmarkEnd w:id="1130"/>
    <w:bookmarkEnd w:id="1131"/>
    <w:p w14:paraId="59C51E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除专用合同条款另有约定外，市场价格波动超过合同当事人约定的范围，合同价格应当调整。合同当事人可以在专用合同条款中约定选择以下一种方式对合同价格进行调整：</w:t>
      </w:r>
    </w:p>
    <w:p w14:paraId="770CB8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第1种方式：采用价格指数进行价格调整。</w:t>
      </w:r>
    </w:p>
    <w:p w14:paraId="4D9060D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（1）价格调整公式</w:t>
      </w:r>
    </w:p>
    <w:p w14:paraId="08AD6ADF">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因人工、材料和设备等价格波动影响合同价格时，根据专用合同条款中约定的数据，按以下公式计算差额并调整合同价格：</w:t>
      </w:r>
    </w:p>
    <w:p w14:paraId="52EC6BB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5" o:spt="75" type="#_x0000_t75" style="height:43.5pt;width:360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p w14:paraId="3FFEA576">
      <w:pPr>
        <w:tabs>
          <w:tab w:val="left" w:pos="0"/>
          <w:tab w:val="left" w:pos="360"/>
          <w:tab w:val="left" w:pos="540"/>
        </w:tabs>
        <w:spacing w:line="360" w:lineRule="auto"/>
        <w:ind w:firstLine="200"/>
        <w:jc w:val="left"/>
        <w:rPr>
          <w:rFonts w:ascii="宋体" w:hAnsi="宋体"/>
          <w:color w:val="auto"/>
          <w:kern w:val="0"/>
          <w:szCs w:val="21"/>
        </w:rPr>
      </w:pPr>
      <w:r>
        <w:rPr>
          <w:rFonts w:hint="eastAsia" w:ascii="宋体" w:hAnsi="宋体"/>
          <w:color w:val="auto"/>
          <w:kern w:val="0"/>
          <w:szCs w:val="21"/>
        </w:rPr>
        <w:t>公式中：ΔP——需调整的价格差额；</w:t>
      </w:r>
    </w:p>
    <w:p w14:paraId="7142A3ED">
      <w:pPr>
        <w:tabs>
          <w:tab w:val="left" w:pos="0"/>
          <w:tab w:val="left" w:pos="360"/>
          <w:tab w:val="left" w:pos="540"/>
        </w:tabs>
        <w:spacing w:line="360" w:lineRule="auto"/>
        <w:ind w:firstLine="1260" w:firstLineChars="600"/>
        <w:jc w:val="left"/>
        <w:rPr>
          <w:rFonts w:ascii="宋体" w:hAnsi="宋体"/>
          <w:color w:val="auto"/>
          <w:kern w:val="0"/>
          <w:szCs w:val="21"/>
        </w:rPr>
      </w:pPr>
      <w:r>
        <w:rPr>
          <w:rFonts w:hint="eastAsia" w:ascii="宋体" w:hAnsi="宋体"/>
          <w:color w:val="auto"/>
          <w:kern w:val="0"/>
          <w:szCs w:val="21"/>
        </w:rPr>
        <w:object>
          <v:shape id="_x0000_i1026" o:spt="75" type="#_x0000_t75" style="height:21.75pt;width:21.7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eastAsia" w:ascii="宋体" w:hAnsi="宋体"/>
          <w:color w:val="auto"/>
          <w:kern w:val="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597D714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A——定值权重（即不调部分的权重）；</w:t>
      </w:r>
    </w:p>
    <w:p w14:paraId="45B101A4">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7" o:spt="75" type="#_x0000_t75" style="height:21.75pt;width:100.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hint="eastAsia" w:ascii="宋体" w:hAnsi="宋体"/>
          <w:color w:val="auto"/>
          <w:kern w:val="0"/>
          <w:szCs w:val="21"/>
        </w:rPr>
        <w:t>——各可调因子的变值权重（即可调部分的权重），为各可调因子在签约合同价中所占的比例；</w:t>
      </w:r>
    </w:p>
    <w:p w14:paraId="5E6FBCB6">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8" o:spt="75" type="#_x0000_t75" style="height:21.75pt;width:100.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hint="eastAsia" w:ascii="宋体" w:hAnsi="宋体"/>
          <w:color w:val="auto"/>
          <w:kern w:val="0"/>
          <w:szCs w:val="21"/>
        </w:rPr>
        <w:t>——各可调因子的现行价格指数，指约定的付款证书相关周期最后一天的前42天的各可调因子的价格指数；</w:t>
      </w:r>
    </w:p>
    <w:p w14:paraId="147F7FFD">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9" o:spt="75" type="#_x0000_t75" style="height:21.75pt;width:108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eastAsia" w:ascii="宋体" w:hAnsi="宋体"/>
          <w:color w:val="auto"/>
          <w:kern w:val="0"/>
          <w:szCs w:val="21"/>
        </w:rPr>
        <w:t>——各可调因子的基本价格指数，指基准日期的各可调因子的价格指数。</w:t>
      </w:r>
    </w:p>
    <w:p w14:paraId="27FAA23E">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以上价格调整公式中的各可调因子、定值和变值权重，以及基本价格指数及其来源在投标函附录价格指数和权重表中约定，非采购订立的合同，由合同当事人在专用合同条款中约定。价格指数应首先采用工程造价管理机构发布的价格指数，无前述价格指数时，可采用工程造价管理机构发布的价格代替。</w:t>
      </w:r>
    </w:p>
    <w:p w14:paraId="1D863E13">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（2）暂时确定调整差额</w:t>
      </w:r>
    </w:p>
    <w:p w14:paraId="602FEA2E">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在计算调整差额时无现行价格指数的，合同当事人同意暂用前次价格指数计算。实际价格指数有调整的，合同当事人进行相应调整。</w:t>
      </w:r>
    </w:p>
    <w:p w14:paraId="7EF0B37F">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（3）权重的调整</w:t>
      </w:r>
    </w:p>
    <w:p w14:paraId="33A6B0DB">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因变更导致合同约定的权重不合理时，按照第4.4款〔商定或确定〕执行。</w:t>
      </w:r>
    </w:p>
    <w:p w14:paraId="2969532A">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（4）因承包人原因工期延误后的价格调整</w:t>
      </w:r>
    </w:p>
    <w:p w14:paraId="3F10A792">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因承包人原因未按期竣工的，对合同约定的竣工日期后继续施工的工程，在使用价格调整公式时，应采用计划竣工日期与实际竣工日期的两个价格指数中较低的一个作为现行价格指数。</w:t>
      </w:r>
    </w:p>
    <w:p w14:paraId="5F293D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第2种方式：采用造价信息进行价格调整。</w:t>
      </w:r>
    </w:p>
    <w:p w14:paraId="14EDEE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C6B829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DF178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（2）材料、工程设备价格变化的价款调整按照发包人提供的基准价格，按以下风险范围规定执行：</w:t>
      </w:r>
    </w:p>
    <w:p w14:paraId="627195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55FF3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3B7887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③承包人在已标价工程量清单或预算书中载明材料单价等于基准价格的：除专用合同条款另有约定外，合同履行期间材料单价涨跌幅以基准价格为基础超过±5%时，其超过部分据实调整。</w:t>
      </w:r>
    </w:p>
    <w:p w14:paraId="068B68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18BCCEC">
      <w:pPr>
        <w:spacing w:line="360" w:lineRule="auto"/>
        <w:ind w:firstLine="420" w:firstLineChars="200"/>
        <w:jc w:val="left"/>
        <w:rPr>
          <w:rFonts w:ascii="宋体" w:hAnsi="宋体"/>
          <w:color w:val="auto"/>
          <w:kern w:val="0"/>
          <w:szCs w:val="21"/>
        </w:rPr>
      </w:pPr>
      <w:bookmarkStart w:id="1132" w:name="OLE_LINK3"/>
      <w:r>
        <w:rPr>
          <w:rFonts w:hint="eastAsia" w:ascii="宋体" w:hAnsi="宋体"/>
          <w:color w:val="auto"/>
          <w:kern w:val="0"/>
          <w:szCs w:val="21"/>
        </w:rPr>
        <w:t>前述基准价格是指由发包人在采购文件或专用合同条款中给定的材料、工程设备的价格，该价格原则上应当按照省级或行业建设主管部门或其授权的工程造价管理机构发布的信息价编制。</w:t>
      </w:r>
    </w:p>
    <w:p w14:paraId="373867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（3）施工机械台班单价或施工机械使用费发生变化超过省级或行业建设主管部门或其授权的工程造价管理机构规定的范围时，按规定调整合同价格。</w:t>
      </w:r>
    </w:p>
    <w:p w14:paraId="5538E73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第3种方式：专用合同条款约定的其他方式。</w:t>
      </w:r>
    </w:p>
    <w:p w14:paraId="50A92A21">
      <w:pPr>
        <w:pStyle w:val="7"/>
        <w:spacing w:before="0" w:beforeAutospacing="0" w:after="0" w:afterAutospacing="0" w:line="360" w:lineRule="auto"/>
        <w:ind w:firstLine="422" w:firstLineChars="200"/>
        <w:rPr>
          <w:color w:val="auto"/>
          <w:sz w:val="21"/>
          <w:szCs w:val="21"/>
        </w:rPr>
      </w:pPr>
      <w:bookmarkStart w:id="1133" w:name="_Toc532377265"/>
      <w:bookmarkStart w:id="1134" w:name="_Toc351203579"/>
      <w:bookmarkStart w:id="1135" w:name="_Toc337558798"/>
      <w:bookmarkStart w:id="1136" w:name="_Toc296346594"/>
      <w:bookmarkStart w:id="1137" w:name="_Toc296503093"/>
      <w:r>
        <w:rPr>
          <w:rFonts w:hint="eastAsia"/>
          <w:color w:val="auto"/>
          <w:sz w:val="21"/>
          <w:szCs w:val="21"/>
        </w:rPr>
        <w:t>11.2法律变化引起的调整</w:t>
      </w:r>
      <w:bookmarkEnd w:id="1133"/>
      <w:bookmarkEnd w:id="1134"/>
    </w:p>
    <w:bookmarkEnd w:id="1135"/>
    <w:bookmarkEnd w:id="1136"/>
    <w:bookmarkEnd w:id="1137"/>
    <w:p w14:paraId="3BC8900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DF388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因法律变化引起的合同价格和工期调整，合同当事人无法达成一致的，由总监理工程师按第4.4款〔商定或确定〕的约定处理。</w:t>
      </w:r>
    </w:p>
    <w:p w14:paraId="173EF53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因承包人原因造成工期延误，在工期延误期间出现法律变化的，由此增加的费用和（或）延误的工期由承包人承担。</w:t>
      </w:r>
    </w:p>
    <w:p w14:paraId="0CCDC24D">
      <w:pPr>
        <w:pStyle w:val="6"/>
        <w:keepNext/>
        <w:keepLines/>
        <w:spacing w:beforeLines="50" w:beforeAutospacing="0" w:afterLines="50" w:afterAutospacing="0" w:line="360" w:lineRule="auto"/>
        <w:jc w:val="both"/>
        <w:rPr>
          <w:bCs w:val="0"/>
          <w:color w:val="auto"/>
          <w:kern w:val="2"/>
          <w:sz w:val="21"/>
          <w:szCs w:val="21"/>
        </w:rPr>
      </w:pPr>
      <w:bookmarkStart w:id="1138" w:name="_Toc351203580"/>
      <w:bookmarkStart w:id="1139" w:name="_Toc532375598"/>
      <w:bookmarkStart w:id="1140" w:name="_Toc532377266"/>
      <w:bookmarkStart w:id="1141" w:name="_Toc337558799"/>
      <w:bookmarkStart w:id="1142" w:name="_Toc296503096"/>
      <w:bookmarkStart w:id="1143" w:name="_Toc296346597"/>
      <w:r>
        <w:rPr>
          <w:rFonts w:hint="eastAsia"/>
          <w:color w:val="auto"/>
          <w:kern w:val="2"/>
          <w:sz w:val="21"/>
          <w:szCs w:val="21"/>
        </w:rPr>
        <w:t>12. 合同价格、计量与支付</w:t>
      </w:r>
      <w:bookmarkEnd w:id="1138"/>
      <w:bookmarkEnd w:id="1139"/>
      <w:bookmarkEnd w:id="1140"/>
    </w:p>
    <w:bookmarkEnd w:id="1141"/>
    <w:p w14:paraId="45759E1D">
      <w:pPr>
        <w:pStyle w:val="7"/>
        <w:spacing w:before="0" w:beforeAutospacing="0" w:after="0" w:afterAutospacing="0" w:line="360" w:lineRule="auto"/>
        <w:ind w:firstLine="422" w:firstLineChars="200"/>
        <w:rPr>
          <w:color w:val="auto"/>
          <w:sz w:val="21"/>
          <w:szCs w:val="21"/>
        </w:rPr>
      </w:pPr>
      <w:bookmarkStart w:id="1144" w:name="_Toc351203581"/>
      <w:bookmarkStart w:id="1145" w:name="_Toc532377267"/>
      <w:bookmarkStart w:id="1146" w:name="_Toc337558800"/>
      <w:r>
        <w:rPr>
          <w:rFonts w:hint="eastAsia"/>
          <w:color w:val="auto"/>
          <w:sz w:val="21"/>
          <w:szCs w:val="21"/>
        </w:rPr>
        <w:t>12.1 合同价</w:t>
      </w:r>
      <w:bookmarkEnd w:id="1142"/>
      <w:bookmarkEnd w:id="1143"/>
      <w:r>
        <w:rPr>
          <w:rFonts w:hint="eastAsia"/>
          <w:color w:val="auto"/>
          <w:sz w:val="21"/>
          <w:szCs w:val="21"/>
        </w:rPr>
        <w:t>格形式</w:t>
      </w:r>
      <w:bookmarkEnd w:id="1144"/>
      <w:bookmarkEnd w:id="1145"/>
    </w:p>
    <w:bookmarkEnd w:id="1146"/>
    <w:p w14:paraId="0026A15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发包人和承包人应在合同协议书中选择下列一种合同价格形式： </w:t>
      </w:r>
    </w:p>
    <w:p w14:paraId="3F0159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1.单价合同</w:t>
      </w:r>
    </w:p>
    <w:p w14:paraId="23538C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0ED0B78">
      <w:pPr>
        <w:pStyle w:val="7"/>
        <w:spacing w:before="0" w:beforeAutospacing="0" w:after="0" w:afterAutospacing="0" w:line="360" w:lineRule="auto"/>
        <w:ind w:firstLine="420" w:firstLineChars="200"/>
        <w:rPr>
          <w:b w:val="0"/>
          <w:color w:val="auto"/>
          <w:sz w:val="21"/>
          <w:szCs w:val="21"/>
        </w:rPr>
      </w:pPr>
      <w:bookmarkStart w:id="1147" w:name="_Toc532377268"/>
      <w:r>
        <w:rPr>
          <w:rFonts w:hint="eastAsia"/>
          <w:b w:val="0"/>
          <w:color w:val="auto"/>
          <w:sz w:val="21"/>
          <w:szCs w:val="21"/>
        </w:rPr>
        <w:t>2.总价合同</w:t>
      </w:r>
      <w:bookmarkEnd w:id="1147"/>
    </w:p>
    <w:p w14:paraId="75C59FE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FCC35E4">
      <w:pPr>
        <w:pStyle w:val="7"/>
        <w:spacing w:before="0" w:beforeAutospacing="0" w:after="0" w:afterAutospacing="0" w:line="360" w:lineRule="auto"/>
        <w:ind w:firstLine="420" w:firstLineChars="200"/>
        <w:rPr>
          <w:b w:val="0"/>
          <w:color w:val="auto"/>
          <w:sz w:val="21"/>
          <w:szCs w:val="21"/>
        </w:rPr>
      </w:pPr>
      <w:bookmarkStart w:id="1148" w:name="_Toc532377269"/>
      <w:r>
        <w:rPr>
          <w:rFonts w:hint="eastAsia"/>
          <w:b w:val="0"/>
          <w:color w:val="auto"/>
          <w:sz w:val="21"/>
          <w:szCs w:val="21"/>
        </w:rPr>
        <w:t>3.其它价格形式</w:t>
      </w:r>
      <w:bookmarkEnd w:id="1148"/>
    </w:p>
    <w:p w14:paraId="541CAC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合同当事人可在专用合同条款中约定其他合同价格形式。</w:t>
      </w:r>
    </w:p>
    <w:p w14:paraId="6C6BBB9A">
      <w:pPr>
        <w:pStyle w:val="7"/>
        <w:spacing w:before="0" w:beforeAutospacing="0" w:after="0" w:afterAutospacing="0" w:line="360" w:lineRule="auto"/>
        <w:ind w:firstLine="422" w:firstLineChars="200"/>
        <w:rPr>
          <w:color w:val="auto"/>
          <w:sz w:val="21"/>
          <w:szCs w:val="21"/>
        </w:rPr>
      </w:pPr>
      <w:bookmarkStart w:id="1149" w:name="_Toc296503097"/>
      <w:bookmarkStart w:id="1150" w:name="_Toc296346598"/>
      <w:bookmarkStart w:id="1151" w:name="_Toc351203582"/>
      <w:bookmarkStart w:id="1152" w:name="_Toc532377270"/>
      <w:bookmarkStart w:id="1153" w:name="_Toc337558801"/>
      <w:r>
        <w:rPr>
          <w:rFonts w:hint="eastAsia"/>
          <w:color w:val="auto"/>
          <w:sz w:val="21"/>
          <w:szCs w:val="21"/>
        </w:rPr>
        <w:t>12.2预</w:t>
      </w:r>
      <w:bookmarkEnd w:id="1149"/>
      <w:bookmarkEnd w:id="1150"/>
      <w:bookmarkStart w:id="1154" w:name="_Toc296503100"/>
      <w:bookmarkStart w:id="1155" w:name="_Toc296346601"/>
      <w:r>
        <w:rPr>
          <w:rFonts w:hint="eastAsia"/>
          <w:color w:val="auto"/>
          <w:sz w:val="21"/>
          <w:szCs w:val="21"/>
        </w:rPr>
        <w:t>付款</w:t>
      </w:r>
      <w:bookmarkEnd w:id="1151"/>
      <w:bookmarkEnd w:id="1152"/>
    </w:p>
    <w:bookmarkEnd w:id="1153"/>
    <w:bookmarkEnd w:id="1154"/>
    <w:bookmarkEnd w:id="1155"/>
    <w:p w14:paraId="439D29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12.2.1预付款的支付</w:t>
      </w:r>
    </w:p>
    <w:p w14:paraId="20E2F9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预付款的支付按照专用合同条款约定执行，但至迟应在开工通知载明的开工日期7天前支付。预付款应当用于材料、工程设备、施工设备的采购及修建临时工程、组织施工队伍进场等。</w:t>
      </w:r>
    </w:p>
    <w:p w14:paraId="30A627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除专用合同条款另有约定外，预付款在进度付款中同比例扣回。</w:t>
      </w:r>
      <w:bookmarkEnd w:id="1132"/>
      <w:r>
        <w:rPr>
          <w:rFonts w:hint="eastAsia" w:ascii="宋体" w:hAnsi="宋体"/>
          <w:color w:val="auto"/>
          <w:kern w:val="0"/>
          <w:szCs w:val="21"/>
        </w:rPr>
        <w:t>在颁发工程接收证书前，提前解除合同的，尚未扣完的预付款应与合同价款一并结算。</w:t>
      </w:r>
    </w:p>
    <w:p w14:paraId="21B61C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发包人逾期支付预付款超过7天的，承包人有权向发包人发出要求预付的催告通知，发包人收到通知后7天内仍未支付的，承包人有权暂停施工，并按第16.1.1项〔发包人违约的情形〕执行。</w:t>
      </w:r>
    </w:p>
    <w:p w14:paraId="6D7993C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12.2.2 预付款担保</w:t>
      </w:r>
    </w:p>
    <w:p w14:paraId="198D749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0C05E8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发包人在工程款中逐期扣回预付款后，预付款担保额度应相应减少，但剩余的预付款担保金额不得低于未被扣回的预付款金额。</w:t>
      </w:r>
    </w:p>
    <w:p w14:paraId="1E63883B">
      <w:pPr>
        <w:pStyle w:val="7"/>
        <w:spacing w:before="0" w:beforeAutospacing="0" w:after="0" w:afterAutospacing="0" w:line="360" w:lineRule="auto"/>
        <w:ind w:firstLine="422" w:firstLineChars="200"/>
        <w:rPr>
          <w:color w:val="auto"/>
          <w:sz w:val="21"/>
          <w:szCs w:val="21"/>
        </w:rPr>
      </w:pPr>
      <w:bookmarkStart w:id="1156" w:name="_Toc351203583"/>
      <w:bookmarkStart w:id="1157" w:name="_Toc532377271"/>
      <w:bookmarkStart w:id="1158" w:name="_Toc337558802"/>
      <w:r>
        <w:rPr>
          <w:rFonts w:hint="eastAsia"/>
          <w:color w:val="auto"/>
          <w:sz w:val="21"/>
          <w:szCs w:val="21"/>
        </w:rPr>
        <w:t>12.3计量</w:t>
      </w:r>
      <w:bookmarkEnd w:id="1156"/>
      <w:bookmarkEnd w:id="1157"/>
    </w:p>
    <w:bookmarkEnd w:id="1158"/>
    <w:p w14:paraId="4770CDA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12.3.1 计量原则</w:t>
      </w:r>
    </w:p>
    <w:p w14:paraId="50EAE18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工程量计量按照合同约定的工程量计算规则、图纸及变更指示等进行计量。工程量计算规则应以相关的国家标准、行业标准等为依据，由合同当事人在专用合同条款中约定。</w:t>
      </w:r>
    </w:p>
    <w:p w14:paraId="45F7B1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12.3.2 计量周期</w:t>
      </w:r>
    </w:p>
    <w:p w14:paraId="614C2C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除专用合同条款另有约定外，工程量的计量按月进行。</w:t>
      </w:r>
    </w:p>
    <w:p w14:paraId="68E320E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12.3.3 单价合同的计量</w:t>
      </w:r>
    </w:p>
    <w:p w14:paraId="3AF5E99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除专用合同条款另有约定外，单价合同的计量按照本项约定执行：</w:t>
      </w:r>
    </w:p>
    <w:p w14:paraId="4E8C969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（1）承包人应于每月25日向监理人报送上月20日至当月19日已完成的工程量报告，并附具进度付款申请单、已完成工程量报表和有关资料。</w:t>
      </w:r>
    </w:p>
    <w:p w14:paraId="5806E9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14739F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（3）监理人未在收到承包人提交的工程量报表后的7天内完成审核的，承包人报送的工程量报告中的工程量视为承包人实际完成的工程量，据此计算工程价款。</w:t>
      </w:r>
    </w:p>
    <w:p w14:paraId="02ABC0D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12.3.4 总价合同的计量</w:t>
      </w:r>
    </w:p>
    <w:p w14:paraId="21E786E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除专用合同条款另有约定外，按月计量支付的总价合同，按照本项约定执行：</w:t>
      </w:r>
    </w:p>
    <w:p w14:paraId="50F7E96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（1）承包人应于每月25日向监理人报送上月20日至当月19日已完成的工程量报告，并附具进度付款申请单、已完成工程量报表和有关资料。</w:t>
      </w:r>
    </w:p>
    <w:p w14:paraId="6190E6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B4A0E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（3）监理人未在收到承包人提交的工程量报表后的7天内完成复核的，承包人提交的工程量报告中的工程量视为承包人实际完成的工程量。</w:t>
      </w:r>
    </w:p>
    <w:p w14:paraId="447465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12.3.5 总价合同采用支付分解表计量支付的，可以按照第12.3.4项〔总价合同的计量〕约定进行计量，但合同价款按照支付分解表进行支付。</w:t>
      </w:r>
    </w:p>
    <w:p w14:paraId="76E20F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12.3.6 其他价格形式合同的计量</w:t>
      </w:r>
    </w:p>
    <w:p w14:paraId="129701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合同当事人可在专用合同条款中约定其他价格形式合同的计量方式和程序。</w:t>
      </w:r>
    </w:p>
    <w:p w14:paraId="2EB4BB87">
      <w:pPr>
        <w:pStyle w:val="7"/>
        <w:spacing w:before="0" w:beforeAutospacing="0" w:after="0" w:afterAutospacing="0" w:line="360" w:lineRule="auto"/>
        <w:ind w:firstLine="422" w:firstLineChars="200"/>
        <w:rPr>
          <w:color w:val="auto"/>
          <w:sz w:val="21"/>
          <w:szCs w:val="21"/>
        </w:rPr>
      </w:pPr>
      <w:bookmarkStart w:id="1159" w:name="_Toc296503101"/>
      <w:bookmarkStart w:id="1160" w:name="_Toc296346602"/>
      <w:bookmarkStart w:id="1161" w:name="_Toc351203584"/>
      <w:bookmarkStart w:id="1162" w:name="_Toc532377272"/>
      <w:bookmarkStart w:id="1163" w:name="_Toc337558803"/>
      <w:r>
        <w:rPr>
          <w:rFonts w:hint="eastAsia"/>
          <w:color w:val="auto"/>
          <w:sz w:val="21"/>
          <w:szCs w:val="21"/>
        </w:rPr>
        <w:t>12.4工程进度款支</w:t>
      </w:r>
      <w:bookmarkEnd w:id="1159"/>
      <w:bookmarkEnd w:id="1160"/>
      <w:r>
        <w:rPr>
          <w:rFonts w:hint="eastAsia"/>
          <w:color w:val="auto"/>
          <w:sz w:val="21"/>
          <w:szCs w:val="21"/>
        </w:rPr>
        <w:t>付</w:t>
      </w:r>
      <w:bookmarkEnd w:id="1161"/>
      <w:bookmarkEnd w:id="1162"/>
    </w:p>
    <w:bookmarkEnd w:id="1163"/>
    <w:p w14:paraId="7CB5E8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12.4.1 付款周期</w:t>
      </w:r>
    </w:p>
    <w:p w14:paraId="68B018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除专用合同条款另有约定外，付款周期应按照第12.3.2项〔计量周期〕的约定与计量周期保持一致。</w:t>
      </w:r>
    </w:p>
    <w:p w14:paraId="76EEB00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12.4.2 进度付款申请单的编制</w:t>
      </w:r>
    </w:p>
    <w:p w14:paraId="3ED24D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除专用合同条款另有约定外，进度付款申请单应包括下列内容：</w:t>
      </w:r>
    </w:p>
    <w:p w14:paraId="3998BE6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（1）截至本次付款周期已完成工作对应的金额；</w:t>
      </w:r>
    </w:p>
    <w:p w14:paraId="0A252D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（2）根据第10条〔变更〕应增加和扣减的变更金额；</w:t>
      </w:r>
    </w:p>
    <w:p w14:paraId="13C785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（3）根据第12.2款〔预付款〕约定应支付的预付款和扣减的返还预付款；</w:t>
      </w:r>
    </w:p>
    <w:p w14:paraId="054DA15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（4）根据第15.3款〔质量保证金〕约定应扣减的质量保证金；</w:t>
      </w:r>
    </w:p>
    <w:p w14:paraId="768612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（5）根据第19条〔索赔〕应增加和扣减的索赔金额；</w:t>
      </w:r>
    </w:p>
    <w:p w14:paraId="0A6A359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（6）对已签发的进度款支付证书中出现错误的修正，应在本次进度付款中支付或扣除的金额；</w:t>
      </w:r>
    </w:p>
    <w:p w14:paraId="0B13F0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（7）根据合同约定应增加和扣减的其他金额。</w:t>
      </w:r>
    </w:p>
    <w:p w14:paraId="00E23FC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12.4.3 进度付款申请单的提交</w:t>
      </w:r>
    </w:p>
    <w:p w14:paraId="5EEB8A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（1）单价合同进度付款申请单的提交</w:t>
      </w:r>
    </w:p>
    <w:p w14:paraId="61CE72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883466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（2）总价合同进度付款申请单的提交</w:t>
      </w:r>
    </w:p>
    <w:p w14:paraId="43E5138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总价合同按月计量支付的，承包人按照第12.3.4项〔总价合同的计量〕约定的时间按月向监理人提交进度付款申请单，并附上已完成工程量报表和有关资料。</w:t>
      </w:r>
    </w:p>
    <w:p w14:paraId="00A7A3D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总价合同按支付分解表支付的，承包人应按照第12.4.6项〔支付分解表〕及第12.4.2项〔进度付款申请单的编制〕的约定向监理人提交进度付款申请单。</w:t>
      </w:r>
    </w:p>
    <w:p w14:paraId="78610F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（3）其他价格形式合同的进度付款申请单的提交</w:t>
      </w:r>
    </w:p>
    <w:p w14:paraId="445C99D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合同当事人可在专用合同条款中约定其他价格形式合同的进度付款申请单的编制和提交程序。</w:t>
      </w:r>
    </w:p>
    <w:p w14:paraId="4ACEA3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12.4.4 进度款审核和支付</w:t>
      </w:r>
    </w:p>
    <w:p w14:paraId="34F35B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BD3C4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BBEFE5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255EA4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（3）发包人签发进度款支付证书或临时进度款支付证书，不表明发包人已同意、批准或接受了承包人完成的相应部分的工作。</w:t>
      </w:r>
    </w:p>
    <w:p w14:paraId="66D4EA7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12.4.5 进度付款的修正</w:t>
      </w:r>
    </w:p>
    <w:p w14:paraId="56E3A8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在对已签发的进度款支付证书进行阶段汇总和复核中发现错误、遗漏或重复的，发包人和承包人均有权提出修正申请。经发包人和承包人同意的修正，应在下期进度付款中支付或扣除。</w:t>
      </w:r>
    </w:p>
    <w:p w14:paraId="42B6AA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12.4.6 支付分解表</w:t>
      </w:r>
    </w:p>
    <w:p w14:paraId="26F91BC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1.支付分解表的编制要求</w:t>
      </w:r>
    </w:p>
    <w:p w14:paraId="468C2A2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（1）支付分解表中所列的每期付款金额，应为第12.4.2项〔进度付款申请单的编制〕第（1）目的估算金额；</w:t>
      </w:r>
    </w:p>
    <w:p w14:paraId="774163A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（2）实际进度与施工进度计划不一致的，合同当事人可按照第4.4款〔商定或确定〕修改支付分解表；</w:t>
      </w:r>
    </w:p>
    <w:p w14:paraId="1A2CB0B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（3）不采用支付分解表的，承包人应向发包人和监理人提交按季度编制的支付估算分解表，用于支付参考。</w:t>
      </w:r>
    </w:p>
    <w:p w14:paraId="3B7670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2.总价合同支付分解表的编制与审批</w:t>
      </w:r>
    </w:p>
    <w:p w14:paraId="47050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9C9E7F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（2）监理人应在收到支付分解表后7天内完成审核并报送发包人。发包人应在收到经监理人审核的支付分解表后7天内完成审批，经发包人批准的支付分解表为有约束力的支付分解表。</w:t>
      </w:r>
    </w:p>
    <w:p w14:paraId="3CC179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（3）发包人逾期未完成支付分解表审批的，也未及时要求承包人进行修正和提供补充资料的，则承包人提交的支付分解表视为已经获得发包人批准。</w:t>
      </w:r>
    </w:p>
    <w:p w14:paraId="31479FC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3.单价合同的总价项目支付分解表的编制与审批</w:t>
      </w:r>
    </w:p>
    <w:p w14:paraId="53C710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1604E13">
      <w:pPr>
        <w:pStyle w:val="7"/>
        <w:spacing w:before="0" w:beforeAutospacing="0" w:after="0" w:afterAutospacing="0" w:line="360" w:lineRule="auto"/>
        <w:ind w:firstLine="422" w:firstLineChars="200"/>
        <w:rPr>
          <w:color w:val="auto"/>
          <w:sz w:val="21"/>
          <w:szCs w:val="21"/>
        </w:rPr>
      </w:pPr>
      <w:bookmarkStart w:id="1164" w:name="_Toc532377273"/>
      <w:r>
        <w:rPr>
          <w:rFonts w:hint="eastAsia"/>
          <w:color w:val="auto"/>
          <w:sz w:val="21"/>
          <w:szCs w:val="21"/>
        </w:rPr>
        <w:t>12.5支付账户</w:t>
      </w:r>
      <w:bookmarkEnd w:id="1164"/>
    </w:p>
    <w:p w14:paraId="321C657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发包人应将合同价款支付至合同协议书中约定的承包人账户。</w:t>
      </w:r>
    </w:p>
    <w:p w14:paraId="1AF98753">
      <w:pPr>
        <w:pStyle w:val="6"/>
        <w:keepNext/>
        <w:keepLines/>
        <w:spacing w:beforeLines="50" w:beforeAutospacing="0" w:afterLines="50" w:afterAutospacing="0" w:line="360" w:lineRule="auto"/>
        <w:jc w:val="both"/>
        <w:rPr>
          <w:bCs w:val="0"/>
          <w:color w:val="auto"/>
          <w:kern w:val="2"/>
          <w:sz w:val="21"/>
          <w:szCs w:val="21"/>
        </w:rPr>
      </w:pPr>
      <w:bookmarkStart w:id="1165" w:name="_Toc351203586"/>
      <w:bookmarkStart w:id="1166" w:name="_Toc532377274"/>
      <w:bookmarkStart w:id="1167" w:name="_Toc532375599"/>
      <w:bookmarkStart w:id="1168" w:name="_Toc322522574"/>
      <w:bookmarkStart w:id="1169" w:name="_Toc337558804"/>
      <w:bookmarkStart w:id="1170" w:name="_Toc296503106"/>
      <w:bookmarkStart w:id="1171" w:name="_Toc296346607"/>
      <w:r>
        <w:rPr>
          <w:rFonts w:hint="eastAsia"/>
          <w:color w:val="auto"/>
          <w:kern w:val="2"/>
          <w:sz w:val="21"/>
          <w:szCs w:val="21"/>
        </w:rPr>
        <w:t>13. 验收和工程试车</w:t>
      </w:r>
      <w:bookmarkEnd w:id="1165"/>
      <w:bookmarkEnd w:id="1166"/>
      <w:bookmarkEnd w:id="1167"/>
    </w:p>
    <w:bookmarkEnd w:id="1168"/>
    <w:bookmarkEnd w:id="1169"/>
    <w:bookmarkEnd w:id="1170"/>
    <w:bookmarkEnd w:id="1171"/>
    <w:p w14:paraId="28084D6A">
      <w:pPr>
        <w:pStyle w:val="7"/>
        <w:spacing w:before="0" w:beforeAutospacing="0" w:after="0" w:afterAutospacing="0" w:line="360" w:lineRule="auto"/>
        <w:ind w:firstLine="422" w:firstLineChars="200"/>
        <w:rPr>
          <w:color w:val="auto"/>
          <w:sz w:val="21"/>
          <w:szCs w:val="21"/>
        </w:rPr>
      </w:pPr>
      <w:bookmarkStart w:id="1172" w:name="_Toc351203587"/>
      <w:bookmarkStart w:id="1173" w:name="_Toc532377275"/>
      <w:bookmarkStart w:id="1174" w:name="_Toc337558805"/>
      <w:bookmarkStart w:id="1175" w:name="_Toc296346611"/>
      <w:bookmarkStart w:id="1176" w:name="_Toc296503110"/>
      <w:r>
        <w:rPr>
          <w:rFonts w:hint="eastAsia"/>
          <w:color w:val="auto"/>
          <w:sz w:val="21"/>
          <w:szCs w:val="21"/>
        </w:rPr>
        <w:t>13.1分部分项工程验收</w:t>
      </w:r>
      <w:bookmarkEnd w:id="1172"/>
      <w:bookmarkEnd w:id="1173"/>
    </w:p>
    <w:bookmarkEnd w:id="1174"/>
    <w:p w14:paraId="6B7D7F0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13.1.1 分部分项工程质量应符合国家有关工程施工验收规范、标准及合同约定，承包人应按照施工组织设计的要求完成分部分项工程施工。</w:t>
      </w:r>
    </w:p>
    <w:p w14:paraId="71C821F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FA8F1C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分部分项工程的验收资料应当作为竣工资料的组成部分。</w:t>
      </w:r>
    </w:p>
    <w:p w14:paraId="7C5CB12B">
      <w:pPr>
        <w:pStyle w:val="7"/>
        <w:spacing w:before="0" w:beforeAutospacing="0" w:after="0" w:afterAutospacing="0" w:line="360" w:lineRule="auto"/>
        <w:ind w:firstLine="422" w:firstLineChars="200"/>
        <w:rPr>
          <w:color w:val="auto"/>
          <w:sz w:val="21"/>
          <w:szCs w:val="21"/>
        </w:rPr>
      </w:pPr>
      <w:bookmarkStart w:id="1177" w:name="_Toc351203588"/>
      <w:bookmarkStart w:id="1178" w:name="_Toc532377276"/>
      <w:bookmarkStart w:id="1179" w:name="_Toc337558806"/>
      <w:r>
        <w:rPr>
          <w:rFonts w:hint="eastAsia"/>
          <w:color w:val="auto"/>
          <w:sz w:val="21"/>
          <w:szCs w:val="21"/>
        </w:rPr>
        <w:t>13.2竣工验收</w:t>
      </w:r>
      <w:bookmarkEnd w:id="1177"/>
      <w:bookmarkEnd w:id="1178"/>
    </w:p>
    <w:bookmarkEnd w:id="1175"/>
    <w:bookmarkEnd w:id="1176"/>
    <w:bookmarkEnd w:id="1179"/>
    <w:p w14:paraId="7FD2231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13.2.1竣工验收条件</w:t>
      </w:r>
    </w:p>
    <w:p w14:paraId="55AB50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工程具备以下条件的，承包人可以申请竣工验收：</w:t>
      </w:r>
    </w:p>
    <w:p w14:paraId="137E2B4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（1）除发包人同意的甩项工作和缺陷修补工作外，合同范围内的全部工程以及有关工作，包括合同要求的试验、试运行以及检验均已完成，并符合合同要求；</w:t>
      </w:r>
    </w:p>
    <w:p w14:paraId="57A64F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（2）已按合同约定编制了甩项工作和缺陷修补工作清单以及相应的施工计划；</w:t>
      </w:r>
    </w:p>
    <w:p w14:paraId="58A832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（3）已按合同约定的内容和份数备齐竣工资料。</w:t>
      </w:r>
    </w:p>
    <w:p w14:paraId="517A62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13.2.2竣工验收程序</w:t>
      </w:r>
    </w:p>
    <w:p w14:paraId="328DD9D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除专用合同条款另有约定外，承包人申请竣工验收的，应当按照以下程序进行：</w:t>
      </w:r>
    </w:p>
    <w:p w14:paraId="4F1F905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021B84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5E990DC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（3）竣工验收合格的，发包人应在验收合格后14天内向承包人签发工程接收证书。发包人无正当理由逾期不颁发工程接收证书的，自验收合格后第15天起视为已颁发工程接收证书。</w:t>
      </w:r>
    </w:p>
    <w:p w14:paraId="0CB78F9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30C7D3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DCC69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14:paraId="74E2B8F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13.2.3竣工日期</w:t>
      </w:r>
    </w:p>
    <w:p w14:paraId="0CB701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180" w:name="#go14"/>
      <w:bookmarkEnd w:id="1180"/>
      <w:r>
        <w:rPr>
          <w:rFonts w:hint="eastAsia" w:ascii="宋体" w:hAnsi="宋体"/>
          <w:color w:val="auto"/>
          <w:kern w:val="0"/>
          <w:szCs w:val="21"/>
        </w:rPr>
        <w:t>收申请报告的日期为实际竣工日期；工程未经竣工验收，发包人擅自使用的，以转移占有工程之日为实际竣工日期。</w:t>
      </w:r>
    </w:p>
    <w:p w14:paraId="680D7F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13.2.4 拒绝接收全部或部分工程</w:t>
      </w:r>
    </w:p>
    <w:p w14:paraId="50843E4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C7FC8C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13.2.5 移交、接收全部与部分工程</w:t>
      </w:r>
    </w:p>
    <w:p w14:paraId="6B1B7DF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除专用合同条款另有约定外，合同当事人应当在颁发工程接收证书后7天内完成工程的移交。</w:t>
      </w:r>
    </w:p>
    <w:p w14:paraId="1A818C3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7D4A15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14:paraId="1403EC16">
      <w:pPr>
        <w:pStyle w:val="7"/>
        <w:spacing w:before="0" w:beforeAutospacing="0" w:after="0" w:afterAutospacing="0" w:line="360" w:lineRule="auto"/>
        <w:ind w:firstLine="422" w:firstLineChars="200"/>
        <w:rPr>
          <w:color w:val="auto"/>
          <w:sz w:val="21"/>
          <w:szCs w:val="21"/>
        </w:rPr>
      </w:pPr>
      <w:bookmarkStart w:id="1181" w:name="_Toc532377277"/>
      <w:bookmarkStart w:id="1182" w:name="_Toc351203589"/>
      <w:bookmarkStart w:id="1183" w:name="_Toc296346612"/>
      <w:bookmarkStart w:id="1184" w:name="_Toc337558807"/>
      <w:bookmarkStart w:id="1185" w:name="_Toc296503111"/>
      <w:r>
        <w:rPr>
          <w:rFonts w:hint="eastAsia"/>
          <w:color w:val="auto"/>
          <w:sz w:val="21"/>
          <w:szCs w:val="21"/>
        </w:rPr>
        <w:t>13.3工程试车</w:t>
      </w:r>
      <w:bookmarkEnd w:id="1181"/>
      <w:bookmarkEnd w:id="1182"/>
    </w:p>
    <w:bookmarkEnd w:id="1183"/>
    <w:bookmarkEnd w:id="1184"/>
    <w:bookmarkEnd w:id="1185"/>
    <w:p w14:paraId="5B30612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13.3.1试车程序</w:t>
      </w:r>
    </w:p>
    <w:p w14:paraId="35DD948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工程需要试车的，除专用合同条款另有约定外，试车内容应与承包人承包范围相一致，试车费用由承包人承担。工程试车应按如下程序进行：</w:t>
      </w:r>
    </w:p>
    <w:p w14:paraId="63A903B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C7ED6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EC09A7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42AE9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13.3.2 试车中的责任</w:t>
      </w:r>
    </w:p>
    <w:p w14:paraId="5CE5823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B5237E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14F99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13.3.3 投料试车</w:t>
      </w:r>
    </w:p>
    <w:p w14:paraId="16594B1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如需进行投料试车的，发包人应在工程竣工验收后组织投料试车。发包人要求在工程竣工验收前进行或需要承包人配合时，应征得承包人同意，并在专用合同条款中约定有关事项。</w:t>
      </w:r>
    </w:p>
    <w:p w14:paraId="684723E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97EEAAB">
      <w:pPr>
        <w:pStyle w:val="7"/>
        <w:spacing w:before="0" w:beforeAutospacing="0" w:after="0" w:afterAutospacing="0" w:line="360" w:lineRule="auto"/>
        <w:ind w:firstLine="422" w:firstLineChars="200"/>
        <w:rPr>
          <w:color w:val="auto"/>
          <w:sz w:val="21"/>
          <w:szCs w:val="21"/>
        </w:rPr>
      </w:pPr>
      <w:bookmarkStart w:id="1186" w:name="_Toc532377278"/>
      <w:r>
        <w:rPr>
          <w:rFonts w:hint="eastAsia"/>
          <w:color w:val="auto"/>
          <w:sz w:val="21"/>
          <w:szCs w:val="21"/>
        </w:rPr>
        <w:t>13.4提前交付单位工程的验收</w:t>
      </w:r>
      <w:bookmarkEnd w:id="1186"/>
    </w:p>
    <w:p w14:paraId="6E0B35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13.4.1 发包人需要在工程竣工前使用单位工程的，或承包人提出提前交付已经竣工的单位工程且经发包人同意的，可进行单位工程验收，验收的程序按照第13.2款〔竣工验收〕的约定进行。</w:t>
      </w:r>
    </w:p>
    <w:p w14:paraId="5123FD7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70898A8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13.4.2 发包人要求在工程竣工前交付单位工程，由此导致承包人费用增加和（或）工期延误的，由发包人承担由此增加的费用和（或）延误的工期，并支付承包人合理的利润。</w:t>
      </w:r>
    </w:p>
    <w:p w14:paraId="3E0F673E">
      <w:pPr>
        <w:pStyle w:val="7"/>
        <w:spacing w:before="0" w:beforeAutospacing="0" w:after="0" w:afterAutospacing="0" w:line="360" w:lineRule="auto"/>
        <w:ind w:firstLine="422" w:firstLineChars="200"/>
        <w:rPr>
          <w:color w:val="auto"/>
          <w:sz w:val="21"/>
          <w:szCs w:val="21"/>
        </w:rPr>
      </w:pPr>
      <w:bookmarkStart w:id="1187" w:name="_Toc532377279"/>
      <w:bookmarkStart w:id="1188" w:name="_Toc351203591"/>
      <w:r>
        <w:rPr>
          <w:rFonts w:hint="eastAsia"/>
          <w:color w:val="auto"/>
          <w:sz w:val="21"/>
          <w:szCs w:val="21"/>
        </w:rPr>
        <w:t>13.5 施工期运行</w:t>
      </w:r>
      <w:bookmarkEnd w:id="1187"/>
      <w:bookmarkEnd w:id="1188"/>
    </w:p>
    <w:p w14:paraId="108457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55F7665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13.5.2 在施工期运行中发现工程或工程设备损坏或存在缺陷的，由承包人按第15.2款〔缺陷责任期〕约定进行修复。</w:t>
      </w:r>
    </w:p>
    <w:p w14:paraId="0A87AAF6">
      <w:pPr>
        <w:pStyle w:val="7"/>
        <w:spacing w:before="0" w:beforeAutospacing="0" w:after="0" w:afterAutospacing="0" w:line="360" w:lineRule="auto"/>
        <w:ind w:firstLine="422" w:firstLineChars="200"/>
        <w:rPr>
          <w:color w:val="auto"/>
          <w:sz w:val="21"/>
          <w:szCs w:val="21"/>
        </w:rPr>
      </w:pPr>
      <w:bookmarkStart w:id="1189" w:name="_Toc296503112"/>
      <w:bookmarkStart w:id="1190" w:name="_Toc296346613"/>
      <w:bookmarkStart w:id="1191" w:name="_Toc532377280"/>
      <w:bookmarkStart w:id="1192" w:name="_Toc351203592"/>
      <w:bookmarkStart w:id="1193" w:name="_Toc337558809"/>
      <w:r>
        <w:rPr>
          <w:rFonts w:hint="eastAsia"/>
          <w:color w:val="auto"/>
          <w:sz w:val="21"/>
          <w:szCs w:val="21"/>
        </w:rPr>
        <w:t>13.6 竣工退</w:t>
      </w:r>
      <w:bookmarkEnd w:id="1189"/>
      <w:bookmarkEnd w:id="1190"/>
      <w:r>
        <w:rPr>
          <w:rFonts w:hint="eastAsia"/>
          <w:color w:val="auto"/>
          <w:sz w:val="21"/>
          <w:szCs w:val="21"/>
        </w:rPr>
        <w:t>场</w:t>
      </w:r>
      <w:bookmarkEnd w:id="1191"/>
      <w:bookmarkEnd w:id="1192"/>
    </w:p>
    <w:bookmarkEnd w:id="1193"/>
    <w:p w14:paraId="1C616B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13.6.1 竣工退场</w:t>
      </w:r>
    </w:p>
    <w:p w14:paraId="727931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颁发工程接收证书后，承包人应按以下要求对施工现场进行清理：</w:t>
      </w:r>
    </w:p>
    <w:p w14:paraId="13614BC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（1）施工现场内残留的垃圾已全部清除出场；</w:t>
      </w:r>
    </w:p>
    <w:p w14:paraId="3EEB6B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（2）临时工程已拆除，场地已进行清理、平整或复原；</w:t>
      </w:r>
    </w:p>
    <w:p w14:paraId="78991E7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（3）按合同约定应撤离的人员、承包人施工设备和剩余的材料，包括废弃的施工设备和材料，已按计划撤离施工现场；</w:t>
      </w:r>
    </w:p>
    <w:p w14:paraId="7D9F401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（4）施工现场周边及其附近道路、河道的施工堆积物，已全部清理；</w:t>
      </w:r>
    </w:p>
    <w:p w14:paraId="01A096F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（5）施工现场其他场地清理工作已全部完成。</w:t>
      </w:r>
    </w:p>
    <w:p w14:paraId="320B52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0AC50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13.6.2 地表还原</w:t>
      </w:r>
    </w:p>
    <w:p w14:paraId="0DB7E31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30AF31F7">
      <w:pPr>
        <w:pStyle w:val="6"/>
        <w:keepNext/>
        <w:keepLines/>
        <w:spacing w:beforeLines="50" w:beforeAutospacing="0" w:afterLines="50" w:afterAutospacing="0" w:line="360" w:lineRule="auto"/>
        <w:jc w:val="both"/>
        <w:rPr>
          <w:bCs w:val="0"/>
          <w:color w:val="auto"/>
          <w:kern w:val="2"/>
          <w:sz w:val="21"/>
          <w:szCs w:val="21"/>
        </w:rPr>
      </w:pPr>
      <w:bookmarkStart w:id="1194" w:name="_Toc351203593"/>
      <w:bookmarkStart w:id="1195" w:name="_Toc532377281"/>
      <w:bookmarkStart w:id="1196" w:name="_Toc532375600"/>
      <w:bookmarkStart w:id="1197" w:name="_Toc337558810"/>
      <w:bookmarkStart w:id="1198" w:name="_Toc296346614"/>
      <w:bookmarkStart w:id="1199" w:name="_Toc296503113"/>
      <w:r>
        <w:rPr>
          <w:rFonts w:hint="eastAsia"/>
          <w:color w:val="auto"/>
          <w:kern w:val="2"/>
          <w:sz w:val="21"/>
          <w:szCs w:val="21"/>
        </w:rPr>
        <w:t>14. 竣工结算</w:t>
      </w:r>
      <w:bookmarkEnd w:id="1194"/>
      <w:bookmarkEnd w:id="1195"/>
      <w:bookmarkEnd w:id="1196"/>
    </w:p>
    <w:bookmarkEnd w:id="1197"/>
    <w:p w14:paraId="31146EA4">
      <w:pPr>
        <w:pStyle w:val="7"/>
        <w:spacing w:before="0" w:beforeAutospacing="0" w:after="0" w:afterAutospacing="0" w:line="360" w:lineRule="auto"/>
        <w:ind w:firstLine="422" w:firstLineChars="200"/>
        <w:rPr>
          <w:color w:val="auto"/>
          <w:sz w:val="21"/>
          <w:szCs w:val="21"/>
        </w:rPr>
      </w:pPr>
      <w:bookmarkStart w:id="1200" w:name="_Toc532377282"/>
      <w:bookmarkStart w:id="1201" w:name="_Toc351203594"/>
      <w:bookmarkStart w:id="1202" w:name="_Toc337558811"/>
      <w:r>
        <w:rPr>
          <w:rFonts w:hint="eastAsia"/>
          <w:color w:val="auto"/>
          <w:sz w:val="21"/>
          <w:szCs w:val="21"/>
        </w:rPr>
        <w:t>14.1 竣工结算申请</w:t>
      </w:r>
      <w:bookmarkEnd w:id="1200"/>
      <w:bookmarkEnd w:id="1201"/>
    </w:p>
    <w:bookmarkEnd w:id="1202"/>
    <w:p w14:paraId="346D42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A6190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除专用合同条款另有约定外，竣工结算申请单应包括以下内容：</w:t>
      </w:r>
    </w:p>
    <w:p w14:paraId="0D79A2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（1）竣工结算合同价格；</w:t>
      </w:r>
    </w:p>
    <w:p w14:paraId="072C14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（2）发包人已支付承包人的款项；</w:t>
      </w:r>
    </w:p>
    <w:p w14:paraId="406A406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（3）应扣留的质量保证金。已缴纳履约保证金的或提供其他工程质量担保方式的除外； </w:t>
      </w:r>
    </w:p>
    <w:p w14:paraId="14F2FFA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（4）发包人应支付承包人的合同价款。</w:t>
      </w:r>
    </w:p>
    <w:p w14:paraId="21FA9BC4">
      <w:pPr>
        <w:pStyle w:val="7"/>
        <w:spacing w:before="0" w:beforeAutospacing="0" w:after="0" w:afterAutospacing="0" w:line="360" w:lineRule="auto"/>
        <w:ind w:firstLine="422" w:firstLineChars="200"/>
        <w:rPr>
          <w:color w:val="auto"/>
          <w:sz w:val="21"/>
          <w:szCs w:val="21"/>
        </w:rPr>
      </w:pPr>
      <w:bookmarkStart w:id="1203" w:name="_Toc532377283"/>
      <w:bookmarkStart w:id="1204" w:name="_Toc351203595"/>
      <w:bookmarkStart w:id="1205" w:name="_Toc337558812"/>
      <w:r>
        <w:rPr>
          <w:rFonts w:hint="eastAsia"/>
          <w:color w:val="auto"/>
          <w:sz w:val="21"/>
          <w:szCs w:val="21"/>
        </w:rPr>
        <w:t>14.2 竣工结算审核</w:t>
      </w:r>
      <w:bookmarkEnd w:id="1203"/>
      <w:bookmarkEnd w:id="1204"/>
    </w:p>
    <w:bookmarkEnd w:id="1205"/>
    <w:p w14:paraId="084015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36428E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2D4AD2E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799D5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481C413">
      <w:pPr>
        <w:pStyle w:val="7"/>
        <w:spacing w:before="0" w:beforeAutospacing="0" w:after="0" w:afterAutospacing="0" w:line="360" w:lineRule="auto"/>
        <w:ind w:firstLine="422" w:firstLineChars="200"/>
        <w:rPr>
          <w:color w:val="auto"/>
          <w:sz w:val="21"/>
          <w:szCs w:val="21"/>
        </w:rPr>
      </w:pPr>
      <w:bookmarkStart w:id="1206" w:name="_Toc532377284"/>
      <w:bookmarkStart w:id="1207" w:name="_Toc351203596"/>
      <w:bookmarkStart w:id="1208" w:name="_Toc337558813"/>
      <w:r>
        <w:rPr>
          <w:rFonts w:hint="eastAsia"/>
          <w:color w:val="auto"/>
          <w:sz w:val="21"/>
          <w:szCs w:val="21"/>
        </w:rPr>
        <w:t>14.3 甩项竣工协议</w:t>
      </w:r>
      <w:bookmarkEnd w:id="1206"/>
      <w:bookmarkEnd w:id="1207"/>
    </w:p>
    <w:bookmarkEnd w:id="1208"/>
    <w:p w14:paraId="1DF48859">
      <w:pPr>
        <w:autoSpaceDE w:val="0"/>
        <w:autoSpaceDN w:val="0"/>
        <w:spacing w:line="360" w:lineRule="auto"/>
        <w:ind w:firstLine="411" w:firstLineChars="196"/>
        <w:jc w:val="left"/>
        <w:rPr>
          <w:rFonts w:ascii="宋体" w:hAnsi="宋体"/>
          <w:color w:val="auto"/>
          <w:kern w:val="0"/>
          <w:szCs w:val="21"/>
        </w:rPr>
      </w:pPr>
      <w:r>
        <w:rPr>
          <w:rFonts w:hint="eastAsia" w:ascii="宋体" w:hAnsi="宋体"/>
          <w:color w:val="auto"/>
          <w:kern w:val="0"/>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75C3B5C9">
      <w:pPr>
        <w:pStyle w:val="7"/>
        <w:spacing w:before="0" w:beforeAutospacing="0" w:after="0" w:afterAutospacing="0" w:line="360" w:lineRule="auto"/>
        <w:ind w:firstLine="422" w:firstLineChars="200"/>
        <w:rPr>
          <w:color w:val="auto"/>
          <w:sz w:val="21"/>
          <w:szCs w:val="21"/>
        </w:rPr>
      </w:pPr>
      <w:bookmarkStart w:id="1209" w:name="_Toc351203597"/>
      <w:bookmarkStart w:id="1210" w:name="_Toc532377285"/>
      <w:bookmarkStart w:id="1211" w:name="_Toc337558814"/>
      <w:r>
        <w:rPr>
          <w:rFonts w:hint="eastAsia"/>
          <w:color w:val="auto"/>
          <w:sz w:val="21"/>
          <w:szCs w:val="21"/>
        </w:rPr>
        <w:t>14.4 最终结清</w:t>
      </w:r>
      <w:bookmarkEnd w:id="1209"/>
      <w:bookmarkEnd w:id="1210"/>
    </w:p>
    <w:bookmarkEnd w:id="1211"/>
    <w:p w14:paraId="5A7878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14.4.1 最终结清申请单</w:t>
      </w:r>
    </w:p>
    <w:p w14:paraId="3961192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（1）除专用合同条款另有约定外，承包人应在缺陷责任期终止证书颁发后7天内，按专用合同条款约定的份数向发包人提交最终结清申请单，并提供相关证明材料。</w:t>
      </w:r>
    </w:p>
    <w:p w14:paraId="5BBA5A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除专用合同条款另有约定外，最终结清申请单应列明质量保证金、应扣除的质量保证金、缺陷责任期内发生的增减费用。</w:t>
      </w:r>
    </w:p>
    <w:p w14:paraId="53E2C0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（2）发包人对最终结清申请单内容有异议的，有权要求承包人进行修正和提供补充资料，承包人应向发包人提交修正后的最终结清申请单。</w:t>
      </w:r>
    </w:p>
    <w:p w14:paraId="654342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14.4.2 最终结清证书和支付</w:t>
      </w:r>
    </w:p>
    <w:p w14:paraId="756B3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1E50BC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93E12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（3）承包人对发包人颁发的最终结清证书有异议的，按第20条〔争议解决〕的约定办理。</w:t>
      </w:r>
    </w:p>
    <w:p w14:paraId="5FF34D10">
      <w:pPr>
        <w:pStyle w:val="6"/>
        <w:keepNext/>
        <w:keepLines/>
        <w:spacing w:beforeLines="50" w:beforeAutospacing="0" w:afterLines="50" w:afterAutospacing="0" w:line="360" w:lineRule="auto"/>
        <w:jc w:val="both"/>
        <w:rPr>
          <w:bCs w:val="0"/>
          <w:color w:val="auto"/>
          <w:kern w:val="2"/>
          <w:sz w:val="21"/>
          <w:szCs w:val="21"/>
        </w:rPr>
      </w:pPr>
      <w:bookmarkStart w:id="1212" w:name="_Toc532377286"/>
      <w:bookmarkStart w:id="1213" w:name="_Toc532375601"/>
      <w:bookmarkStart w:id="1214" w:name="_Toc351203598"/>
      <w:bookmarkStart w:id="1215" w:name="_Toc337558815"/>
      <w:r>
        <w:rPr>
          <w:rFonts w:hint="eastAsia"/>
          <w:color w:val="auto"/>
          <w:kern w:val="2"/>
          <w:sz w:val="21"/>
          <w:szCs w:val="21"/>
        </w:rPr>
        <w:t>15. 缺陷责任与保修</w:t>
      </w:r>
      <w:bookmarkEnd w:id="1212"/>
      <w:bookmarkEnd w:id="1213"/>
      <w:bookmarkEnd w:id="1214"/>
    </w:p>
    <w:bookmarkEnd w:id="1198"/>
    <w:bookmarkEnd w:id="1199"/>
    <w:bookmarkEnd w:id="1215"/>
    <w:p w14:paraId="30DC20CD">
      <w:pPr>
        <w:pStyle w:val="7"/>
        <w:spacing w:before="0" w:beforeAutospacing="0" w:after="0" w:afterAutospacing="0" w:line="360" w:lineRule="auto"/>
        <w:ind w:firstLine="422" w:firstLineChars="200"/>
        <w:rPr>
          <w:color w:val="auto"/>
          <w:sz w:val="21"/>
          <w:szCs w:val="21"/>
        </w:rPr>
      </w:pPr>
      <w:bookmarkStart w:id="1216" w:name="_Toc532377287"/>
      <w:bookmarkStart w:id="1217" w:name="_Toc351203599"/>
      <w:bookmarkStart w:id="1218" w:name="_Toc337558816"/>
      <w:bookmarkStart w:id="1219" w:name="_Toc296346615"/>
      <w:bookmarkStart w:id="1220" w:name="_Toc296503114"/>
      <w:r>
        <w:rPr>
          <w:rFonts w:hint="eastAsia"/>
          <w:color w:val="auto"/>
          <w:sz w:val="21"/>
          <w:szCs w:val="21"/>
        </w:rPr>
        <w:t>15.1 工程保修的原则</w:t>
      </w:r>
      <w:bookmarkEnd w:id="1216"/>
      <w:bookmarkEnd w:id="1217"/>
    </w:p>
    <w:bookmarkEnd w:id="1218"/>
    <w:p w14:paraId="3D31037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在工程移交发包人后，因承包人原因产生的质量缺陷，承包人应承担质量缺陷责任和保修义务。缺陷责任期届满，承包人仍应按合同约定的工程各部位保修年限承担保修义务。</w:t>
      </w:r>
    </w:p>
    <w:p w14:paraId="4E821AC6">
      <w:pPr>
        <w:pStyle w:val="7"/>
        <w:spacing w:before="0" w:beforeAutospacing="0" w:after="0" w:afterAutospacing="0" w:line="360" w:lineRule="auto"/>
        <w:ind w:firstLine="422" w:firstLineChars="200"/>
        <w:rPr>
          <w:color w:val="auto"/>
          <w:sz w:val="21"/>
          <w:szCs w:val="21"/>
        </w:rPr>
      </w:pPr>
      <w:bookmarkStart w:id="1221" w:name="_Toc351203600"/>
      <w:bookmarkStart w:id="1222" w:name="_Toc532377288"/>
      <w:bookmarkStart w:id="1223" w:name="_Toc337558817"/>
      <w:r>
        <w:rPr>
          <w:rFonts w:hint="eastAsia"/>
          <w:color w:val="auto"/>
          <w:sz w:val="21"/>
          <w:szCs w:val="21"/>
        </w:rPr>
        <w:t>15.2 缺陷责任期</w:t>
      </w:r>
      <w:bookmarkEnd w:id="1219"/>
      <w:bookmarkEnd w:id="1220"/>
      <w:bookmarkEnd w:id="1221"/>
      <w:bookmarkEnd w:id="1222"/>
    </w:p>
    <w:bookmarkEnd w:id="1223"/>
    <w:p w14:paraId="55ACBFE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15.2.1 缺陷责任期从工程通过竣工验收之日起计算，合同当事人应在专用合同条款约定缺陷责任期的具体期限，但该期限最长不超过24个月。</w:t>
      </w:r>
    </w:p>
    <w:p w14:paraId="6CFAEEA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9DF539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7771EC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由他人原因造成的缺陷，发包人负责组织维修，承包人不承担费用，且发包人不得从保证金中扣除费用。</w:t>
      </w:r>
    </w:p>
    <w:p w14:paraId="7F2967C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15.2.3 任何一项缺陷或损坏修复后，经检查证明其影响了工程或工程设备的使用性能，承包人应重新进行合同约定的试验和试运行，试验和试运行的全部费用应由责任方承担。</w:t>
      </w:r>
    </w:p>
    <w:p w14:paraId="653B6DE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44C0301">
      <w:pPr>
        <w:pStyle w:val="7"/>
        <w:spacing w:before="0" w:beforeAutospacing="0" w:after="0" w:afterAutospacing="0" w:line="360" w:lineRule="auto"/>
        <w:ind w:firstLine="422" w:firstLineChars="200"/>
        <w:rPr>
          <w:color w:val="auto"/>
          <w:sz w:val="21"/>
          <w:szCs w:val="21"/>
        </w:rPr>
      </w:pPr>
      <w:bookmarkStart w:id="1224" w:name="_Toc351203601"/>
      <w:bookmarkStart w:id="1225" w:name="_Toc532377289"/>
      <w:bookmarkStart w:id="1226" w:name="_Toc337558818"/>
      <w:bookmarkStart w:id="1227" w:name="_Toc296503115"/>
      <w:bookmarkStart w:id="1228" w:name="_Toc296346616"/>
      <w:r>
        <w:rPr>
          <w:rFonts w:hint="eastAsia"/>
          <w:color w:val="auto"/>
          <w:sz w:val="21"/>
          <w:szCs w:val="21"/>
        </w:rPr>
        <w:t>15.3 质量保证金</w:t>
      </w:r>
      <w:bookmarkEnd w:id="1224"/>
      <w:bookmarkEnd w:id="1225"/>
    </w:p>
    <w:bookmarkEnd w:id="1226"/>
    <w:p w14:paraId="6099147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经合同当事人协商一致扣留质量保证金的，应在专用合同条款中予以明确。</w:t>
      </w:r>
    </w:p>
    <w:p w14:paraId="16F036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在工程项目竣工前，承包人已经提供履约担保的，发包人不得同时预留工程质量保证金。</w:t>
      </w:r>
    </w:p>
    <w:p w14:paraId="3FA418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15.3.1 承包人提供质量保证金的方式</w:t>
      </w:r>
    </w:p>
    <w:p w14:paraId="26C301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承包人提供质量保证金有以下三种方式：</w:t>
      </w:r>
    </w:p>
    <w:p w14:paraId="7701220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（1）质量保证金保函；</w:t>
      </w:r>
    </w:p>
    <w:p w14:paraId="7F7934E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（2）相应比例的工程款；</w:t>
      </w:r>
    </w:p>
    <w:p w14:paraId="7776465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（3）双方约定的其他方式。</w:t>
      </w:r>
    </w:p>
    <w:p w14:paraId="66A1515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除专用合同条款另有约定外，质量保证金原则上采用上述第（1）种方式。</w:t>
      </w:r>
    </w:p>
    <w:p w14:paraId="1665A0B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15.3.2 质量保证金的扣留</w:t>
      </w:r>
    </w:p>
    <w:p w14:paraId="2F4EFF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质量保证金的扣留有以下三种方式：</w:t>
      </w:r>
    </w:p>
    <w:p w14:paraId="38E509E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（1）在支付工程进度款时逐次扣留，在此情形下，质量保证金的计算基数不包括预付款的支付、扣回以及价格调整的金额；</w:t>
      </w:r>
    </w:p>
    <w:p w14:paraId="1C6B6F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（2）工</w:t>
      </w:r>
      <w:bookmarkStart w:id="1229" w:name="#go6"/>
      <w:bookmarkEnd w:id="1229"/>
      <w:r>
        <w:rPr>
          <w:rFonts w:hint="eastAsia" w:ascii="宋体" w:hAnsi="宋体"/>
          <w:color w:val="auto"/>
          <w:kern w:val="0"/>
          <w:szCs w:val="21"/>
        </w:rPr>
        <w:t>程竣工结算时一次性扣留质量保证金；</w:t>
      </w:r>
    </w:p>
    <w:p w14:paraId="03CED4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（3）双方约定的其他扣留方式。</w:t>
      </w:r>
    </w:p>
    <w:p w14:paraId="17A3BC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除专用合同条款另有约定外，质量保证金的扣留原则上采用上述第（1）种方式。</w:t>
      </w:r>
    </w:p>
    <w:p w14:paraId="353A09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w:t>
      </w:r>
      <w:bookmarkStart w:id="1230" w:name="#go4"/>
      <w:bookmarkEnd w:id="1230"/>
      <w:r>
        <w:rPr>
          <w:rFonts w:hint="eastAsia" w:ascii="宋体" w:hAnsi="宋体"/>
          <w:color w:val="auto"/>
          <w:kern w:val="0"/>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EFCDA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发包人在退还质量保证金的同时按照中国人民银行发布的同期同类贷款基准利率支付利息。</w:t>
      </w:r>
    </w:p>
    <w:p w14:paraId="32A1D0D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15.3.3 质量保证金的退还</w:t>
      </w:r>
    </w:p>
    <w:p w14:paraId="511C9EE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缺陷责任期内，承包人认真履行合同约定的责任，到期后，承包人可向发包人申请返还保证金。</w:t>
      </w:r>
    </w:p>
    <w:p w14:paraId="300246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19089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发包人和承包人对保证金预留、返还以及工程维修质量、费用有争议的，按合同第20条约定的争议和纠纷解决程序处理。</w:t>
      </w:r>
    </w:p>
    <w:p w14:paraId="3E3753AF">
      <w:pPr>
        <w:pStyle w:val="7"/>
        <w:spacing w:before="0" w:beforeAutospacing="0" w:after="0" w:afterAutospacing="0" w:line="360" w:lineRule="auto"/>
        <w:ind w:firstLine="422" w:firstLineChars="200"/>
        <w:rPr>
          <w:color w:val="auto"/>
          <w:sz w:val="21"/>
          <w:szCs w:val="21"/>
        </w:rPr>
      </w:pPr>
      <w:bookmarkStart w:id="1231" w:name="_Toc351203602"/>
      <w:bookmarkStart w:id="1232" w:name="_Toc532377290"/>
      <w:bookmarkStart w:id="1233" w:name="_Toc337558819"/>
      <w:r>
        <w:rPr>
          <w:rFonts w:hint="eastAsia"/>
          <w:color w:val="auto"/>
          <w:sz w:val="21"/>
          <w:szCs w:val="21"/>
        </w:rPr>
        <w:t>15.4 保修</w:t>
      </w:r>
      <w:bookmarkEnd w:id="1231"/>
      <w:bookmarkEnd w:id="1232"/>
    </w:p>
    <w:bookmarkEnd w:id="1227"/>
    <w:bookmarkEnd w:id="1228"/>
    <w:bookmarkEnd w:id="1233"/>
    <w:p w14:paraId="15112A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15.4.1保修责任</w:t>
      </w:r>
    </w:p>
    <w:p w14:paraId="0962BE9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0F7B0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发包人未经竣工验收擅自使用工程的，保修期自转移占有之日起算。</w:t>
      </w:r>
    </w:p>
    <w:p w14:paraId="011DD74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15.4.2 修复费用</w:t>
      </w:r>
    </w:p>
    <w:p w14:paraId="49E1689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保修期内，修复的费用按照以下约定处理：</w:t>
      </w:r>
    </w:p>
    <w:p w14:paraId="77A9FA4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（1）保修期内，因承包人原因造成工程的缺陷、损坏，承包人应负责修复，并承担修复的费用以及因工程的缺陷、损坏造成的人身伤害和财产损失；</w:t>
      </w:r>
    </w:p>
    <w:p w14:paraId="0CDB149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（2）保修期内，因发包人使用不当造成工程的缺陷、损坏，可以委托承包人修复，但发包人应承担修复的费用，并支付承包人合理利润；</w:t>
      </w:r>
    </w:p>
    <w:p w14:paraId="39D28B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（3）因其他原因造成工程的缺陷、损坏，可以委托承包人修复，发包人应承担修复的费用，并支付承包人合理的利润，因工程的缺陷、损坏造成的人身伤害和财产损失由责任方承担。</w:t>
      </w:r>
    </w:p>
    <w:p w14:paraId="3E0239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15.4.3 修复通知</w:t>
      </w:r>
    </w:p>
    <w:p w14:paraId="4CEE6E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1E1A8F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15.4.4 未能修复</w:t>
      </w:r>
    </w:p>
    <w:p w14:paraId="431C248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01951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15.4.5 承包人出入权</w:t>
      </w:r>
    </w:p>
    <w:p w14:paraId="0BB073E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5358C8A">
      <w:pPr>
        <w:pStyle w:val="6"/>
        <w:keepNext/>
        <w:keepLines/>
        <w:spacing w:beforeLines="50" w:beforeAutospacing="0" w:afterLines="50" w:afterAutospacing="0" w:line="360" w:lineRule="auto"/>
        <w:jc w:val="both"/>
        <w:rPr>
          <w:bCs w:val="0"/>
          <w:color w:val="auto"/>
          <w:kern w:val="2"/>
          <w:sz w:val="21"/>
          <w:szCs w:val="21"/>
        </w:rPr>
      </w:pPr>
      <w:bookmarkStart w:id="1234" w:name="_Toc351203603"/>
      <w:bookmarkStart w:id="1235" w:name="_Toc532377291"/>
      <w:bookmarkStart w:id="1236" w:name="_Toc532375602"/>
      <w:bookmarkStart w:id="1237" w:name="_Toc337558820"/>
      <w:r>
        <w:rPr>
          <w:rFonts w:hint="eastAsia"/>
          <w:color w:val="auto"/>
          <w:kern w:val="2"/>
          <w:sz w:val="21"/>
          <w:szCs w:val="21"/>
        </w:rPr>
        <w:t>16. 违约</w:t>
      </w:r>
      <w:bookmarkEnd w:id="1234"/>
      <w:bookmarkEnd w:id="1235"/>
      <w:bookmarkEnd w:id="1236"/>
    </w:p>
    <w:bookmarkEnd w:id="1237"/>
    <w:p w14:paraId="008936C8">
      <w:pPr>
        <w:pStyle w:val="7"/>
        <w:spacing w:before="0" w:beforeAutospacing="0" w:after="0" w:afterAutospacing="0" w:line="360" w:lineRule="auto"/>
        <w:ind w:firstLine="422" w:firstLineChars="200"/>
        <w:rPr>
          <w:color w:val="auto"/>
          <w:sz w:val="21"/>
          <w:szCs w:val="21"/>
        </w:rPr>
      </w:pPr>
      <w:bookmarkStart w:id="1238" w:name="_Toc296503129"/>
      <w:bookmarkStart w:id="1239" w:name="_Toc296346630"/>
      <w:bookmarkStart w:id="1240" w:name="_Toc351203604"/>
      <w:bookmarkStart w:id="1241" w:name="_Toc532377292"/>
      <w:bookmarkStart w:id="1242" w:name="_Toc337558821"/>
      <w:r>
        <w:rPr>
          <w:rFonts w:hint="eastAsia"/>
          <w:color w:val="auto"/>
          <w:sz w:val="21"/>
          <w:szCs w:val="21"/>
        </w:rPr>
        <w:t>16.1 发</w:t>
      </w:r>
      <w:bookmarkEnd w:id="1238"/>
      <w:bookmarkEnd w:id="1239"/>
      <w:r>
        <w:rPr>
          <w:rFonts w:hint="eastAsia"/>
          <w:color w:val="auto"/>
          <w:sz w:val="21"/>
          <w:szCs w:val="21"/>
        </w:rPr>
        <w:t>包人违约</w:t>
      </w:r>
      <w:bookmarkEnd w:id="1240"/>
      <w:bookmarkEnd w:id="1241"/>
    </w:p>
    <w:bookmarkEnd w:id="1242"/>
    <w:p w14:paraId="384E4E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16.1.1 发包人违约的情形</w:t>
      </w:r>
    </w:p>
    <w:p w14:paraId="41B32D2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在合同履行过程中发生的下列情形，属于发包人违约：</w:t>
      </w:r>
    </w:p>
    <w:p w14:paraId="333D539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（1）因发包人原因未能在计划开工日期前7天内下达开工通知的；</w:t>
      </w:r>
    </w:p>
    <w:p w14:paraId="729604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（2）因发包人原因未能按合同约定支付合同价款的；</w:t>
      </w:r>
    </w:p>
    <w:p w14:paraId="1C3D67B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（3）发包人违反第10.1款〔变更的范围〕第（2）项约定，自行实施被取消的工作或转由他人实施的；</w:t>
      </w:r>
    </w:p>
    <w:p w14:paraId="799AD3B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（4）发包人提供的材料、工程设备的规格、数量或质量不符合合同约定，或因发包人原因导致交货日期延误或交货地点变更等情况的；</w:t>
      </w:r>
    </w:p>
    <w:p w14:paraId="3B35D6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（5）因发包人违反合同约定造成暂停施工的；</w:t>
      </w:r>
    </w:p>
    <w:p w14:paraId="3235AB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（6）发包人无正当理由没有在约定期限内发出复工指示，导致承包人无法复工的；</w:t>
      </w:r>
    </w:p>
    <w:p w14:paraId="481D36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（7）发包人明确表示或者以其行为表明不履行合同主要义务的；</w:t>
      </w:r>
    </w:p>
    <w:p w14:paraId="6AF99B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（8）发包人未能按照合同约定履行其他义务的。</w:t>
      </w:r>
    </w:p>
    <w:p w14:paraId="7E1F653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03AC30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16.1.2 发包人违约的责任</w:t>
      </w:r>
    </w:p>
    <w:p w14:paraId="121EFA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发包人应承担因其违约给承包人增加的费用和（或）延误的工期，并支付承包人合理的利润。此外，合同当事人可在专用合同条款中另行约定发包人违约责任的承担方式和计算方法。</w:t>
      </w:r>
    </w:p>
    <w:p w14:paraId="63D61E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16.1.3 因发包人违约解除合同</w:t>
      </w:r>
    </w:p>
    <w:p w14:paraId="596F61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3AB2D2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16.1.4 因发包人违约解除合同后的付款</w:t>
      </w:r>
    </w:p>
    <w:p w14:paraId="368A2A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承包人按照本款约定解除合同的，发包人应在解除合同后28天内支付下列款项，并解除履约担保：</w:t>
      </w:r>
    </w:p>
    <w:p w14:paraId="104C29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（1）合同解除前所完成工作的价款；</w:t>
      </w:r>
    </w:p>
    <w:p w14:paraId="41E30A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（2）承包人为工程施工订购并已付款的材料、工程设备和其他物品的价款；</w:t>
      </w:r>
    </w:p>
    <w:p w14:paraId="1852EAC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（3）承包人撤离施工现场以及遣散承包人人员的款项；</w:t>
      </w:r>
    </w:p>
    <w:p w14:paraId="066409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（4）按照合同约定在合同解除前应支付的违约金；</w:t>
      </w:r>
    </w:p>
    <w:p w14:paraId="26894E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（5）按照合同约定应当支付给承包人的其他款项；</w:t>
      </w:r>
    </w:p>
    <w:p w14:paraId="77E9B53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（6）按照合同约定应退还的质量保证金；</w:t>
      </w:r>
    </w:p>
    <w:p w14:paraId="6A1C6A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（7）因解除合同给承包人造成的损失。</w:t>
      </w:r>
    </w:p>
    <w:p w14:paraId="477075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合同当事人未能就解除合同后的结清达成一致的，按照第20条〔争议解决〕的约定处理。</w:t>
      </w:r>
    </w:p>
    <w:p w14:paraId="13B22F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承包人应妥善做好已完工程和与工程有关的已购材料、工程设备的保护和移交工作，并将施工设备和人员撤出施工现场，发包人应为承包人撤出提供必要条件。</w:t>
      </w:r>
    </w:p>
    <w:p w14:paraId="7C93CA87">
      <w:pPr>
        <w:pStyle w:val="7"/>
        <w:spacing w:before="0" w:beforeAutospacing="0" w:after="0" w:afterAutospacing="0" w:line="360" w:lineRule="auto"/>
        <w:ind w:firstLine="422" w:firstLineChars="200"/>
        <w:rPr>
          <w:color w:val="auto"/>
          <w:sz w:val="21"/>
          <w:szCs w:val="21"/>
        </w:rPr>
      </w:pPr>
      <w:bookmarkStart w:id="1243" w:name="_Toc532377293"/>
      <w:bookmarkStart w:id="1244" w:name="_Toc351203605"/>
      <w:bookmarkStart w:id="1245" w:name="_Toc337558822"/>
      <w:bookmarkStart w:id="1246" w:name="_Toc296503131"/>
      <w:bookmarkStart w:id="1247" w:name="_Toc296346632"/>
      <w:r>
        <w:rPr>
          <w:rFonts w:hint="eastAsia"/>
          <w:color w:val="auto"/>
          <w:sz w:val="21"/>
          <w:szCs w:val="21"/>
        </w:rPr>
        <w:t>16.2 承包人违约</w:t>
      </w:r>
      <w:bookmarkEnd w:id="1243"/>
      <w:bookmarkEnd w:id="1244"/>
    </w:p>
    <w:bookmarkEnd w:id="1245"/>
    <w:bookmarkEnd w:id="1246"/>
    <w:bookmarkEnd w:id="1247"/>
    <w:p w14:paraId="3CEDCC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16.2.1 承包人违约的情形</w:t>
      </w:r>
    </w:p>
    <w:p w14:paraId="41B8477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在合同履行过程中发生的下列情形，属于承包人违约：</w:t>
      </w:r>
    </w:p>
    <w:p w14:paraId="1DCDC6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（1）承包人违反合同约定进行转包或违法分包的；</w:t>
      </w:r>
    </w:p>
    <w:p w14:paraId="0DBE17C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（2）承包人违反合同约定采购和使用不合格的材料和工程设备的；</w:t>
      </w:r>
    </w:p>
    <w:p w14:paraId="63CF6F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（3）因承包人原因导致工程质量不符合合同要求的； </w:t>
      </w:r>
    </w:p>
    <w:p w14:paraId="24DCE41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（4）承包人违反第8.9款〔材料与设备专用要求〕的约定，未经批准，私自将已按照合同约定进入施工现场的材料或设备撤离施工现场的；</w:t>
      </w:r>
    </w:p>
    <w:p w14:paraId="7DDAA87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（5）承包人未能按施工进度计划及时完成合同约定的工作，造成工期延误的；</w:t>
      </w:r>
    </w:p>
    <w:p w14:paraId="2DF503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（6）承包人在缺陷责任期及保修期内，未能在合理期限对工程缺陷进行修复，或拒绝按发包人要求进行修复的；</w:t>
      </w:r>
    </w:p>
    <w:p w14:paraId="5973714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（7）承包人明确表示或者以其行为表明不履行合同主要义务的；</w:t>
      </w:r>
    </w:p>
    <w:p w14:paraId="042CD3C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（8）承包人未能按照合同约定履行其他义务的。</w:t>
      </w:r>
    </w:p>
    <w:p w14:paraId="77845FF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承包人发生除本项第（7）目约定以外的其他违约情况时，监理人可向承包人发出整改通知，要求其在指定的期限内改正。</w:t>
      </w:r>
    </w:p>
    <w:p w14:paraId="61CCC0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16.2.2 承包人违约的责任</w:t>
      </w:r>
    </w:p>
    <w:p w14:paraId="01034AA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承包人应承担因其违约行为而增加的费用和（或）延误的工期。此外，合同当事人可在专用合同条款中另行约定承包人违约责任的承担方式和计算方法。</w:t>
      </w:r>
    </w:p>
    <w:p w14:paraId="52AB10F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16.2.3 因承包人违约解除合同</w:t>
      </w:r>
    </w:p>
    <w:p w14:paraId="1EE30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88D0E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16.2.4因承包人违约解除合同后的处理</w:t>
      </w:r>
    </w:p>
    <w:p w14:paraId="28691D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因承包人原因导致合同解除的，则合同当事人应在合同解除后28天内完成估价、付款和清算，并按以下约定执行：</w:t>
      </w:r>
    </w:p>
    <w:p w14:paraId="286078B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（1）合同解除后，按第4.4款〔商定或确定〕商定或确定承包人实际完成工作对应的合同价款，以及承包人已提供的材料、工程设备、施工设备和临时工程等的价值；</w:t>
      </w:r>
    </w:p>
    <w:p w14:paraId="6D6A0AE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（2）合同解除后，承包人应支付的违约金；</w:t>
      </w:r>
    </w:p>
    <w:p w14:paraId="0FC691D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（3）合同解除后，因解除合同给发包人造成的损失；</w:t>
      </w:r>
    </w:p>
    <w:p w14:paraId="29C535C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（4）合同解除后，承包人应按照发包人要求和监理人的指示完成现场的清理和撤离；</w:t>
      </w:r>
    </w:p>
    <w:p w14:paraId="36FDE7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（5）发包人和承包人应在合同解除后进行清算，出具最终结清付款证书，结清全部款项。</w:t>
      </w:r>
    </w:p>
    <w:p w14:paraId="726272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因承包人违约解除合同的，发包人有权暂停对承包人的付款，查清各项付款和已扣款项。发包人和承包人未能就合同解除后的清算和款项支付达成一致的，按照第20条〔争议解决〕的约定处理。</w:t>
      </w:r>
    </w:p>
    <w:p w14:paraId="2D1394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16.2.5采购合同权益转让</w:t>
      </w:r>
    </w:p>
    <w:p w14:paraId="5020D8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FFFF98C">
      <w:pPr>
        <w:pStyle w:val="7"/>
        <w:spacing w:before="0" w:beforeAutospacing="0" w:after="0" w:afterAutospacing="0" w:line="360" w:lineRule="auto"/>
        <w:ind w:firstLine="422" w:firstLineChars="200"/>
        <w:rPr>
          <w:color w:val="auto"/>
          <w:sz w:val="21"/>
          <w:szCs w:val="21"/>
        </w:rPr>
      </w:pPr>
      <w:bookmarkStart w:id="1248" w:name="_Toc532377294"/>
      <w:bookmarkStart w:id="1249" w:name="_Toc351203606"/>
      <w:r>
        <w:rPr>
          <w:rFonts w:hint="eastAsia"/>
          <w:color w:val="auto"/>
          <w:sz w:val="21"/>
          <w:szCs w:val="21"/>
        </w:rPr>
        <w:t>16.3 第三人造成的违约</w:t>
      </w:r>
      <w:bookmarkEnd w:id="1248"/>
      <w:bookmarkEnd w:id="1249"/>
    </w:p>
    <w:p w14:paraId="0E61F6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在履行合同过程中，一方当事人因第三人的原因造成违约的，应当向对方当事人承担违约责任。一方当事人和第三人之间的纠纷，依照法律规定或者按照约定解决。</w:t>
      </w:r>
    </w:p>
    <w:p w14:paraId="6EC66C6C">
      <w:pPr>
        <w:pStyle w:val="6"/>
        <w:keepNext/>
        <w:keepLines/>
        <w:spacing w:beforeLines="50" w:beforeAutospacing="0" w:afterLines="50" w:afterAutospacing="0" w:line="360" w:lineRule="auto"/>
        <w:jc w:val="both"/>
        <w:rPr>
          <w:bCs w:val="0"/>
          <w:color w:val="auto"/>
          <w:kern w:val="2"/>
          <w:sz w:val="21"/>
          <w:szCs w:val="21"/>
        </w:rPr>
      </w:pPr>
      <w:bookmarkStart w:id="1250" w:name="_Toc337558823"/>
      <w:bookmarkStart w:id="1251" w:name="_Toc351203607"/>
      <w:bookmarkStart w:id="1252" w:name="_Toc296346617"/>
      <w:bookmarkStart w:id="1253" w:name="_Toc532377295"/>
      <w:bookmarkStart w:id="1254" w:name="_Toc296503116"/>
      <w:bookmarkStart w:id="1255" w:name="_Toc532375603"/>
      <w:r>
        <w:rPr>
          <w:rFonts w:hint="eastAsia"/>
          <w:color w:val="auto"/>
          <w:kern w:val="2"/>
          <w:sz w:val="21"/>
          <w:szCs w:val="21"/>
        </w:rPr>
        <w:t>17. 不可抗力</w:t>
      </w:r>
      <w:bookmarkEnd w:id="1250"/>
      <w:bookmarkEnd w:id="1251"/>
      <w:bookmarkEnd w:id="1252"/>
      <w:bookmarkEnd w:id="1253"/>
      <w:bookmarkEnd w:id="1254"/>
      <w:bookmarkEnd w:id="1255"/>
    </w:p>
    <w:p w14:paraId="04EADD54">
      <w:pPr>
        <w:pStyle w:val="7"/>
        <w:spacing w:before="0" w:beforeAutospacing="0" w:after="0" w:afterAutospacing="0" w:line="360" w:lineRule="auto"/>
        <w:ind w:firstLine="422" w:firstLineChars="200"/>
        <w:rPr>
          <w:color w:val="auto"/>
          <w:sz w:val="21"/>
          <w:szCs w:val="21"/>
        </w:rPr>
      </w:pPr>
      <w:bookmarkStart w:id="1256" w:name="_Toc351203608"/>
      <w:bookmarkStart w:id="1257" w:name="_Toc532377296"/>
      <w:bookmarkStart w:id="1258" w:name="_Toc337558824"/>
      <w:bookmarkStart w:id="1259" w:name="_Toc296503117"/>
      <w:bookmarkStart w:id="1260" w:name="_Toc296346618"/>
      <w:r>
        <w:rPr>
          <w:rFonts w:hint="eastAsia"/>
          <w:color w:val="auto"/>
          <w:sz w:val="21"/>
          <w:szCs w:val="21"/>
        </w:rPr>
        <w:t>17.1 不可抗力的确认</w:t>
      </w:r>
      <w:bookmarkEnd w:id="1256"/>
      <w:bookmarkEnd w:id="1257"/>
    </w:p>
    <w:bookmarkEnd w:id="1258"/>
    <w:bookmarkEnd w:id="1259"/>
    <w:bookmarkEnd w:id="1260"/>
    <w:p w14:paraId="16849E2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18CFE9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F8414D3">
      <w:pPr>
        <w:pStyle w:val="7"/>
        <w:spacing w:before="0" w:beforeAutospacing="0" w:after="0" w:afterAutospacing="0" w:line="360" w:lineRule="auto"/>
        <w:ind w:firstLine="422" w:firstLineChars="200"/>
        <w:rPr>
          <w:color w:val="auto"/>
          <w:sz w:val="21"/>
          <w:szCs w:val="21"/>
        </w:rPr>
      </w:pPr>
      <w:bookmarkStart w:id="1261" w:name="_Toc351203609"/>
      <w:bookmarkStart w:id="1262" w:name="_Toc532377297"/>
      <w:bookmarkStart w:id="1263" w:name="_Toc296503118"/>
      <w:bookmarkStart w:id="1264" w:name="_Toc296346619"/>
      <w:bookmarkStart w:id="1265" w:name="_Toc337558825"/>
      <w:r>
        <w:rPr>
          <w:rFonts w:hint="eastAsia"/>
          <w:color w:val="auto"/>
          <w:sz w:val="21"/>
          <w:szCs w:val="21"/>
        </w:rPr>
        <w:t>17.2 不可抗力的通知</w:t>
      </w:r>
      <w:bookmarkEnd w:id="1261"/>
      <w:bookmarkEnd w:id="1262"/>
    </w:p>
    <w:bookmarkEnd w:id="1263"/>
    <w:bookmarkEnd w:id="1264"/>
    <w:bookmarkEnd w:id="1265"/>
    <w:p w14:paraId="744219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合同一方当事人遇到不可抗力事件，使其履行合同义务受到阻碍时，应立即通知合同另一方当事人和监理人，书面说明不可抗力和受阻碍的详细情况，并提供必要的证明。</w:t>
      </w:r>
    </w:p>
    <w:p w14:paraId="34B43F3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14:paraId="4CB5F748">
      <w:pPr>
        <w:pStyle w:val="7"/>
        <w:spacing w:before="0" w:beforeAutospacing="0" w:after="0" w:afterAutospacing="0" w:line="360" w:lineRule="auto"/>
        <w:ind w:firstLine="422" w:firstLineChars="200"/>
        <w:rPr>
          <w:color w:val="auto"/>
          <w:sz w:val="21"/>
          <w:szCs w:val="21"/>
        </w:rPr>
      </w:pPr>
      <w:bookmarkStart w:id="1266" w:name="_Toc532377298"/>
      <w:r>
        <w:rPr>
          <w:rFonts w:hint="eastAsia"/>
          <w:color w:val="auto"/>
          <w:sz w:val="21"/>
          <w:szCs w:val="21"/>
        </w:rPr>
        <w:t>17.3 不可抗力后果的承担</w:t>
      </w:r>
      <w:bookmarkEnd w:id="1266"/>
    </w:p>
    <w:p w14:paraId="5199448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17.3.1 不可抗力引起的后果及造成的损失由合同当事人按照法律规定及合同约定各自承担。不可抗力发生前已完成的工程应当按照合同约定进行计量支付。</w:t>
      </w:r>
    </w:p>
    <w:p w14:paraId="788534B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17.3.2 不可抗力导致的人员伤亡、财产损失、费用增加和（或）工期延误等后果，由合同当事人按以下原则承担：</w:t>
      </w:r>
    </w:p>
    <w:p w14:paraId="7CD684D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（1）永久工程、已运至施工现场的材料和工程设备的损坏，以及因工程损坏造成的第三人人员伤亡和财产损失由发包人承担；</w:t>
      </w:r>
    </w:p>
    <w:p w14:paraId="55C308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（2）承包人施工设备的损坏由承包人承担；</w:t>
      </w:r>
    </w:p>
    <w:p w14:paraId="79461A4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（3）发包人和承包人承担各自人员伤亡和财产的损失；</w:t>
      </w:r>
    </w:p>
    <w:p w14:paraId="45159F9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0C93F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（5）因不可抗力引起或将引起工期延误，发包人要求赶工的，由此增加的赶工费用由发包人承担；</w:t>
      </w:r>
    </w:p>
    <w:p w14:paraId="0D49AA9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（6）承包人在停工期间按照发包人要求照管、清理和修复工程的费用由发包人承担。</w:t>
      </w:r>
    </w:p>
    <w:p w14:paraId="556CF2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不可抗力发生后，合同当事人均应采取措施尽量避免和减少损失的扩大，任何一方当事人没有采取有效措施导致损失扩大的，应对扩大的损失承担责任。</w:t>
      </w:r>
    </w:p>
    <w:p w14:paraId="1E69BF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因合同一方迟延履行合同义务，在迟延履行期间遭遇不可抗力的，不免除其违约责任。</w:t>
      </w:r>
    </w:p>
    <w:p w14:paraId="35BBA207">
      <w:pPr>
        <w:pStyle w:val="7"/>
        <w:spacing w:before="0" w:beforeAutospacing="0" w:after="0" w:afterAutospacing="0" w:line="360" w:lineRule="auto"/>
        <w:ind w:firstLine="422" w:firstLineChars="200"/>
        <w:rPr>
          <w:color w:val="auto"/>
          <w:sz w:val="21"/>
          <w:szCs w:val="21"/>
        </w:rPr>
      </w:pPr>
      <w:bookmarkStart w:id="1267" w:name="_Toc532377299"/>
      <w:bookmarkStart w:id="1268" w:name="_Toc351203611"/>
      <w:bookmarkStart w:id="1269" w:name="_Toc337558827"/>
      <w:r>
        <w:rPr>
          <w:rFonts w:hint="eastAsia"/>
          <w:color w:val="auto"/>
          <w:sz w:val="21"/>
          <w:szCs w:val="21"/>
        </w:rPr>
        <w:t>17.4 因不可抗力解除合同</w:t>
      </w:r>
      <w:bookmarkEnd w:id="1267"/>
      <w:bookmarkEnd w:id="1268"/>
    </w:p>
    <w:bookmarkEnd w:id="1269"/>
    <w:p w14:paraId="28C89C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22073D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（1）合同解除前承包人已完成工作的价款；</w:t>
      </w:r>
    </w:p>
    <w:p w14:paraId="64572A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（2）承包人为工程订购的并已交付给承包人，或承包人有责任接受交付的材料、工程设备和其他物品的价款；</w:t>
      </w:r>
    </w:p>
    <w:p w14:paraId="490DC36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（3）发包人要求承包人退货或解除订货合同而产生的费用，或因不能退货或解除合同而产生的损失；</w:t>
      </w:r>
    </w:p>
    <w:p w14:paraId="3C8F562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（4）承包人撤离施工现场以及遣散承包人人员的费用；</w:t>
      </w:r>
    </w:p>
    <w:p w14:paraId="631E42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（5）按照合同约定在合同解除前应支付给承包人的其他款项；</w:t>
      </w:r>
    </w:p>
    <w:p w14:paraId="7DA9B70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（6）扣减承包人按照合同约定应向发包人支付的款项；</w:t>
      </w:r>
    </w:p>
    <w:p w14:paraId="41C9F8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（7）双方商定或确定的其他款项。</w:t>
      </w:r>
    </w:p>
    <w:p w14:paraId="58D0283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除专用合同条款另有约定外，合同解除后，发包人应在商定或确定上述款项后28天内完成上述款项的支付。</w:t>
      </w:r>
    </w:p>
    <w:p w14:paraId="01484423">
      <w:pPr>
        <w:pStyle w:val="6"/>
        <w:keepNext/>
        <w:keepLines/>
        <w:spacing w:beforeLines="50" w:beforeAutospacing="0" w:afterLines="50" w:afterAutospacing="0" w:line="360" w:lineRule="auto"/>
        <w:jc w:val="both"/>
        <w:rPr>
          <w:bCs w:val="0"/>
          <w:color w:val="auto"/>
          <w:kern w:val="2"/>
          <w:sz w:val="21"/>
          <w:szCs w:val="21"/>
        </w:rPr>
      </w:pPr>
      <w:bookmarkStart w:id="1270" w:name="_Toc532377300"/>
      <w:bookmarkStart w:id="1271" w:name="_Toc532375604"/>
      <w:bookmarkStart w:id="1272" w:name="_Toc351203612"/>
      <w:bookmarkStart w:id="1273" w:name="_Toc337558828"/>
      <w:bookmarkStart w:id="1274" w:name="_Toc296503120"/>
      <w:bookmarkStart w:id="1275" w:name="_Toc296346621"/>
      <w:r>
        <w:rPr>
          <w:rFonts w:hint="eastAsia"/>
          <w:color w:val="auto"/>
          <w:kern w:val="2"/>
          <w:sz w:val="21"/>
          <w:szCs w:val="21"/>
        </w:rPr>
        <w:t>18. 保险</w:t>
      </w:r>
      <w:bookmarkEnd w:id="1270"/>
      <w:bookmarkEnd w:id="1271"/>
      <w:bookmarkEnd w:id="1272"/>
    </w:p>
    <w:bookmarkEnd w:id="1273"/>
    <w:bookmarkEnd w:id="1274"/>
    <w:bookmarkEnd w:id="1275"/>
    <w:p w14:paraId="2D762742">
      <w:pPr>
        <w:pStyle w:val="7"/>
        <w:spacing w:before="0" w:beforeAutospacing="0" w:after="0" w:afterAutospacing="0" w:line="360" w:lineRule="auto"/>
        <w:ind w:firstLine="422" w:firstLineChars="200"/>
        <w:rPr>
          <w:color w:val="auto"/>
          <w:sz w:val="21"/>
          <w:szCs w:val="21"/>
        </w:rPr>
      </w:pPr>
      <w:bookmarkStart w:id="1276" w:name="_Toc532377301"/>
      <w:bookmarkStart w:id="1277" w:name="_Toc351203613"/>
      <w:bookmarkStart w:id="1278" w:name="_Toc296346622"/>
      <w:bookmarkStart w:id="1279" w:name="_Toc337558829"/>
      <w:bookmarkStart w:id="1280" w:name="_Toc296503121"/>
      <w:r>
        <w:rPr>
          <w:rFonts w:hint="eastAsia"/>
          <w:color w:val="auto"/>
          <w:sz w:val="21"/>
          <w:szCs w:val="21"/>
        </w:rPr>
        <w:t>18.1 工程保险</w:t>
      </w:r>
      <w:bookmarkEnd w:id="1276"/>
      <w:bookmarkEnd w:id="1277"/>
    </w:p>
    <w:bookmarkEnd w:id="1278"/>
    <w:bookmarkEnd w:id="1279"/>
    <w:bookmarkEnd w:id="1280"/>
    <w:p w14:paraId="55AC8C8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除专用合同条款另有约定外，发包人应投保建筑工程一切险或安装工程一切险；发包人委托承包人投保的，因投保产生的保险费和其他相关费用由发包人承担。</w:t>
      </w:r>
    </w:p>
    <w:p w14:paraId="4FAD0B04">
      <w:pPr>
        <w:pStyle w:val="7"/>
        <w:spacing w:before="0" w:beforeAutospacing="0" w:after="0" w:afterAutospacing="0" w:line="360" w:lineRule="auto"/>
        <w:ind w:firstLine="422" w:firstLineChars="200"/>
        <w:rPr>
          <w:color w:val="auto"/>
          <w:sz w:val="21"/>
          <w:szCs w:val="21"/>
        </w:rPr>
      </w:pPr>
      <w:bookmarkStart w:id="1281" w:name="_Toc532377302"/>
      <w:bookmarkStart w:id="1282" w:name="_Toc351203614"/>
      <w:bookmarkStart w:id="1283" w:name="_Toc337558830"/>
      <w:bookmarkStart w:id="1284" w:name="_Toc296346623"/>
      <w:bookmarkStart w:id="1285" w:name="_Toc296503122"/>
      <w:r>
        <w:rPr>
          <w:rFonts w:hint="eastAsia"/>
          <w:color w:val="auto"/>
          <w:sz w:val="21"/>
          <w:szCs w:val="21"/>
        </w:rPr>
        <w:t>18.2 工伤保险</w:t>
      </w:r>
      <w:bookmarkEnd w:id="1281"/>
      <w:bookmarkEnd w:id="1282"/>
    </w:p>
    <w:bookmarkEnd w:id="1283"/>
    <w:bookmarkEnd w:id="1284"/>
    <w:bookmarkEnd w:id="1285"/>
    <w:p w14:paraId="678BDD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18.2.1 发包人应依照法律规定参加工伤保险，并为在施工现场的全部员工办理工伤保险，缴纳工伤保险费，并要求监理人及由发包人为履行合同聘请的第三方依法参加工伤保险。</w:t>
      </w:r>
    </w:p>
    <w:p w14:paraId="1273FB5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18.2.2 承包人应依照法律规定参加工伤保险，并为其履行合同的全部员工办理工伤保险，缴纳工伤保险费，并要求分包人及由承包人为履行合同聘请的第三方依法参加工伤保险。</w:t>
      </w:r>
    </w:p>
    <w:p w14:paraId="3820B639">
      <w:pPr>
        <w:pStyle w:val="7"/>
        <w:spacing w:before="0" w:beforeAutospacing="0" w:after="0" w:afterAutospacing="0" w:line="360" w:lineRule="auto"/>
        <w:ind w:firstLine="422" w:firstLineChars="200"/>
        <w:rPr>
          <w:color w:val="auto"/>
          <w:sz w:val="21"/>
          <w:szCs w:val="21"/>
        </w:rPr>
      </w:pPr>
      <w:bookmarkStart w:id="1286" w:name="_Toc351203615"/>
      <w:bookmarkStart w:id="1287" w:name="_Toc532377303"/>
      <w:bookmarkStart w:id="1288" w:name="_Toc296503125"/>
      <w:bookmarkStart w:id="1289" w:name="_Toc296346626"/>
      <w:bookmarkStart w:id="1290" w:name="_Toc337558831"/>
      <w:r>
        <w:rPr>
          <w:rFonts w:hint="eastAsia"/>
          <w:color w:val="auto"/>
          <w:sz w:val="21"/>
          <w:szCs w:val="21"/>
        </w:rPr>
        <w:t>18.3其他保险</w:t>
      </w:r>
      <w:bookmarkEnd w:id="1286"/>
      <w:bookmarkEnd w:id="1287"/>
    </w:p>
    <w:bookmarkEnd w:id="1288"/>
    <w:bookmarkEnd w:id="1289"/>
    <w:bookmarkEnd w:id="1290"/>
    <w:p w14:paraId="2CC09C1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发包人和承包人可以为其施工现场的全部人员办理意外伤害保险并支付保险费，包括其员工及为履行合同聘请的第三方的人员，具体事项由合同当事人在专用合同条款约定。</w:t>
      </w:r>
    </w:p>
    <w:p w14:paraId="692F3CF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除专用合同条款另有约定外，承包人应为其施工设备等办理财产保险。</w:t>
      </w:r>
    </w:p>
    <w:p w14:paraId="77DB8318">
      <w:pPr>
        <w:pStyle w:val="7"/>
        <w:spacing w:before="0" w:beforeAutospacing="0" w:after="0" w:afterAutospacing="0" w:line="360" w:lineRule="auto"/>
        <w:ind w:firstLine="422" w:firstLineChars="200"/>
        <w:rPr>
          <w:color w:val="auto"/>
          <w:sz w:val="21"/>
          <w:szCs w:val="21"/>
        </w:rPr>
      </w:pPr>
      <w:bookmarkStart w:id="1291" w:name="_Toc532377304"/>
      <w:bookmarkStart w:id="1292" w:name="_Toc351203616"/>
      <w:r>
        <w:rPr>
          <w:rFonts w:hint="eastAsia"/>
          <w:color w:val="auto"/>
          <w:sz w:val="21"/>
          <w:szCs w:val="21"/>
        </w:rPr>
        <w:t>18.4持续保险</w:t>
      </w:r>
      <w:bookmarkEnd w:id="1291"/>
      <w:bookmarkEnd w:id="1292"/>
    </w:p>
    <w:p w14:paraId="7267D1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合同当事人应与保险人保持联系，使保险人能够随时了解工程实施中的变动，并确保按保险合同条款要求持续保险。</w:t>
      </w:r>
    </w:p>
    <w:p w14:paraId="4810ACDC">
      <w:pPr>
        <w:pStyle w:val="7"/>
        <w:spacing w:before="0" w:beforeAutospacing="0" w:after="0" w:afterAutospacing="0" w:line="360" w:lineRule="auto"/>
        <w:ind w:firstLine="422" w:firstLineChars="200"/>
        <w:rPr>
          <w:color w:val="auto"/>
          <w:sz w:val="21"/>
          <w:szCs w:val="21"/>
        </w:rPr>
      </w:pPr>
      <w:bookmarkStart w:id="1293" w:name="_Toc532377305"/>
      <w:bookmarkStart w:id="1294" w:name="_Toc351203617"/>
      <w:bookmarkStart w:id="1295" w:name="_Toc296503126"/>
      <w:bookmarkStart w:id="1296" w:name="_Toc337558832"/>
      <w:bookmarkStart w:id="1297" w:name="_Toc296346627"/>
      <w:r>
        <w:rPr>
          <w:rFonts w:hint="eastAsia"/>
          <w:color w:val="auto"/>
          <w:sz w:val="21"/>
          <w:szCs w:val="21"/>
        </w:rPr>
        <w:t>18.5 保险凭证</w:t>
      </w:r>
      <w:bookmarkEnd w:id="1293"/>
      <w:bookmarkEnd w:id="1294"/>
    </w:p>
    <w:bookmarkEnd w:id="1295"/>
    <w:bookmarkEnd w:id="1296"/>
    <w:bookmarkEnd w:id="1297"/>
    <w:p w14:paraId="4C1DCB9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合同当事人应及时向另一方当事人提交其已投保的各项保险的凭证和保险单复印件。</w:t>
      </w:r>
    </w:p>
    <w:p w14:paraId="02DE83F9">
      <w:pPr>
        <w:pStyle w:val="7"/>
        <w:spacing w:before="0" w:beforeAutospacing="0" w:after="0" w:afterAutospacing="0" w:line="360" w:lineRule="auto"/>
        <w:ind w:firstLine="422" w:firstLineChars="200"/>
        <w:rPr>
          <w:color w:val="auto"/>
          <w:sz w:val="21"/>
          <w:szCs w:val="21"/>
        </w:rPr>
      </w:pPr>
      <w:bookmarkStart w:id="1298" w:name="_Toc351203618"/>
      <w:bookmarkStart w:id="1299" w:name="_Toc532377306"/>
      <w:bookmarkStart w:id="1300" w:name="_Toc296346628"/>
      <w:bookmarkStart w:id="1301" w:name="_Toc337558833"/>
      <w:bookmarkStart w:id="1302" w:name="_Toc296503127"/>
      <w:r>
        <w:rPr>
          <w:rFonts w:hint="eastAsia"/>
          <w:color w:val="auto"/>
          <w:sz w:val="21"/>
          <w:szCs w:val="21"/>
        </w:rPr>
        <w:t>18.6 未按约定投保的补救</w:t>
      </w:r>
      <w:bookmarkEnd w:id="1298"/>
      <w:bookmarkEnd w:id="1299"/>
    </w:p>
    <w:bookmarkEnd w:id="1300"/>
    <w:bookmarkEnd w:id="1301"/>
    <w:bookmarkEnd w:id="1302"/>
    <w:p w14:paraId="003D57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18.6.1发包人未按合同约定办理保险，或未能使保险持续有效的，则承包人可代为办理，所需费用由发包人承担。发包人未按合同约定办理保险，导致未能得到足额赔偿的，由发包人负责补足。</w:t>
      </w:r>
    </w:p>
    <w:p w14:paraId="654119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18.6.2承包人未按合同约定办理保险，或未能使保险持续有效的，则发包人可代为办理，所需费用由承包人承担。承包人未按合同约定办理保险，导致未能得到足额赔偿的，由承包人负责补足。</w:t>
      </w:r>
    </w:p>
    <w:p w14:paraId="33AED5CB">
      <w:pPr>
        <w:pStyle w:val="7"/>
        <w:spacing w:before="0" w:beforeAutospacing="0" w:after="0" w:afterAutospacing="0" w:line="360" w:lineRule="auto"/>
        <w:ind w:firstLine="422" w:firstLineChars="200"/>
        <w:rPr>
          <w:color w:val="auto"/>
          <w:sz w:val="21"/>
          <w:szCs w:val="21"/>
        </w:rPr>
      </w:pPr>
      <w:bookmarkStart w:id="1303" w:name="_Toc532377307"/>
      <w:bookmarkStart w:id="1304" w:name="_Toc351203619"/>
      <w:bookmarkStart w:id="1305" w:name="_Toc337558834"/>
      <w:r>
        <w:rPr>
          <w:rFonts w:hint="eastAsia"/>
          <w:color w:val="auto"/>
          <w:sz w:val="21"/>
          <w:szCs w:val="21"/>
        </w:rPr>
        <w:t>18.7 通知义务</w:t>
      </w:r>
      <w:bookmarkEnd w:id="1303"/>
      <w:bookmarkEnd w:id="1304"/>
    </w:p>
    <w:bookmarkEnd w:id="1305"/>
    <w:p w14:paraId="3D3006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47C3217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保险事故发生时，投保人应按照保险合同规定的条件和期限及时向保险人报告。发包人和承包人应当在知道保险事故发生后及时通知对方。</w:t>
      </w:r>
    </w:p>
    <w:p w14:paraId="48FDEB08">
      <w:pPr>
        <w:pStyle w:val="6"/>
        <w:keepNext/>
        <w:keepLines/>
        <w:spacing w:beforeLines="50" w:beforeAutospacing="0" w:afterLines="50" w:afterAutospacing="0" w:line="360" w:lineRule="auto"/>
        <w:jc w:val="both"/>
        <w:rPr>
          <w:bCs w:val="0"/>
          <w:color w:val="auto"/>
          <w:kern w:val="2"/>
          <w:sz w:val="21"/>
          <w:szCs w:val="21"/>
        </w:rPr>
      </w:pPr>
      <w:bookmarkStart w:id="1306" w:name="_Toc532375605"/>
      <w:bookmarkStart w:id="1307" w:name="_Toc532377308"/>
      <w:r>
        <w:rPr>
          <w:rFonts w:hint="eastAsia"/>
          <w:color w:val="auto"/>
          <w:kern w:val="2"/>
          <w:sz w:val="21"/>
          <w:szCs w:val="21"/>
        </w:rPr>
        <w:t>19. 索赔</w:t>
      </w:r>
      <w:bookmarkEnd w:id="1306"/>
      <w:bookmarkEnd w:id="1307"/>
    </w:p>
    <w:p w14:paraId="11962A26">
      <w:pPr>
        <w:pStyle w:val="7"/>
        <w:spacing w:before="0" w:beforeAutospacing="0" w:after="0" w:afterAutospacing="0" w:line="360" w:lineRule="auto"/>
        <w:ind w:firstLine="422" w:firstLineChars="200"/>
        <w:rPr>
          <w:color w:val="auto"/>
          <w:sz w:val="21"/>
          <w:szCs w:val="21"/>
        </w:rPr>
      </w:pPr>
      <w:bookmarkStart w:id="1308" w:name="_Toc532377309"/>
      <w:r>
        <w:rPr>
          <w:rFonts w:hint="eastAsia"/>
          <w:color w:val="auto"/>
          <w:sz w:val="21"/>
          <w:szCs w:val="21"/>
        </w:rPr>
        <w:t>19.1承包人的索赔</w:t>
      </w:r>
      <w:bookmarkEnd w:id="1308"/>
    </w:p>
    <w:p w14:paraId="52506A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根据合同约定，承包人认为有权得到追加付款和（或）延长工期的，应按以下程序向发包人提出索赔：</w:t>
      </w:r>
    </w:p>
    <w:p w14:paraId="41E6E4C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CD871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（2）承包人应在发出索赔意向通知书后28天内，向监理人正式递交索赔报告；索赔报告应详细说明索赔理由以及要求追加的付款金额和（或）延长的工期，并附必要的记录和证明材料；</w:t>
      </w:r>
    </w:p>
    <w:p w14:paraId="6BA8E3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（3）索赔事件具有持续影响的，承包人应按合理时间间隔继续递交延续索赔通知，说明持续影响的实际情况和记录，列出累计的追加付款金额和（或）工期延长天数；</w:t>
      </w:r>
    </w:p>
    <w:p w14:paraId="6B3756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（4）在索赔事件影响结束后28天内，承包人应向监理人递交最终索赔报告，说明最终要求索赔的追加付款金额和（或）延长的工期，并附必要的记录和证明材料。</w:t>
      </w:r>
    </w:p>
    <w:p w14:paraId="242CC202">
      <w:pPr>
        <w:pStyle w:val="7"/>
        <w:spacing w:before="0" w:beforeAutospacing="0" w:after="0" w:afterAutospacing="0" w:line="360" w:lineRule="auto"/>
        <w:ind w:firstLine="422" w:firstLineChars="200"/>
        <w:rPr>
          <w:color w:val="auto"/>
          <w:sz w:val="21"/>
          <w:szCs w:val="21"/>
        </w:rPr>
      </w:pPr>
      <w:bookmarkStart w:id="1309" w:name="_Toc351203622"/>
      <w:bookmarkStart w:id="1310" w:name="_Toc532377310"/>
      <w:bookmarkStart w:id="1311" w:name="_Toc337558837"/>
      <w:bookmarkStart w:id="1312" w:name="_Toc296346643"/>
      <w:bookmarkStart w:id="1313" w:name="_Toc296503142"/>
      <w:r>
        <w:rPr>
          <w:rFonts w:hint="eastAsia"/>
          <w:color w:val="auto"/>
          <w:sz w:val="21"/>
          <w:szCs w:val="21"/>
        </w:rPr>
        <w:t>19.2 对承包人索赔的处理</w:t>
      </w:r>
      <w:bookmarkEnd w:id="1309"/>
      <w:bookmarkEnd w:id="1310"/>
    </w:p>
    <w:bookmarkEnd w:id="1311"/>
    <w:bookmarkEnd w:id="1312"/>
    <w:bookmarkEnd w:id="1313"/>
    <w:p w14:paraId="17BE5BF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对承包人索赔的处理如下：</w:t>
      </w:r>
    </w:p>
    <w:p w14:paraId="36B84D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（1）监理人应在收到索赔报告后14天内完成审查并报送发包人。监理人对索赔报告存在异议的，有权要求承包人提交全部原始记录副本；</w:t>
      </w:r>
    </w:p>
    <w:p w14:paraId="15E071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（2）发包人应在监理人收到索赔报告或有关索赔的进一步证明材料后的28天内，由监理人向承包人出具经发包人签认的索赔处理结果。发包人逾期答复的，则视为认可承包人的索赔要求；</w:t>
      </w:r>
    </w:p>
    <w:p w14:paraId="1D4493D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（3）承包人接受索赔处理结果的，索赔款项在当期进度款中进行支付；承包人不接受索赔处理结果的，按照第20条〔争议解决〕约定处理。</w:t>
      </w:r>
    </w:p>
    <w:p w14:paraId="592C4DE7">
      <w:pPr>
        <w:pStyle w:val="7"/>
        <w:spacing w:before="0" w:beforeAutospacing="0" w:after="0" w:afterAutospacing="0" w:line="360" w:lineRule="auto"/>
        <w:ind w:firstLine="422" w:firstLineChars="200"/>
        <w:rPr>
          <w:color w:val="auto"/>
          <w:sz w:val="21"/>
          <w:szCs w:val="21"/>
        </w:rPr>
      </w:pPr>
      <w:bookmarkStart w:id="1314" w:name="_Toc351203623"/>
      <w:bookmarkStart w:id="1315" w:name="_Toc532377311"/>
      <w:bookmarkStart w:id="1316" w:name="_Toc337558838"/>
      <w:bookmarkStart w:id="1317" w:name="_Toc296503143"/>
      <w:bookmarkStart w:id="1318" w:name="_Toc296346644"/>
      <w:r>
        <w:rPr>
          <w:rFonts w:hint="eastAsia"/>
          <w:color w:val="auto"/>
          <w:sz w:val="21"/>
          <w:szCs w:val="21"/>
        </w:rPr>
        <w:t>19.3发包人的索赔</w:t>
      </w:r>
      <w:bookmarkEnd w:id="1314"/>
      <w:bookmarkEnd w:id="1315"/>
    </w:p>
    <w:bookmarkEnd w:id="1316"/>
    <w:bookmarkEnd w:id="1317"/>
    <w:bookmarkEnd w:id="1318"/>
    <w:p w14:paraId="0099F14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根据合同约定，发包人认为有权得到赔付金额和（或）延长缺陷责任期的，监理人应向承包人发出通知并附有详细的证明。</w:t>
      </w:r>
    </w:p>
    <w:p w14:paraId="76C0B73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66620B8">
      <w:pPr>
        <w:pStyle w:val="7"/>
        <w:spacing w:before="0" w:beforeAutospacing="0" w:after="0" w:afterAutospacing="0" w:line="360" w:lineRule="auto"/>
        <w:ind w:firstLine="422" w:firstLineChars="200"/>
        <w:rPr>
          <w:color w:val="auto"/>
          <w:sz w:val="21"/>
          <w:szCs w:val="21"/>
        </w:rPr>
      </w:pPr>
      <w:bookmarkStart w:id="1319" w:name="_Toc532377312"/>
      <w:bookmarkStart w:id="1320" w:name="_Toc351203624"/>
      <w:bookmarkStart w:id="1321" w:name="_Toc296503144"/>
      <w:bookmarkStart w:id="1322" w:name="_Toc296346645"/>
      <w:bookmarkStart w:id="1323" w:name="_Toc337558839"/>
      <w:r>
        <w:rPr>
          <w:rFonts w:hint="eastAsia"/>
          <w:color w:val="auto"/>
          <w:sz w:val="21"/>
          <w:szCs w:val="21"/>
        </w:rPr>
        <w:t>19.4 对发包人索赔的处理</w:t>
      </w:r>
      <w:bookmarkEnd w:id="1319"/>
      <w:bookmarkEnd w:id="1320"/>
    </w:p>
    <w:bookmarkEnd w:id="1321"/>
    <w:bookmarkEnd w:id="1322"/>
    <w:bookmarkEnd w:id="1323"/>
    <w:p w14:paraId="0E0C516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对发包人索赔的处理如下：</w:t>
      </w:r>
    </w:p>
    <w:p w14:paraId="1BBFD9D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（1）承包人收到发包人提交的索赔报告后，应及时审查索赔报告的内容、查验发包人证明材料；</w:t>
      </w:r>
    </w:p>
    <w:p w14:paraId="0ED797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（2）承包人应在收到索赔报告或有关索赔的进一步证明材料后28天内，将索赔处理结果答复发包人。如果承包人未在上述期限内作出答复的，则视为对发包人索赔要求的认可；</w:t>
      </w:r>
    </w:p>
    <w:p w14:paraId="3E932F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（3）承包人接受索赔处理结果的，发包人可从应支付给承包人的合同价款中扣除赔付的金额或延长缺陷责任期；发包人不接受索赔处理结果的，按第20条〔争议解决〕约定处理。</w:t>
      </w:r>
    </w:p>
    <w:p w14:paraId="199502DD">
      <w:pPr>
        <w:pStyle w:val="7"/>
        <w:spacing w:before="0" w:beforeAutospacing="0" w:after="0" w:afterAutospacing="0" w:line="360" w:lineRule="auto"/>
        <w:ind w:firstLine="420" w:firstLineChars="200"/>
        <w:rPr>
          <w:b w:val="0"/>
          <w:color w:val="auto"/>
          <w:sz w:val="21"/>
          <w:szCs w:val="21"/>
        </w:rPr>
      </w:pPr>
      <w:bookmarkStart w:id="1324" w:name="_Toc351203625"/>
      <w:bookmarkStart w:id="1325" w:name="_Toc532377313"/>
      <w:r>
        <w:rPr>
          <w:rFonts w:hint="eastAsia"/>
          <w:b w:val="0"/>
          <w:color w:val="auto"/>
          <w:sz w:val="21"/>
          <w:szCs w:val="21"/>
        </w:rPr>
        <w:t>19.5 提出索赔的期限</w:t>
      </w:r>
      <w:bookmarkEnd w:id="1324"/>
      <w:bookmarkEnd w:id="1325"/>
    </w:p>
    <w:p w14:paraId="246450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（1）承包人按第14.2款〔竣工结算审核〕约定接收竣工付款证书后，应被视为已无权再提出在工程接收证书颁发前所发生的任何索赔。</w:t>
      </w:r>
    </w:p>
    <w:p w14:paraId="59E5EE7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（2）承包人按第14.4款〔最终结清〕提交的最终结清申请单中，只限于提出工程接收证书颁发后发生的索赔。提出索赔的期限自接受最终结清证书时终止。</w:t>
      </w:r>
    </w:p>
    <w:p w14:paraId="3444CF1F">
      <w:pPr>
        <w:pStyle w:val="6"/>
        <w:keepNext/>
        <w:keepLines/>
        <w:spacing w:beforeLines="50" w:beforeAutospacing="0" w:afterLines="50" w:afterAutospacing="0" w:line="360" w:lineRule="auto"/>
        <w:jc w:val="both"/>
        <w:rPr>
          <w:bCs w:val="0"/>
          <w:color w:val="auto"/>
          <w:kern w:val="2"/>
          <w:sz w:val="21"/>
          <w:szCs w:val="21"/>
        </w:rPr>
      </w:pPr>
      <w:bookmarkStart w:id="1326" w:name="_Toc532377314"/>
      <w:bookmarkStart w:id="1327" w:name="_Toc351203626"/>
      <w:bookmarkStart w:id="1328" w:name="_Toc532375606"/>
      <w:r>
        <w:rPr>
          <w:rFonts w:hint="eastAsia"/>
          <w:color w:val="auto"/>
          <w:kern w:val="2"/>
          <w:sz w:val="21"/>
          <w:szCs w:val="21"/>
        </w:rPr>
        <w:t>20</w:t>
      </w:r>
      <w:bookmarkStart w:id="1329" w:name="_Toc337558840"/>
      <w:bookmarkStart w:id="1330" w:name="_Toc296346647"/>
      <w:bookmarkStart w:id="1331" w:name="_Toc296503146"/>
      <w:r>
        <w:rPr>
          <w:rFonts w:hint="eastAsia"/>
          <w:color w:val="auto"/>
          <w:kern w:val="2"/>
          <w:sz w:val="21"/>
          <w:szCs w:val="21"/>
        </w:rPr>
        <w:t>. 争议解决</w:t>
      </w:r>
      <w:bookmarkEnd w:id="1326"/>
      <w:bookmarkEnd w:id="1327"/>
      <w:bookmarkEnd w:id="1328"/>
    </w:p>
    <w:bookmarkEnd w:id="1329"/>
    <w:bookmarkEnd w:id="1330"/>
    <w:bookmarkEnd w:id="1331"/>
    <w:p w14:paraId="3BC00BF9">
      <w:pPr>
        <w:pStyle w:val="7"/>
        <w:spacing w:before="0" w:beforeAutospacing="0" w:after="0" w:afterAutospacing="0" w:line="360" w:lineRule="auto"/>
        <w:ind w:firstLine="422" w:firstLineChars="200"/>
        <w:rPr>
          <w:color w:val="auto"/>
          <w:sz w:val="21"/>
          <w:szCs w:val="21"/>
        </w:rPr>
      </w:pPr>
      <w:bookmarkStart w:id="1332" w:name="_Toc351203627"/>
      <w:bookmarkStart w:id="1333" w:name="_Toc532377315"/>
      <w:bookmarkStart w:id="1334" w:name="_Toc296503147"/>
      <w:bookmarkStart w:id="1335" w:name="_Toc296346648"/>
      <w:bookmarkStart w:id="1336" w:name="_Toc337558841"/>
      <w:r>
        <w:rPr>
          <w:rFonts w:hint="eastAsia"/>
          <w:color w:val="auto"/>
          <w:sz w:val="21"/>
          <w:szCs w:val="21"/>
        </w:rPr>
        <w:t>20.1和解</w:t>
      </w:r>
      <w:bookmarkEnd w:id="1332"/>
      <w:bookmarkEnd w:id="1333"/>
    </w:p>
    <w:bookmarkEnd w:id="1334"/>
    <w:bookmarkEnd w:id="1335"/>
    <w:bookmarkEnd w:id="1336"/>
    <w:p w14:paraId="7F7AD7A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合同当事人可以就争议自行和解，自行和解达成协议的经双方签字并盖章后作为合同补充文件，双方均应遵照执行。</w:t>
      </w:r>
    </w:p>
    <w:p w14:paraId="72B1F9D7">
      <w:pPr>
        <w:pStyle w:val="7"/>
        <w:spacing w:before="0" w:beforeAutospacing="0" w:after="0" w:afterAutospacing="0" w:line="360" w:lineRule="auto"/>
        <w:ind w:firstLine="422" w:firstLineChars="200"/>
        <w:rPr>
          <w:color w:val="auto"/>
          <w:sz w:val="21"/>
          <w:szCs w:val="21"/>
        </w:rPr>
      </w:pPr>
      <w:bookmarkStart w:id="1337" w:name="_Toc532377316"/>
      <w:bookmarkStart w:id="1338" w:name="_Toc351203628"/>
      <w:r>
        <w:rPr>
          <w:rFonts w:hint="eastAsia"/>
          <w:color w:val="auto"/>
          <w:sz w:val="21"/>
          <w:szCs w:val="21"/>
        </w:rPr>
        <w:t>20</w:t>
      </w:r>
      <w:bookmarkStart w:id="1339" w:name="_Toc296503148"/>
      <w:bookmarkStart w:id="1340" w:name="_Toc296346649"/>
      <w:bookmarkStart w:id="1341" w:name="_Toc337558842"/>
      <w:r>
        <w:rPr>
          <w:rFonts w:hint="eastAsia"/>
          <w:color w:val="auto"/>
          <w:sz w:val="21"/>
          <w:szCs w:val="21"/>
        </w:rPr>
        <w:t>.2调解</w:t>
      </w:r>
      <w:bookmarkEnd w:id="1337"/>
      <w:bookmarkEnd w:id="1338"/>
    </w:p>
    <w:bookmarkEnd w:id="1339"/>
    <w:bookmarkEnd w:id="1340"/>
    <w:bookmarkEnd w:id="1341"/>
    <w:p w14:paraId="1EF996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合同当事人可以就争议请求建设行政主管部门、行业协会或其他第三方进行调解，调解达成协议的，经双方签字并盖章后作为合同补充文件，双方均应遵照执行。</w:t>
      </w:r>
    </w:p>
    <w:p w14:paraId="7D8C410E">
      <w:pPr>
        <w:pStyle w:val="7"/>
        <w:spacing w:before="0" w:beforeAutospacing="0" w:after="0" w:afterAutospacing="0" w:line="360" w:lineRule="auto"/>
        <w:ind w:firstLine="422" w:firstLineChars="200"/>
        <w:rPr>
          <w:color w:val="auto"/>
          <w:sz w:val="21"/>
          <w:szCs w:val="21"/>
        </w:rPr>
      </w:pPr>
      <w:bookmarkStart w:id="1342" w:name="_Toc351203629"/>
      <w:bookmarkStart w:id="1343" w:name="_Toc532377317"/>
      <w:bookmarkStart w:id="1344" w:name="_Toc296346650"/>
      <w:bookmarkStart w:id="1345" w:name="_Toc296503149"/>
      <w:bookmarkStart w:id="1346" w:name="_Toc337558843"/>
      <w:r>
        <w:rPr>
          <w:rFonts w:hint="eastAsia"/>
          <w:color w:val="auto"/>
          <w:sz w:val="21"/>
          <w:szCs w:val="21"/>
        </w:rPr>
        <w:t>20.3争议评审</w:t>
      </w:r>
      <w:bookmarkEnd w:id="1342"/>
      <w:bookmarkEnd w:id="1343"/>
    </w:p>
    <w:bookmarkEnd w:id="1344"/>
    <w:bookmarkEnd w:id="1345"/>
    <w:bookmarkEnd w:id="1346"/>
    <w:p w14:paraId="0A0CA8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合同当事人在专用合同条款中约定采取争议评审方式解决争议以及评审规则，并按下列约定执行： </w:t>
      </w:r>
    </w:p>
    <w:p w14:paraId="338D64B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20.3.1 争议评审小组的确定</w:t>
      </w:r>
    </w:p>
    <w:p w14:paraId="72EEB0A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合同当事人可以共同选择一名或三名争议评审员，组成争议评审小组。除专用合同条款另有约定外，合同当事人应当自合同签订后28天内，或者争议发生后14天内，选定争议评审员。</w:t>
      </w:r>
    </w:p>
    <w:p w14:paraId="47954B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3188D7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除专用合同条款另有约定外，评审员报酬由发包人和承包人各承担一半。</w:t>
      </w:r>
    </w:p>
    <w:p w14:paraId="04897A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20.3.2 争议评审小组的决定</w:t>
      </w:r>
    </w:p>
    <w:p w14:paraId="5ECE07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57AAE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20.3.3 争议评审小组决定的效力</w:t>
      </w:r>
    </w:p>
    <w:p w14:paraId="7250DE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争议评审小组作出的书面决定经合同当事人签字确认后，对双方具有约束力，双方应遵照执行。</w:t>
      </w:r>
    </w:p>
    <w:p w14:paraId="232EC8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任何一方当事人不接受争议评审小组决定或不履行争议评审小组决定的，双方可选择采用其他争议解决方式。</w:t>
      </w:r>
    </w:p>
    <w:p w14:paraId="5E11812C">
      <w:pPr>
        <w:pStyle w:val="7"/>
        <w:spacing w:before="0" w:beforeAutospacing="0" w:after="0" w:afterAutospacing="0" w:line="360" w:lineRule="auto"/>
        <w:ind w:firstLine="422" w:firstLineChars="200"/>
        <w:rPr>
          <w:color w:val="auto"/>
          <w:sz w:val="21"/>
          <w:szCs w:val="21"/>
        </w:rPr>
      </w:pPr>
      <w:bookmarkStart w:id="1347" w:name="_Toc532377318"/>
      <w:bookmarkStart w:id="1348" w:name="_Toc351203630"/>
      <w:bookmarkStart w:id="1349" w:name="_Toc296503150"/>
      <w:bookmarkStart w:id="1350" w:name="_Toc296346651"/>
      <w:bookmarkStart w:id="1351" w:name="_Toc337558844"/>
      <w:r>
        <w:rPr>
          <w:rFonts w:hint="eastAsia"/>
          <w:color w:val="auto"/>
          <w:sz w:val="21"/>
          <w:szCs w:val="21"/>
        </w:rPr>
        <w:t>20.4仲裁或诉讼</w:t>
      </w:r>
      <w:bookmarkEnd w:id="1347"/>
      <w:bookmarkEnd w:id="1348"/>
    </w:p>
    <w:bookmarkEnd w:id="1349"/>
    <w:bookmarkEnd w:id="1350"/>
    <w:bookmarkEnd w:id="1351"/>
    <w:p w14:paraId="5114125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因合同及合同有关事项产生的争议，合同当事人可以在专用合同条款中约定以下一种方式解决争议：</w:t>
      </w:r>
    </w:p>
    <w:p w14:paraId="61E940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（1）向约定的仲裁委员会申请仲裁；</w:t>
      </w:r>
    </w:p>
    <w:p w14:paraId="0595CD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（2）向有管辖权的人民法院起诉。</w:t>
      </w:r>
    </w:p>
    <w:p w14:paraId="01E4E4E2">
      <w:pPr>
        <w:pStyle w:val="7"/>
        <w:spacing w:before="0" w:beforeAutospacing="0" w:after="0" w:afterAutospacing="0" w:line="360" w:lineRule="auto"/>
        <w:ind w:firstLine="420" w:firstLineChars="200"/>
        <w:rPr>
          <w:b w:val="0"/>
          <w:color w:val="auto"/>
          <w:sz w:val="21"/>
          <w:szCs w:val="21"/>
        </w:rPr>
      </w:pPr>
      <w:bookmarkStart w:id="1352" w:name="_Toc532377319"/>
      <w:bookmarkStart w:id="1353" w:name="_Toc351203631"/>
      <w:bookmarkStart w:id="1354" w:name="_Toc337558845"/>
      <w:bookmarkStart w:id="1355" w:name="_Toc296346653"/>
      <w:bookmarkStart w:id="1356" w:name="_Toc296503152"/>
      <w:r>
        <w:rPr>
          <w:rFonts w:hint="eastAsia"/>
          <w:b w:val="0"/>
          <w:color w:val="auto"/>
          <w:sz w:val="21"/>
          <w:szCs w:val="21"/>
        </w:rPr>
        <w:t>20.5争议解决条款效力</w:t>
      </w:r>
      <w:bookmarkEnd w:id="1352"/>
      <w:bookmarkEnd w:id="1353"/>
    </w:p>
    <w:bookmarkEnd w:id="1354"/>
    <w:bookmarkEnd w:id="1355"/>
    <w:bookmarkEnd w:id="1356"/>
    <w:p w14:paraId="3F5B9A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合同有关争议解决的条款独立存在，合同的变更、解除、终止、无效或者被撤销均不影响其效力。</w:t>
      </w:r>
    </w:p>
    <w:p w14:paraId="5EB45B1F">
      <w:pPr>
        <w:keepNext/>
        <w:keepLines/>
        <w:snapToGrid w:val="0"/>
        <w:spacing w:before="260" w:after="260" w:line="360" w:lineRule="auto"/>
        <w:outlineLvl w:val="2"/>
        <w:rPr>
          <w:rFonts w:ascii="宋体" w:hAnsi="宋体"/>
          <w:b/>
          <w:bCs/>
          <w:color w:val="auto"/>
          <w:szCs w:val="21"/>
          <w:lang w:val="zh-CN"/>
        </w:rPr>
      </w:pPr>
      <w:r>
        <w:rPr>
          <w:rFonts w:hint="eastAsia" w:ascii="宋体" w:hAnsi="宋体"/>
          <w:b/>
          <w:bCs/>
          <w:color w:val="auto"/>
          <w:szCs w:val="21"/>
          <w:lang w:val="zh-CN"/>
        </w:rPr>
        <w:br w:type="page"/>
      </w:r>
    </w:p>
    <w:p w14:paraId="3880852C">
      <w:pPr>
        <w:pStyle w:val="5"/>
        <w:jc w:val="center"/>
        <w:rPr>
          <w:rFonts w:ascii="宋体" w:hAnsi="宋体"/>
          <w:color w:val="auto"/>
          <w:sz w:val="44"/>
          <w:szCs w:val="44"/>
        </w:rPr>
      </w:pPr>
      <w:bookmarkStart w:id="1357" w:name="_Toc26921"/>
      <w:bookmarkStart w:id="1358" w:name="_Toc529388290"/>
      <w:bookmarkStart w:id="1359" w:name="_Toc532375607"/>
      <w:bookmarkStart w:id="1360" w:name="_Toc532377320"/>
      <w:r>
        <w:rPr>
          <w:rFonts w:hint="eastAsia" w:ascii="宋体" w:hAnsi="宋体"/>
          <w:color w:val="auto"/>
          <w:sz w:val="44"/>
          <w:szCs w:val="44"/>
        </w:rPr>
        <w:t>第三部分 专用合同条款</w:t>
      </w:r>
      <w:bookmarkEnd w:id="1357"/>
      <w:bookmarkEnd w:id="1358"/>
      <w:bookmarkEnd w:id="1359"/>
      <w:bookmarkEnd w:id="1360"/>
    </w:p>
    <w:p w14:paraId="42D2416E">
      <w:pPr>
        <w:pStyle w:val="6"/>
        <w:keepNext/>
        <w:keepLines/>
        <w:spacing w:beforeLines="50" w:beforeAutospacing="0" w:afterLines="50" w:afterAutospacing="0" w:line="360" w:lineRule="auto"/>
        <w:jc w:val="both"/>
        <w:rPr>
          <w:bCs w:val="0"/>
          <w:color w:val="auto"/>
          <w:kern w:val="2"/>
          <w:sz w:val="21"/>
          <w:szCs w:val="21"/>
        </w:rPr>
      </w:pPr>
      <w:bookmarkStart w:id="1361" w:name="_Toc351203633"/>
      <w:bookmarkStart w:id="1362" w:name="_Toc532377321"/>
      <w:bookmarkStart w:id="1363" w:name="_Toc532375608"/>
      <w:bookmarkStart w:id="1364" w:name="_Hlk528927191"/>
      <w:r>
        <w:rPr>
          <w:rFonts w:hint="eastAsia"/>
          <w:color w:val="auto"/>
          <w:kern w:val="2"/>
          <w:sz w:val="21"/>
          <w:szCs w:val="21"/>
        </w:rPr>
        <w:t>1</w:t>
      </w:r>
      <w:bookmarkStart w:id="1365" w:name="_Toc297120456"/>
      <w:bookmarkStart w:id="1366" w:name="_Toc296944495"/>
      <w:bookmarkStart w:id="1367" w:name="_Toc296891196"/>
      <w:bookmarkStart w:id="1368" w:name="_Toc297048342"/>
      <w:bookmarkStart w:id="1369" w:name="_Toc296503156"/>
      <w:bookmarkStart w:id="1370" w:name="_Toc292559361"/>
      <w:bookmarkStart w:id="1371" w:name="_Toc296346657"/>
      <w:bookmarkStart w:id="1372" w:name="_Toc296347155"/>
      <w:bookmarkStart w:id="1373" w:name="_Toc296890984"/>
      <w:bookmarkStart w:id="1374" w:name="_Toc292559866"/>
      <w:r>
        <w:rPr>
          <w:rFonts w:hint="eastAsia"/>
          <w:color w:val="auto"/>
          <w:kern w:val="2"/>
          <w:sz w:val="21"/>
          <w:szCs w:val="21"/>
        </w:rPr>
        <w:t>. 一般约定</w:t>
      </w:r>
      <w:bookmarkEnd w:id="1361"/>
      <w:bookmarkEnd w:id="1362"/>
      <w:bookmarkEnd w:id="1363"/>
    </w:p>
    <w:bookmarkEnd w:id="1365"/>
    <w:bookmarkEnd w:id="1366"/>
    <w:bookmarkEnd w:id="1367"/>
    <w:bookmarkEnd w:id="1368"/>
    <w:bookmarkEnd w:id="1369"/>
    <w:bookmarkEnd w:id="1370"/>
    <w:bookmarkEnd w:id="1371"/>
    <w:bookmarkEnd w:id="1372"/>
    <w:bookmarkEnd w:id="1373"/>
    <w:bookmarkEnd w:id="1374"/>
    <w:p w14:paraId="2425D731">
      <w:pPr>
        <w:pStyle w:val="7"/>
        <w:spacing w:before="0" w:beforeAutospacing="0" w:after="0" w:afterAutospacing="0" w:line="360" w:lineRule="auto"/>
        <w:ind w:firstLine="422" w:firstLineChars="200"/>
        <w:rPr>
          <w:color w:val="auto"/>
          <w:sz w:val="21"/>
          <w:szCs w:val="21"/>
        </w:rPr>
      </w:pPr>
      <w:bookmarkStart w:id="1375" w:name="_Toc532377322"/>
      <w:r>
        <w:rPr>
          <w:rFonts w:hint="eastAsia"/>
          <w:color w:val="auto"/>
          <w:sz w:val="21"/>
          <w:szCs w:val="21"/>
        </w:rPr>
        <w:t>1.1词语定义与解释</w:t>
      </w:r>
      <w:bookmarkEnd w:id="1375"/>
    </w:p>
    <w:p w14:paraId="48FB63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 合同</w:t>
      </w:r>
    </w:p>
    <w:p w14:paraId="7469F02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1.1.1.6技术标准和要求：</w:t>
      </w:r>
      <w:r>
        <w:rPr>
          <w:rFonts w:hint="eastAsia" w:ascii="宋体" w:hAnsi="宋体"/>
          <w:color w:val="auto"/>
          <w:kern w:val="0"/>
          <w:szCs w:val="21"/>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color w:val="auto"/>
          <w:kern w:val="0"/>
          <w:szCs w:val="21"/>
        </w:rPr>
        <w:t>。</w:t>
      </w:r>
    </w:p>
    <w:p w14:paraId="4BFA52F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1.1.1.8 已标价工程量清单：</w:t>
      </w:r>
      <w:r>
        <w:rPr>
          <w:rFonts w:hint="eastAsia" w:ascii="宋体" w:hAnsi="宋体"/>
          <w:color w:val="auto"/>
          <w:kern w:val="0"/>
          <w:szCs w:val="21"/>
          <w:u w:val="single"/>
        </w:rPr>
        <w:t>指构成合同的由承包人按照发包人规定的格式和要求填写并标明价格、经算术性错误修订及其他错误修订（如有）且承包人已确认的工程量清单</w:t>
      </w:r>
      <w:r>
        <w:rPr>
          <w:rFonts w:hint="eastAsia" w:ascii="宋体" w:hAnsi="宋体"/>
          <w:color w:val="auto"/>
          <w:kern w:val="0"/>
          <w:szCs w:val="21"/>
        </w:rPr>
        <w:t>。</w:t>
      </w:r>
    </w:p>
    <w:p w14:paraId="262A572D">
      <w:pPr>
        <w:spacing w:line="360" w:lineRule="auto"/>
        <w:ind w:firstLine="420" w:firstLineChars="200"/>
        <w:jc w:val="left"/>
        <w:rPr>
          <w:rFonts w:ascii="宋体" w:hAnsi="宋体"/>
          <w:color w:val="auto"/>
          <w:szCs w:val="21"/>
        </w:rPr>
      </w:pPr>
      <w:r>
        <w:rPr>
          <w:rFonts w:hint="eastAsia" w:ascii="宋体" w:hAnsi="宋体"/>
          <w:color w:val="auto"/>
          <w:kern w:val="0"/>
          <w:szCs w:val="21"/>
        </w:rPr>
        <w:t>1.1.1.10 其他合同文件包括：</w:t>
      </w:r>
      <w:r>
        <w:rPr>
          <w:rFonts w:hint="eastAsia" w:ascii="宋体" w:hAnsi="宋体"/>
          <w:color w:val="auto"/>
          <w:szCs w:val="21"/>
          <w:u w:val="single"/>
        </w:rPr>
        <w:t>按照合同协议书</w:t>
      </w:r>
      <w:r>
        <w:rPr>
          <w:rFonts w:hint="eastAsia" w:ascii="宋体" w:hAnsi="宋体"/>
          <w:bCs/>
          <w:color w:val="auto"/>
          <w:szCs w:val="21"/>
          <w:u w:val="single"/>
        </w:rPr>
        <w:t>〔</w:t>
      </w:r>
      <w:r>
        <w:rPr>
          <w:rFonts w:hint="eastAsia" w:ascii="宋体" w:hAnsi="宋体"/>
          <w:color w:val="auto"/>
          <w:szCs w:val="21"/>
          <w:u w:val="single"/>
        </w:rPr>
        <w:t>第六条</w:t>
      </w:r>
      <w:r>
        <w:rPr>
          <w:rFonts w:hint="eastAsia" w:ascii="宋体" w:hAnsi="宋体"/>
          <w:bCs/>
          <w:color w:val="auto"/>
          <w:szCs w:val="21"/>
          <w:u w:val="single"/>
        </w:rPr>
        <w:t>〕</w:t>
      </w:r>
      <w:r>
        <w:rPr>
          <w:rFonts w:hint="eastAsia" w:ascii="宋体" w:hAnsi="宋体"/>
          <w:color w:val="auto"/>
          <w:szCs w:val="21"/>
          <w:u w:val="single"/>
        </w:rPr>
        <w:t>约定执行</w:t>
      </w:r>
      <w:r>
        <w:rPr>
          <w:rFonts w:hint="eastAsia" w:ascii="宋体" w:hAnsi="宋体"/>
          <w:color w:val="auto"/>
          <w:szCs w:val="21"/>
        </w:rPr>
        <w:t>。</w:t>
      </w:r>
    </w:p>
    <w:p w14:paraId="6E0E3B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本项补充1.1.1.11～1.1.1.16目：</w:t>
      </w:r>
    </w:p>
    <w:p w14:paraId="591ECF7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1.1.1.11 采购文件：</w:t>
      </w:r>
      <w:r>
        <w:rPr>
          <w:rFonts w:hint="eastAsia" w:ascii="宋体" w:hAnsi="宋体"/>
          <w:color w:val="auto"/>
          <w:kern w:val="0"/>
          <w:szCs w:val="21"/>
          <w:u w:val="single"/>
        </w:rPr>
        <w:t>指本工程的采购文件、图纸、其他技术资料及采购人发出的对采购文件所作的澄清、修改等资料</w:t>
      </w:r>
      <w:r>
        <w:rPr>
          <w:rFonts w:hint="eastAsia" w:ascii="宋体" w:hAnsi="宋体"/>
          <w:color w:val="auto"/>
          <w:kern w:val="0"/>
          <w:szCs w:val="21"/>
        </w:rPr>
        <w:t>。</w:t>
      </w:r>
    </w:p>
    <w:p w14:paraId="293B33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1.1.1.12 工作：</w:t>
      </w:r>
      <w:r>
        <w:rPr>
          <w:rFonts w:hint="eastAsia" w:ascii="宋体" w:hAnsi="宋体"/>
          <w:color w:val="auto"/>
          <w:kern w:val="0"/>
          <w:szCs w:val="21"/>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rPr>
        <w:t>。</w:t>
      </w:r>
    </w:p>
    <w:p w14:paraId="69BACD23">
      <w:pPr>
        <w:spacing w:line="360" w:lineRule="auto"/>
        <w:ind w:firstLine="420" w:firstLineChars="200"/>
        <w:jc w:val="left"/>
        <w:rPr>
          <w:rFonts w:ascii="宋体" w:hAnsi="宋体"/>
          <w:color w:val="auto"/>
          <w:szCs w:val="21"/>
        </w:rPr>
      </w:pPr>
      <w:r>
        <w:rPr>
          <w:rFonts w:hint="eastAsia" w:ascii="宋体" w:hAnsi="宋体"/>
          <w:color w:val="auto"/>
          <w:szCs w:val="21"/>
        </w:rPr>
        <w:t>1.1.1.13 重大设计变更：按照规定需要重新报建设行政主管部门批准的设计变更。</w:t>
      </w:r>
    </w:p>
    <w:p w14:paraId="66D0F95F">
      <w:pPr>
        <w:spacing w:line="360" w:lineRule="auto"/>
        <w:ind w:firstLine="420" w:firstLineChars="200"/>
        <w:jc w:val="left"/>
        <w:rPr>
          <w:rFonts w:ascii="宋体" w:hAnsi="宋体"/>
          <w:color w:val="auto"/>
          <w:szCs w:val="21"/>
        </w:rPr>
      </w:pPr>
      <w:r>
        <w:rPr>
          <w:rFonts w:ascii="宋体" w:hAnsi="宋体"/>
          <w:color w:val="auto"/>
          <w:szCs w:val="21"/>
        </w:rPr>
        <w:t>1.1.1.</w:t>
      </w:r>
      <w:r>
        <w:rPr>
          <w:rFonts w:hint="eastAsia" w:ascii="宋体" w:hAnsi="宋体"/>
          <w:color w:val="auto"/>
          <w:szCs w:val="21"/>
        </w:rPr>
        <w:t>14 公章：专指法定单位名称章</w:t>
      </w:r>
      <w:r>
        <w:rPr>
          <w:rFonts w:ascii="宋体" w:hAnsi="宋体"/>
          <w:color w:val="auto"/>
          <w:szCs w:val="21"/>
        </w:rPr>
        <w:t>。</w:t>
      </w:r>
    </w:p>
    <w:bookmarkEnd w:id="1364"/>
    <w:p w14:paraId="555FD16F">
      <w:pPr>
        <w:spacing w:line="360" w:lineRule="auto"/>
        <w:ind w:firstLine="420" w:firstLineChars="200"/>
        <w:jc w:val="left"/>
        <w:rPr>
          <w:rFonts w:ascii="宋体" w:hAnsi="宋体"/>
          <w:color w:val="auto"/>
          <w:szCs w:val="21"/>
        </w:rPr>
      </w:pPr>
      <w:r>
        <w:rPr>
          <w:rFonts w:hint="eastAsia" w:ascii="宋体" w:hAnsi="宋体"/>
          <w:color w:val="auto"/>
          <w:szCs w:val="21"/>
        </w:rPr>
        <w:t>1.1.1.15 到岗：指承包人按照到岗履职承诺安排满足办理施工许可手续相关要求的项目主要管理人员实际到施工现场就职履约的行为。</w:t>
      </w:r>
    </w:p>
    <w:p w14:paraId="6AD543D8">
      <w:pPr>
        <w:spacing w:line="360" w:lineRule="auto"/>
        <w:ind w:firstLine="420" w:firstLineChars="200"/>
        <w:jc w:val="left"/>
        <w:rPr>
          <w:rFonts w:ascii="宋体" w:hAnsi="宋体"/>
          <w:color w:val="auto"/>
          <w:szCs w:val="21"/>
        </w:rPr>
      </w:pPr>
      <w:r>
        <w:rPr>
          <w:rFonts w:hint="eastAsia" w:ascii="宋体" w:hAnsi="宋体"/>
          <w:color w:val="auto"/>
          <w:szCs w:val="21"/>
        </w:rPr>
        <w:t>1.1.1.16 项目法人：指具有民事权利能力和民事行为能力，依法独立享有民事权利和承担民事义务，以建设项目为目的，从事项目管理的机构、单位或组织。</w:t>
      </w:r>
    </w:p>
    <w:p w14:paraId="4E2C0263">
      <w:pPr>
        <w:spacing w:line="360" w:lineRule="auto"/>
        <w:ind w:firstLine="420" w:firstLineChars="200"/>
        <w:jc w:val="left"/>
        <w:rPr>
          <w:rFonts w:ascii="宋体" w:hAnsi="宋体"/>
          <w:color w:val="auto"/>
          <w:szCs w:val="21"/>
        </w:rPr>
      </w:pPr>
      <w:r>
        <w:rPr>
          <w:rFonts w:hint="eastAsia" w:ascii="宋体" w:hAnsi="宋体"/>
          <w:color w:val="auto"/>
          <w:szCs w:val="21"/>
        </w:rPr>
        <w:t>1.1.2 合同当事人及其他相关方</w:t>
      </w:r>
    </w:p>
    <w:p w14:paraId="009B5CE0">
      <w:pPr>
        <w:spacing w:line="360" w:lineRule="auto"/>
        <w:ind w:firstLine="420" w:firstLineChars="200"/>
        <w:jc w:val="left"/>
        <w:rPr>
          <w:rFonts w:ascii="宋体" w:hAnsi="宋体"/>
          <w:color w:val="auto"/>
          <w:szCs w:val="21"/>
        </w:rPr>
      </w:pPr>
      <w:r>
        <w:rPr>
          <w:rFonts w:hint="eastAsia" w:ascii="宋体" w:hAnsi="宋体"/>
          <w:color w:val="auto"/>
          <w:szCs w:val="21"/>
        </w:rPr>
        <w:t>1.1.2.4 监理人：</w:t>
      </w:r>
    </w:p>
    <w:p w14:paraId="7A44AE66">
      <w:pPr>
        <w:spacing w:line="360" w:lineRule="auto"/>
        <w:ind w:firstLine="420" w:firstLineChars="200"/>
        <w:jc w:val="left"/>
        <w:rPr>
          <w:rFonts w:ascii="宋体" w:hAnsi="宋体"/>
          <w:color w:val="auto"/>
          <w:szCs w:val="21"/>
        </w:rPr>
      </w:pPr>
      <w:r>
        <w:rPr>
          <w:rFonts w:hint="eastAsia" w:ascii="宋体" w:hAnsi="宋体"/>
          <w:color w:val="auto"/>
          <w:szCs w:val="21"/>
        </w:rPr>
        <w:t>名    称：</w:t>
      </w:r>
      <w:r>
        <w:rPr>
          <w:rFonts w:ascii="宋体" w:hAnsi="宋体"/>
          <w:color w:val="auto"/>
          <w:szCs w:val="21"/>
          <w:u w:val="single"/>
        </w:rPr>
        <w:t xml:space="preserve">    </w:t>
      </w:r>
      <w:r>
        <w:rPr>
          <w:rFonts w:hint="eastAsia" w:ascii="宋体" w:hAnsi="宋体"/>
          <w:color w:val="auto"/>
          <w:szCs w:val="21"/>
        </w:rPr>
        <w:t>；</w:t>
      </w:r>
    </w:p>
    <w:p w14:paraId="1FEE8786">
      <w:pPr>
        <w:spacing w:line="360" w:lineRule="auto"/>
        <w:ind w:firstLine="420" w:firstLineChars="200"/>
        <w:jc w:val="left"/>
        <w:rPr>
          <w:rFonts w:ascii="宋体" w:hAnsi="宋体"/>
          <w:color w:val="auto"/>
          <w:szCs w:val="21"/>
        </w:rPr>
      </w:pPr>
      <w:r>
        <w:rPr>
          <w:rFonts w:hint="eastAsia" w:ascii="宋体" w:hAnsi="宋体"/>
          <w:color w:val="auto"/>
          <w:szCs w:val="21"/>
        </w:rPr>
        <w:t>资质类别和等级：</w:t>
      </w:r>
      <w:r>
        <w:rPr>
          <w:rFonts w:ascii="宋体" w:hAnsi="宋体"/>
          <w:color w:val="auto"/>
          <w:szCs w:val="21"/>
          <w:u w:val="single"/>
        </w:rPr>
        <w:t></w:t>
      </w:r>
      <w:r>
        <w:rPr>
          <w:rFonts w:hint="eastAsia" w:ascii="宋体" w:hAnsi="宋体"/>
          <w:color w:val="auto"/>
          <w:szCs w:val="21"/>
        </w:rPr>
        <w:t>；</w:t>
      </w:r>
    </w:p>
    <w:p w14:paraId="2CCBCD6C">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w:t>
      </w:r>
      <w:r>
        <w:rPr>
          <w:rFonts w:hint="eastAsia" w:ascii="宋体" w:hAnsi="宋体"/>
          <w:color w:val="auto"/>
          <w:szCs w:val="21"/>
        </w:rPr>
        <w:t>。</w:t>
      </w:r>
    </w:p>
    <w:p w14:paraId="745FC79B">
      <w:pPr>
        <w:spacing w:line="360" w:lineRule="auto"/>
        <w:ind w:firstLine="420" w:firstLineChars="200"/>
        <w:jc w:val="left"/>
        <w:rPr>
          <w:rFonts w:ascii="宋体" w:hAnsi="宋体"/>
          <w:color w:val="auto"/>
          <w:szCs w:val="21"/>
        </w:rPr>
      </w:pPr>
      <w:r>
        <w:rPr>
          <w:rFonts w:hint="eastAsia" w:ascii="宋体" w:hAnsi="宋体"/>
          <w:color w:val="auto"/>
          <w:szCs w:val="21"/>
        </w:rPr>
        <w:t>1.1.2.5 设计人：</w:t>
      </w:r>
    </w:p>
    <w:p w14:paraId="3438B5A2">
      <w:pPr>
        <w:spacing w:line="360" w:lineRule="auto"/>
        <w:ind w:firstLine="420" w:firstLineChars="200"/>
        <w:jc w:val="left"/>
        <w:rPr>
          <w:rFonts w:ascii="宋体" w:hAnsi="宋体"/>
          <w:color w:val="auto"/>
          <w:szCs w:val="21"/>
        </w:rPr>
      </w:pPr>
      <w:r>
        <w:rPr>
          <w:rFonts w:hint="eastAsia" w:ascii="宋体" w:hAnsi="宋体"/>
          <w:color w:val="auto"/>
          <w:szCs w:val="21"/>
        </w:rPr>
        <w:t>名    称：</w:t>
      </w:r>
      <w:r>
        <w:rPr>
          <w:rFonts w:ascii="宋体" w:hAnsi="宋体"/>
          <w:color w:val="auto"/>
          <w:szCs w:val="21"/>
          <w:u w:val="single"/>
        </w:rPr>
        <w:t xml:space="preserve">    </w:t>
      </w:r>
      <w:r>
        <w:rPr>
          <w:rFonts w:hint="eastAsia" w:ascii="宋体" w:hAnsi="宋体"/>
          <w:color w:val="auto"/>
          <w:szCs w:val="21"/>
        </w:rPr>
        <w:t>；</w:t>
      </w:r>
    </w:p>
    <w:p w14:paraId="0849E11A">
      <w:pPr>
        <w:spacing w:line="360" w:lineRule="auto"/>
        <w:ind w:firstLine="420" w:firstLineChars="200"/>
        <w:jc w:val="left"/>
        <w:rPr>
          <w:rFonts w:ascii="宋体" w:hAnsi="宋体"/>
          <w:color w:val="auto"/>
          <w:szCs w:val="21"/>
        </w:rPr>
      </w:pPr>
      <w:r>
        <w:rPr>
          <w:rFonts w:hint="eastAsia" w:ascii="宋体" w:hAnsi="宋体"/>
          <w:color w:val="auto"/>
          <w:szCs w:val="21"/>
        </w:rPr>
        <w:t>资质类别和等级：</w:t>
      </w:r>
      <w:r>
        <w:rPr>
          <w:rFonts w:ascii="宋体" w:hAnsi="宋体"/>
          <w:color w:val="auto"/>
          <w:szCs w:val="21"/>
          <w:u w:val="single"/>
        </w:rPr>
        <w:t></w:t>
      </w:r>
      <w:r>
        <w:rPr>
          <w:rFonts w:hint="eastAsia" w:ascii="宋体" w:hAnsi="宋体"/>
          <w:color w:val="auto"/>
          <w:szCs w:val="21"/>
        </w:rPr>
        <w:t>；</w:t>
      </w:r>
    </w:p>
    <w:p w14:paraId="2CF5D4AA">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w:t>
      </w:r>
      <w:r>
        <w:rPr>
          <w:rFonts w:hint="eastAsia" w:ascii="宋体" w:hAnsi="宋体"/>
          <w:color w:val="auto"/>
          <w:szCs w:val="21"/>
        </w:rPr>
        <w:t>。</w:t>
      </w:r>
    </w:p>
    <w:p w14:paraId="7B889B00">
      <w:pPr>
        <w:spacing w:line="360" w:lineRule="auto"/>
        <w:ind w:firstLine="420" w:firstLineChars="200"/>
        <w:jc w:val="left"/>
        <w:rPr>
          <w:rFonts w:ascii="宋体" w:hAnsi="宋体"/>
          <w:color w:val="auto"/>
          <w:szCs w:val="21"/>
        </w:rPr>
      </w:pPr>
      <w:r>
        <w:rPr>
          <w:rFonts w:hint="eastAsia" w:ascii="宋体" w:hAnsi="宋体"/>
          <w:color w:val="auto"/>
          <w:szCs w:val="21"/>
        </w:rPr>
        <w:t>1.1.3 工程和设备</w:t>
      </w:r>
    </w:p>
    <w:p w14:paraId="772CEA61">
      <w:pPr>
        <w:spacing w:line="360" w:lineRule="auto"/>
        <w:ind w:firstLine="420" w:firstLineChars="200"/>
        <w:jc w:val="left"/>
        <w:rPr>
          <w:rFonts w:ascii="宋体" w:hAnsi="宋体"/>
          <w:color w:val="auto"/>
          <w:szCs w:val="21"/>
        </w:rPr>
      </w:pPr>
      <w:r>
        <w:rPr>
          <w:rFonts w:hint="eastAsia" w:ascii="宋体" w:hAnsi="宋体"/>
          <w:color w:val="auto"/>
          <w:kern w:val="0"/>
          <w:szCs w:val="21"/>
        </w:rPr>
        <w:t>1.1.3.7 作为施工现场组成部分的其他场所包括：</w:t>
      </w:r>
      <w:r>
        <w:rPr>
          <w:rFonts w:hint="eastAsia" w:ascii="宋体" w:hAnsi="宋体"/>
          <w:color w:val="auto"/>
          <w:kern w:val="0"/>
          <w:szCs w:val="21"/>
          <w:u w:val="single"/>
        </w:rPr>
        <w:t>永久占地、临时占地以及为修建临时工程而租用、占用的土地</w:t>
      </w:r>
      <w:r>
        <w:rPr>
          <w:rFonts w:hint="eastAsia" w:ascii="宋体" w:hAnsi="宋体"/>
          <w:color w:val="auto"/>
          <w:szCs w:val="21"/>
        </w:rPr>
        <w:t>。</w:t>
      </w:r>
    </w:p>
    <w:p w14:paraId="296010ED">
      <w:pPr>
        <w:spacing w:line="360" w:lineRule="auto"/>
        <w:ind w:firstLine="420" w:firstLineChars="200"/>
        <w:jc w:val="left"/>
        <w:rPr>
          <w:rFonts w:ascii="宋体" w:hAnsi="宋体"/>
          <w:color w:val="auto"/>
          <w:szCs w:val="21"/>
        </w:rPr>
      </w:pPr>
      <w:r>
        <w:rPr>
          <w:rFonts w:hint="eastAsia" w:ascii="宋体" w:hAnsi="宋体"/>
          <w:color w:val="auto"/>
          <w:kern w:val="0"/>
          <w:szCs w:val="21"/>
        </w:rPr>
        <w:t>1.1.3.9 永久占地包括：</w:t>
      </w:r>
      <w:r>
        <w:rPr>
          <w:rFonts w:hint="eastAsia" w:ascii="宋体" w:hAnsi="宋体"/>
          <w:color w:val="auto"/>
          <w:kern w:val="0"/>
          <w:szCs w:val="21"/>
          <w:u w:val="single"/>
        </w:rPr>
        <w:t>为实施合同工程而需要的一切永久占用的土地，即合同工程</w:t>
      </w:r>
      <w:r>
        <w:rPr>
          <w:rFonts w:hint="eastAsia" w:ascii="宋体" w:hAnsi="宋体"/>
          <w:color w:val="auto"/>
          <w:szCs w:val="21"/>
          <w:u w:val="single"/>
        </w:rPr>
        <w:t>用地红线范围内的土地</w:t>
      </w:r>
      <w:r>
        <w:rPr>
          <w:rFonts w:hint="eastAsia" w:ascii="宋体" w:hAnsi="宋体"/>
          <w:color w:val="auto"/>
          <w:szCs w:val="21"/>
        </w:rPr>
        <w:t>。</w:t>
      </w:r>
    </w:p>
    <w:p w14:paraId="08E6DD39">
      <w:pPr>
        <w:spacing w:line="360" w:lineRule="auto"/>
        <w:ind w:firstLine="420" w:firstLineChars="200"/>
        <w:jc w:val="left"/>
        <w:rPr>
          <w:rFonts w:ascii="宋体" w:hAnsi="宋体"/>
          <w:color w:val="auto"/>
          <w:szCs w:val="21"/>
        </w:rPr>
      </w:pPr>
      <w:r>
        <w:rPr>
          <w:rFonts w:hint="eastAsia" w:ascii="宋体" w:hAnsi="宋体"/>
          <w:color w:val="auto"/>
          <w:szCs w:val="21"/>
        </w:rPr>
        <w:t>1.1.3.10 临时占地包括：</w:t>
      </w:r>
      <w:r>
        <w:rPr>
          <w:rFonts w:hint="eastAsia" w:ascii="宋体" w:hAnsi="宋体"/>
          <w:color w:val="auto"/>
          <w:szCs w:val="21"/>
          <w:u w:val="single"/>
        </w:rPr>
        <w:t>为实施合同工程而需要</w:t>
      </w:r>
      <w:r>
        <w:rPr>
          <w:rFonts w:hint="eastAsia" w:ascii="宋体" w:hAnsi="宋体"/>
          <w:color w:val="auto"/>
          <w:kern w:val="0"/>
          <w:szCs w:val="21"/>
          <w:u w:val="single"/>
        </w:rPr>
        <w:t>的一切</w:t>
      </w:r>
      <w:r>
        <w:rPr>
          <w:rFonts w:hint="eastAsia" w:ascii="宋体" w:hAnsi="宋体"/>
          <w:color w:val="auto"/>
          <w:szCs w:val="21"/>
          <w:u w:val="single"/>
        </w:rPr>
        <w:t>临时占用的土地，包括施工所用的临时便道等的临时出入道，以及生产（办公）、生活等临时设施用地</w:t>
      </w:r>
      <w:r>
        <w:rPr>
          <w:rFonts w:hint="eastAsia" w:ascii="宋体" w:hAnsi="宋体"/>
          <w:color w:val="auto"/>
          <w:szCs w:val="21"/>
        </w:rPr>
        <w:t>。</w:t>
      </w:r>
    </w:p>
    <w:p w14:paraId="2BD7179B">
      <w:pPr>
        <w:spacing w:line="360" w:lineRule="auto"/>
        <w:ind w:firstLine="420" w:firstLineChars="200"/>
        <w:jc w:val="left"/>
        <w:rPr>
          <w:rFonts w:ascii="宋体" w:hAnsi="宋体"/>
          <w:color w:val="auto"/>
          <w:szCs w:val="21"/>
        </w:rPr>
      </w:pPr>
      <w:r>
        <w:rPr>
          <w:rFonts w:hint="eastAsia" w:ascii="宋体" w:hAnsi="宋体"/>
          <w:color w:val="auto"/>
          <w:szCs w:val="21"/>
        </w:rPr>
        <w:t>1.1.6 其他</w:t>
      </w:r>
    </w:p>
    <w:p w14:paraId="459D2910">
      <w:pPr>
        <w:spacing w:line="360" w:lineRule="auto"/>
        <w:ind w:firstLine="420" w:firstLineChars="200"/>
        <w:jc w:val="left"/>
        <w:rPr>
          <w:rFonts w:ascii="宋体" w:hAnsi="宋体"/>
          <w:color w:val="auto"/>
          <w:szCs w:val="21"/>
        </w:rPr>
      </w:pPr>
      <w:bookmarkStart w:id="1376" w:name="_Hlk528927262"/>
      <w:r>
        <w:rPr>
          <w:rFonts w:hint="eastAsia" w:ascii="宋体" w:hAnsi="宋体"/>
          <w:color w:val="auto"/>
          <w:szCs w:val="21"/>
        </w:rPr>
        <w:t>本项补充1.1.6.2～1.1.6.3目：</w:t>
      </w:r>
    </w:p>
    <w:p w14:paraId="1C40D1D8">
      <w:pPr>
        <w:spacing w:line="360" w:lineRule="auto"/>
        <w:ind w:firstLine="420" w:firstLineChars="200"/>
        <w:jc w:val="left"/>
        <w:rPr>
          <w:rFonts w:ascii="宋体" w:hAnsi="宋体"/>
          <w:color w:val="auto"/>
          <w:szCs w:val="21"/>
        </w:rPr>
      </w:pPr>
      <w:r>
        <w:rPr>
          <w:rFonts w:hint="eastAsia" w:ascii="宋体" w:hAnsi="宋体"/>
          <w:color w:val="auto"/>
          <w:szCs w:val="21"/>
        </w:rPr>
        <w:t>1.1.6.2 转包、违法分包及挂靠：指符合《住房和城乡建设部关于印发建筑工程施工发包与承包违法行为认定查处管理办法的通知》（建市规〔2019〕1号）规定认定条件的</w:t>
      </w:r>
      <w:r>
        <w:rPr>
          <w:rFonts w:hint="eastAsia" w:ascii="宋体" w:hAnsi="宋体"/>
          <w:color w:val="auto"/>
          <w:kern w:val="0"/>
          <w:szCs w:val="21"/>
        </w:rPr>
        <w:t>违法行为</w:t>
      </w:r>
      <w:r>
        <w:rPr>
          <w:rFonts w:hint="eastAsia" w:ascii="宋体" w:hAnsi="宋体"/>
          <w:color w:val="auto"/>
          <w:szCs w:val="21"/>
        </w:rPr>
        <w:t>。</w:t>
      </w:r>
    </w:p>
    <w:bookmarkEnd w:id="1376"/>
    <w:p w14:paraId="35092513">
      <w:pPr>
        <w:spacing w:line="360" w:lineRule="auto"/>
        <w:ind w:firstLine="420" w:firstLineChars="200"/>
        <w:jc w:val="left"/>
        <w:rPr>
          <w:rFonts w:ascii="宋体" w:hAnsi="宋体"/>
          <w:color w:val="auto"/>
          <w:szCs w:val="21"/>
        </w:rPr>
      </w:pPr>
      <w:r>
        <w:rPr>
          <w:rFonts w:hint="eastAsia" w:ascii="宋体" w:hAnsi="宋体"/>
          <w:color w:val="auto"/>
          <w:szCs w:val="21"/>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14:paraId="41FC948B">
      <w:pPr>
        <w:pStyle w:val="7"/>
        <w:spacing w:before="0" w:beforeAutospacing="0" w:after="0" w:afterAutospacing="0" w:line="360" w:lineRule="auto"/>
        <w:ind w:firstLine="422" w:firstLineChars="200"/>
        <w:rPr>
          <w:color w:val="auto"/>
          <w:sz w:val="21"/>
          <w:szCs w:val="21"/>
        </w:rPr>
      </w:pPr>
      <w:bookmarkStart w:id="1377" w:name="_Toc532377323"/>
      <w:r>
        <w:rPr>
          <w:rFonts w:hint="eastAsia"/>
          <w:color w:val="auto"/>
          <w:sz w:val="21"/>
          <w:szCs w:val="21"/>
        </w:rPr>
        <w:t>1.4 标准和规范</w:t>
      </w:r>
      <w:bookmarkEnd w:id="1377"/>
    </w:p>
    <w:p w14:paraId="37EBE60E">
      <w:pPr>
        <w:spacing w:line="360" w:lineRule="auto"/>
        <w:ind w:firstLine="420" w:firstLineChars="200"/>
        <w:jc w:val="left"/>
        <w:rPr>
          <w:rFonts w:ascii="宋体" w:hAnsi="宋体"/>
          <w:color w:val="auto"/>
          <w:szCs w:val="21"/>
        </w:rPr>
      </w:pPr>
      <w:r>
        <w:rPr>
          <w:rFonts w:hint="eastAsia" w:ascii="宋体" w:hAnsi="宋体"/>
          <w:color w:val="auto"/>
          <w:szCs w:val="21"/>
        </w:rPr>
        <w:t>1.4.1 适用于工程的标准规范包括：</w:t>
      </w:r>
    </w:p>
    <w:p w14:paraId="4DE6D525">
      <w:pPr>
        <w:spacing w:line="360" w:lineRule="auto"/>
        <w:ind w:firstLine="420" w:firstLineChars="200"/>
        <w:jc w:val="left"/>
        <w:rPr>
          <w:rFonts w:ascii="宋体" w:hAnsi="宋体"/>
          <w:color w:val="auto"/>
          <w:szCs w:val="21"/>
        </w:rPr>
      </w:pPr>
      <w:r>
        <w:rPr>
          <w:rFonts w:hint="eastAsia" w:ascii="宋体" w:hAnsi="宋体"/>
          <w:color w:val="auto"/>
          <w:szCs w:val="21"/>
        </w:rPr>
        <w:t>（1）施工图所涉及的技术标准、规范、规程、图集等；</w:t>
      </w:r>
    </w:p>
    <w:p w14:paraId="64FC9E03">
      <w:pPr>
        <w:spacing w:line="360" w:lineRule="auto"/>
        <w:ind w:firstLine="420" w:firstLineChars="200"/>
        <w:jc w:val="left"/>
        <w:rPr>
          <w:rFonts w:ascii="宋体" w:hAnsi="宋体"/>
          <w:color w:val="auto"/>
          <w:szCs w:val="21"/>
          <w:u w:val="single"/>
        </w:rPr>
      </w:pPr>
      <w:r>
        <w:rPr>
          <w:rFonts w:hint="eastAsia" w:ascii="宋体" w:hAnsi="宋体"/>
          <w:color w:val="auto"/>
          <w:szCs w:val="21"/>
        </w:rPr>
        <w:t>（2）国家、行业或重庆市与本工程有关的标准，以及相应的规范、规程等，当这些标准、规范、规程不一致时，以标准、规范、规程要求最高的为准。</w:t>
      </w:r>
    </w:p>
    <w:p w14:paraId="2382F6F8">
      <w:pPr>
        <w:spacing w:line="360" w:lineRule="auto"/>
        <w:ind w:firstLine="420" w:firstLineChars="200"/>
        <w:jc w:val="left"/>
        <w:rPr>
          <w:rFonts w:ascii="宋体" w:hAnsi="宋体"/>
          <w:color w:val="auto"/>
          <w:szCs w:val="21"/>
          <w:u w:val="single"/>
        </w:rPr>
      </w:pPr>
      <w:r>
        <w:rPr>
          <w:rFonts w:ascii="宋体" w:hAnsi="宋体"/>
          <w:color w:val="auto"/>
          <w:szCs w:val="21"/>
        </w:rPr>
        <w:t>（</w:t>
      </w:r>
      <w:r>
        <w:rPr>
          <w:rFonts w:hint="eastAsia" w:ascii="宋体" w:hAnsi="宋体"/>
          <w:color w:val="auto"/>
          <w:szCs w:val="21"/>
        </w:rPr>
        <w:t>3</w:t>
      </w:r>
      <w:r>
        <w:rPr>
          <w:rFonts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w:t>
      </w:r>
    </w:p>
    <w:p w14:paraId="43C266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1.4.2 发包人提供国外标准、规范的名称：</w:t>
      </w:r>
      <w:r>
        <w:rPr>
          <w:rFonts w:hint="eastAsia" w:ascii="宋体" w:hAnsi="宋体"/>
          <w:color w:val="auto"/>
          <w:kern w:val="0"/>
          <w:szCs w:val="21"/>
          <w:u w:val="single"/>
        </w:rPr>
        <w:t xml:space="preserve"> / </w:t>
      </w:r>
      <w:r>
        <w:rPr>
          <w:rFonts w:hint="eastAsia" w:ascii="宋体" w:hAnsi="宋体"/>
          <w:color w:val="auto"/>
          <w:kern w:val="0"/>
          <w:szCs w:val="21"/>
        </w:rPr>
        <w:t>；</w:t>
      </w:r>
    </w:p>
    <w:p w14:paraId="3E73FF3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发包人提供国外标准、规范的份数：</w:t>
      </w:r>
      <w:r>
        <w:rPr>
          <w:rFonts w:hint="eastAsia" w:ascii="宋体" w:hAnsi="宋体"/>
          <w:color w:val="auto"/>
          <w:kern w:val="0"/>
          <w:szCs w:val="21"/>
          <w:u w:val="single"/>
        </w:rPr>
        <w:t xml:space="preserve"> / </w:t>
      </w:r>
      <w:r>
        <w:rPr>
          <w:rFonts w:hint="eastAsia" w:ascii="宋体" w:hAnsi="宋体"/>
          <w:color w:val="auto"/>
          <w:kern w:val="0"/>
          <w:szCs w:val="21"/>
        </w:rPr>
        <w:t>；</w:t>
      </w:r>
    </w:p>
    <w:p w14:paraId="4B9513B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发包人提供国外标准、规范的名称：</w:t>
      </w:r>
      <w:r>
        <w:rPr>
          <w:rFonts w:hint="eastAsia" w:ascii="宋体" w:hAnsi="宋体"/>
          <w:color w:val="auto"/>
          <w:kern w:val="0"/>
          <w:szCs w:val="21"/>
          <w:u w:val="single"/>
        </w:rPr>
        <w:t xml:space="preserve"> / </w:t>
      </w:r>
      <w:r>
        <w:rPr>
          <w:rFonts w:hint="eastAsia" w:ascii="宋体" w:hAnsi="宋体"/>
          <w:color w:val="auto"/>
          <w:kern w:val="0"/>
          <w:szCs w:val="21"/>
        </w:rPr>
        <w:t>。</w:t>
      </w:r>
    </w:p>
    <w:p w14:paraId="083B8237">
      <w:pPr>
        <w:spacing w:line="360" w:lineRule="auto"/>
        <w:ind w:firstLine="420" w:firstLineChars="200"/>
        <w:jc w:val="left"/>
        <w:rPr>
          <w:rFonts w:ascii="宋体" w:hAnsi="宋体"/>
          <w:color w:val="auto"/>
          <w:szCs w:val="21"/>
        </w:rPr>
      </w:pPr>
      <w:r>
        <w:rPr>
          <w:rFonts w:hint="eastAsia" w:ascii="宋体" w:hAnsi="宋体"/>
          <w:color w:val="auto"/>
          <w:szCs w:val="21"/>
        </w:rPr>
        <w:t>1.4.3 发包人对工程的技术标准和功能要求的特殊要求：</w:t>
      </w:r>
      <w:r>
        <w:rPr>
          <w:rFonts w:hint="eastAsia" w:ascii="宋体" w:hAnsi="宋体"/>
          <w:color w:val="auto"/>
          <w:kern w:val="0"/>
          <w:szCs w:val="21"/>
          <w:u w:val="single"/>
        </w:rPr>
        <w:t xml:space="preserve">/ </w:t>
      </w:r>
      <w:r>
        <w:rPr>
          <w:rFonts w:hint="eastAsia" w:ascii="宋体" w:hAnsi="宋体"/>
          <w:color w:val="auto"/>
          <w:szCs w:val="21"/>
        </w:rPr>
        <w:t>。</w:t>
      </w:r>
    </w:p>
    <w:p w14:paraId="47CC54C6">
      <w:pPr>
        <w:pStyle w:val="7"/>
        <w:spacing w:before="0" w:beforeAutospacing="0" w:after="0" w:afterAutospacing="0" w:line="360" w:lineRule="auto"/>
        <w:ind w:firstLine="422" w:firstLineChars="200"/>
        <w:rPr>
          <w:color w:val="auto"/>
          <w:sz w:val="21"/>
          <w:szCs w:val="21"/>
        </w:rPr>
      </w:pPr>
      <w:bookmarkStart w:id="1378" w:name="_Toc532377324"/>
      <w:r>
        <w:rPr>
          <w:rFonts w:hint="eastAsia"/>
          <w:color w:val="auto"/>
          <w:sz w:val="21"/>
          <w:szCs w:val="21"/>
        </w:rPr>
        <w:t>1.5 合同文件的优先顺序</w:t>
      </w:r>
      <w:bookmarkEnd w:id="1378"/>
    </w:p>
    <w:p w14:paraId="35877258">
      <w:pPr>
        <w:spacing w:line="360" w:lineRule="auto"/>
        <w:ind w:firstLine="420" w:firstLineChars="200"/>
        <w:jc w:val="left"/>
        <w:rPr>
          <w:rFonts w:ascii="宋体" w:hAnsi="宋体"/>
          <w:color w:val="auto"/>
          <w:szCs w:val="21"/>
        </w:rPr>
      </w:pPr>
      <w:r>
        <w:rPr>
          <w:rFonts w:hint="eastAsia" w:ascii="宋体" w:hAnsi="宋体"/>
          <w:color w:val="auto"/>
          <w:szCs w:val="21"/>
        </w:rPr>
        <w:t>合同文件组成及优先顺序为：</w:t>
      </w:r>
      <w:r>
        <w:rPr>
          <w:rFonts w:hint="eastAsia" w:ascii="宋体" w:hAnsi="宋体"/>
          <w:color w:val="auto"/>
          <w:szCs w:val="21"/>
          <w:u w:val="single"/>
        </w:rPr>
        <w:t>按照合同协议书</w:t>
      </w:r>
      <w:r>
        <w:rPr>
          <w:rFonts w:hint="eastAsia" w:ascii="宋体" w:hAnsi="宋体"/>
          <w:bCs/>
          <w:color w:val="auto"/>
          <w:szCs w:val="21"/>
          <w:u w:val="single"/>
        </w:rPr>
        <w:t>〔</w:t>
      </w:r>
      <w:r>
        <w:rPr>
          <w:rFonts w:hint="eastAsia" w:ascii="宋体" w:hAnsi="宋体"/>
          <w:color w:val="auto"/>
          <w:szCs w:val="21"/>
          <w:u w:val="single"/>
        </w:rPr>
        <w:t>第六条</w:t>
      </w:r>
      <w:r>
        <w:rPr>
          <w:rFonts w:hint="eastAsia" w:ascii="宋体" w:hAnsi="宋体"/>
          <w:bCs/>
          <w:color w:val="auto"/>
          <w:szCs w:val="21"/>
          <w:u w:val="single"/>
        </w:rPr>
        <w:t>〕</w:t>
      </w:r>
      <w:r>
        <w:rPr>
          <w:rFonts w:hint="eastAsia" w:ascii="宋体" w:hAnsi="宋体"/>
          <w:color w:val="auto"/>
          <w:szCs w:val="21"/>
          <w:u w:val="single"/>
        </w:rPr>
        <w:t>约定执行</w:t>
      </w:r>
      <w:r>
        <w:rPr>
          <w:rFonts w:hint="eastAsia" w:ascii="宋体" w:hAnsi="宋体"/>
          <w:color w:val="auto"/>
          <w:szCs w:val="21"/>
        </w:rPr>
        <w:t>。</w:t>
      </w:r>
    </w:p>
    <w:p w14:paraId="016F56CC">
      <w:pPr>
        <w:pStyle w:val="7"/>
        <w:spacing w:before="0" w:beforeAutospacing="0" w:after="0" w:afterAutospacing="0" w:line="360" w:lineRule="auto"/>
        <w:ind w:firstLine="422" w:firstLineChars="200"/>
        <w:rPr>
          <w:color w:val="auto"/>
          <w:sz w:val="21"/>
          <w:szCs w:val="21"/>
        </w:rPr>
      </w:pPr>
      <w:bookmarkStart w:id="1379" w:name="_Toc532377325"/>
      <w:r>
        <w:rPr>
          <w:rFonts w:hint="eastAsia"/>
          <w:color w:val="auto"/>
          <w:sz w:val="21"/>
          <w:szCs w:val="21"/>
        </w:rPr>
        <w:t>1.6 图纸和承包人文件</w:t>
      </w:r>
      <w:bookmarkEnd w:id="1379"/>
    </w:p>
    <w:p w14:paraId="2E7B222C">
      <w:pPr>
        <w:spacing w:line="360" w:lineRule="auto"/>
        <w:ind w:firstLine="420" w:firstLineChars="200"/>
        <w:jc w:val="left"/>
        <w:rPr>
          <w:rFonts w:ascii="宋体" w:hAnsi="宋体"/>
          <w:color w:val="auto"/>
          <w:szCs w:val="21"/>
        </w:rPr>
      </w:pPr>
      <w:r>
        <w:rPr>
          <w:rFonts w:hint="eastAsia" w:ascii="宋体" w:hAnsi="宋体"/>
          <w:color w:val="auto"/>
          <w:szCs w:val="21"/>
        </w:rPr>
        <w:t>1.6.1 图纸的提供和交底</w:t>
      </w:r>
    </w:p>
    <w:p w14:paraId="3A563BB8">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发包人向承包人提供图纸的期限：</w:t>
      </w:r>
      <w:r>
        <w:rPr>
          <w:rFonts w:hint="eastAsia" w:ascii="宋体" w:hAnsi="宋体"/>
          <w:color w:val="auto"/>
          <w:szCs w:val="21"/>
          <w:u w:val="single"/>
        </w:rPr>
        <w:t>通用合同条款第7.3.2款</w:t>
      </w:r>
      <w:r>
        <w:rPr>
          <w:rFonts w:hint="eastAsia" w:ascii="宋体" w:hAnsi="宋体"/>
          <w:bCs/>
          <w:color w:val="auto"/>
          <w:szCs w:val="21"/>
          <w:u w:val="single"/>
        </w:rPr>
        <w:t>〔</w:t>
      </w:r>
      <w:r>
        <w:rPr>
          <w:rFonts w:hint="eastAsia" w:ascii="宋体" w:hAnsi="宋体"/>
          <w:color w:val="auto"/>
          <w:szCs w:val="21"/>
          <w:u w:val="single"/>
        </w:rPr>
        <w:t>开工通知</w:t>
      </w:r>
      <w:r>
        <w:rPr>
          <w:rFonts w:hint="eastAsia" w:ascii="宋体" w:hAnsi="宋体"/>
          <w:bCs/>
          <w:color w:val="auto"/>
          <w:szCs w:val="21"/>
          <w:u w:val="single"/>
        </w:rPr>
        <w:t>〕</w:t>
      </w:r>
      <w:r>
        <w:rPr>
          <w:rFonts w:hint="eastAsia" w:ascii="宋体" w:hAnsi="宋体"/>
          <w:color w:val="auto"/>
          <w:szCs w:val="21"/>
          <w:u w:val="single"/>
        </w:rPr>
        <w:t>载明的开工日期前14天</w:t>
      </w:r>
      <w:r>
        <w:rPr>
          <w:rFonts w:hint="eastAsia" w:ascii="宋体" w:hAnsi="宋体"/>
          <w:color w:val="auto"/>
          <w:szCs w:val="21"/>
        </w:rPr>
        <w:t>；</w:t>
      </w:r>
    </w:p>
    <w:p w14:paraId="08E75A1C">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发包人向承包人提供图纸的数量：</w:t>
      </w:r>
      <w:r>
        <w:rPr>
          <w:rFonts w:hint="eastAsia" w:ascii="宋体" w:hAnsi="宋体"/>
          <w:color w:val="auto"/>
          <w:szCs w:val="21"/>
          <w:u w:val="single"/>
        </w:rPr>
        <w:t xml:space="preserve">  套</w:t>
      </w:r>
      <w:r>
        <w:rPr>
          <w:rFonts w:hint="eastAsia" w:ascii="宋体" w:hAnsi="宋体"/>
          <w:color w:val="auto"/>
          <w:szCs w:val="21"/>
        </w:rPr>
        <w:t xml:space="preserve">； </w:t>
      </w:r>
    </w:p>
    <w:p w14:paraId="29BD0B59">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发包人向承包人提供图纸的内容：</w:t>
      </w:r>
      <w:r>
        <w:rPr>
          <w:rFonts w:hint="eastAsia" w:ascii="宋体" w:hAnsi="宋体"/>
          <w:color w:val="auto"/>
          <w:szCs w:val="21"/>
          <w:u w:val="single"/>
        </w:rPr>
        <w:t>工程承包范围内工程的施工图设计文件</w:t>
      </w:r>
      <w:r>
        <w:rPr>
          <w:rFonts w:hint="eastAsia" w:ascii="宋体" w:hAnsi="宋体"/>
          <w:color w:val="auto"/>
          <w:szCs w:val="21"/>
        </w:rPr>
        <w:t>；</w:t>
      </w:r>
    </w:p>
    <w:p w14:paraId="4976F1CF">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发包人组织承包人、监理人和设计人进行图纸会审和设计交底的时间：</w:t>
      </w:r>
      <w:r>
        <w:rPr>
          <w:rFonts w:hint="eastAsia" w:ascii="宋体" w:hAnsi="宋体"/>
          <w:color w:val="auto"/>
          <w:szCs w:val="21"/>
          <w:u w:val="single"/>
        </w:rPr>
        <w:t>提供施工图后7天内</w:t>
      </w:r>
      <w:r>
        <w:rPr>
          <w:rFonts w:hint="eastAsia" w:ascii="宋体" w:hAnsi="宋体"/>
          <w:color w:val="auto"/>
          <w:szCs w:val="21"/>
        </w:rPr>
        <w:t>。</w:t>
      </w:r>
    </w:p>
    <w:p w14:paraId="4568AA8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承包人可以书面方式通过监理人向发包人申请进行紧急的设计交底，发包人认为确有必要且条件许可时，应尽快组织实施承包人申请的设计交底。</w:t>
      </w:r>
    </w:p>
    <w:p w14:paraId="13E39718">
      <w:pPr>
        <w:spacing w:line="360" w:lineRule="auto"/>
        <w:ind w:firstLine="420" w:firstLineChars="200"/>
        <w:jc w:val="left"/>
        <w:rPr>
          <w:rFonts w:ascii="宋体" w:hAnsi="宋体"/>
          <w:color w:val="auto"/>
          <w:szCs w:val="21"/>
        </w:rPr>
      </w:pPr>
      <w:r>
        <w:rPr>
          <w:rFonts w:hint="eastAsia" w:ascii="宋体" w:hAnsi="宋体"/>
          <w:color w:val="auto"/>
          <w:szCs w:val="21"/>
        </w:rPr>
        <w:t>1.6.2 图纸的错误</w:t>
      </w:r>
    </w:p>
    <w:p w14:paraId="4A5695E0">
      <w:pPr>
        <w:spacing w:line="360" w:lineRule="auto"/>
        <w:ind w:firstLine="420" w:firstLineChars="200"/>
        <w:jc w:val="left"/>
        <w:rPr>
          <w:rFonts w:ascii="宋体" w:hAnsi="宋体"/>
          <w:color w:val="auto"/>
          <w:szCs w:val="21"/>
        </w:rPr>
      </w:pPr>
      <w:r>
        <w:rPr>
          <w:rFonts w:hint="eastAsia" w:ascii="宋体" w:hAnsi="宋体"/>
          <w:color w:val="auto"/>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1FA18F6C">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承包人不得利用图纸的差错、遗漏或缺陷，从中获得不正当的利益。</w:t>
      </w:r>
    </w:p>
    <w:p w14:paraId="1C5CC01B">
      <w:pPr>
        <w:spacing w:line="360" w:lineRule="auto"/>
        <w:ind w:firstLine="420" w:firstLineChars="200"/>
        <w:jc w:val="left"/>
        <w:rPr>
          <w:rFonts w:ascii="宋体" w:hAnsi="宋体"/>
          <w:color w:val="auto"/>
          <w:szCs w:val="21"/>
        </w:rPr>
      </w:pPr>
      <w:r>
        <w:rPr>
          <w:rFonts w:hint="eastAsia" w:ascii="宋体" w:hAnsi="宋体"/>
          <w:color w:val="auto"/>
          <w:szCs w:val="21"/>
        </w:rPr>
        <w:t>1.6.4 承包人文件</w:t>
      </w:r>
    </w:p>
    <w:p w14:paraId="7EA73EB5">
      <w:pPr>
        <w:spacing w:line="360" w:lineRule="auto"/>
        <w:ind w:firstLine="420" w:firstLineChars="200"/>
        <w:jc w:val="left"/>
        <w:rPr>
          <w:rFonts w:ascii="宋体" w:hAnsi="宋体"/>
          <w:color w:val="auto"/>
          <w:szCs w:val="21"/>
        </w:rPr>
      </w:pPr>
      <w:r>
        <w:rPr>
          <w:rFonts w:hint="eastAsia" w:ascii="宋体" w:hAnsi="宋体"/>
          <w:color w:val="auto"/>
          <w:szCs w:val="21"/>
        </w:rPr>
        <w:t>需要由承包人提供的书面文件，包括：</w:t>
      </w:r>
      <w:r>
        <w:rPr>
          <w:rFonts w:hint="eastAsia" w:ascii="宋体" w:hAnsi="宋体"/>
          <w:color w:val="auto"/>
          <w:szCs w:val="21"/>
          <w:u w:val="single"/>
        </w:rPr>
        <w:t>施工组织设计、专项施工方案、</w:t>
      </w:r>
      <w:r>
        <w:rPr>
          <w:rFonts w:ascii="宋体" w:hAnsi="宋体"/>
          <w:color w:val="auto"/>
          <w:szCs w:val="21"/>
          <w:u w:val="single"/>
        </w:rPr>
        <w:t>危险性较大分部分项工程施工方案</w:t>
      </w:r>
      <w:r>
        <w:rPr>
          <w:rFonts w:hint="eastAsia" w:ascii="宋体" w:hAnsi="宋体"/>
          <w:color w:val="auto"/>
          <w:szCs w:val="21"/>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color w:val="auto"/>
          <w:szCs w:val="21"/>
        </w:rPr>
        <w:t>。</w:t>
      </w:r>
    </w:p>
    <w:p w14:paraId="474DFDEF">
      <w:pPr>
        <w:spacing w:line="360" w:lineRule="auto"/>
        <w:ind w:firstLine="420" w:firstLineChars="200"/>
        <w:jc w:val="left"/>
        <w:rPr>
          <w:rFonts w:ascii="宋体" w:hAnsi="宋体"/>
          <w:color w:val="auto"/>
          <w:szCs w:val="21"/>
        </w:rPr>
      </w:pPr>
      <w:r>
        <w:rPr>
          <w:rFonts w:hint="eastAsia" w:ascii="宋体" w:hAnsi="宋体"/>
          <w:color w:val="auto"/>
          <w:szCs w:val="21"/>
        </w:rPr>
        <w:t>承包人提供文件的期限、数量：</w:t>
      </w:r>
    </w:p>
    <w:p w14:paraId="64FF51F6">
      <w:pPr>
        <w:spacing w:line="360" w:lineRule="auto"/>
        <w:ind w:firstLine="420" w:firstLineChars="200"/>
        <w:jc w:val="left"/>
        <w:rPr>
          <w:rFonts w:ascii="宋体" w:hAnsi="宋体"/>
          <w:color w:val="auto"/>
          <w:szCs w:val="21"/>
          <w:u w:val="single"/>
        </w:rPr>
      </w:pPr>
      <w:r>
        <w:rPr>
          <w:rFonts w:hint="eastAsia" w:ascii="宋体" w:hAnsi="宋体"/>
          <w:color w:val="auto"/>
          <w:szCs w:val="21"/>
        </w:rPr>
        <w:t>（1）</w:t>
      </w:r>
      <w:r>
        <w:rPr>
          <w:rFonts w:hint="eastAsia" w:ascii="宋体" w:hAnsi="宋体"/>
          <w:color w:val="auto"/>
          <w:szCs w:val="21"/>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color w:val="auto"/>
          <w:szCs w:val="21"/>
        </w:rPr>
        <w:t>。</w:t>
      </w:r>
    </w:p>
    <w:p w14:paraId="77435559">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每月25日前报送月工程进度完成报表</w:t>
      </w:r>
      <w:r>
        <w:rPr>
          <w:rFonts w:hint="eastAsia" w:ascii="宋体" w:hAnsi="宋体"/>
          <w:color w:val="auto"/>
          <w:szCs w:val="21"/>
        </w:rPr>
        <w:t>。</w:t>
      </w:r>
    </w:p>
    <w:p w14:paraId="74DEB9A1">
      <w:pPr>
        <w:spacing w:line="360" w:lineRule="auto"/>
        <w:ind w:firstLine="420" w:firstLineChars="200"/>
        <w:jc w:val="left"/>
        <w:rPr>
          <w:rFonts w:ascii="宋体" w:hAnsi="宋体"/>
          <w:color w:val="auto"/>
          <w:szCs w:val="21"/>
          <w:u w:val="single"/>
        </w:rPr>
      </w:pPr>
      <w:r>
        <w:rPr>
          <w:rFonts w:hint="eastAsia" w:ascii="宋体" w:hAnsi="宋体"/>
          <w:color w:val="auto"/>
          <w:szCs w:val="21"/>
        </w:rPr>
        <w:t>（3）合同另有约定的，按照其约定。</w:t>
      </w:r>
    </w:p>
    <w:p w14:paraId="28CCC34C">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承包人提供的文件的形式：□采用电子采购的，投标文件以电子文档为准，其他文件以书面文件为准；□采用纸质采购的，当书面文件与电子文档不一致的，以书面文件为准。监理人审批承包人文件的期限：</w:t>
      </w:r>
      <w:r>
        <w:rPr>
          <w:rFonts w:hint="eastAsia" w:ascii="宋体" w:hAnsi="宋体"/>
          <w:color w:val="auto"/>
          <w:szCs w:val="21"/>
          <w:u w:val="single"/>
        </w:rPr>
        <w:t>收到施工组织设计和工程总体进度计划及当年年度施工进度计划后7天内；合同另有约定的，从其约定</w:t>
      </w:r>
      <w:r>
        <w:rPr>
          <w:rFonts w:hint="eastAsia" w:ascii="宋体" w:hAnsi="宋体"/>
          <w:color w:val="auto"/>
          <w:szCs w:val="21"/>
        </w:rPr>
        <w:t>。</w:t>
      </w:r>
    </w:p>
    <w:p w14:paraId="6CC48204">
      <w:pPr>
        <w:spacing w:line="360" w:lineRule="auto"/>
        <w:ind w:firstLine="420" w:firstLineChars="200"/>
        <w:jc w:val="left"/>
        <w:rPr>
          <w:rFonts w:ascii="宋体" w:hAnsi="宋体"/>
          <w:color w:val="auto"/>
          <w:szCs w:val="21"/>
        </w:rPr>
      </w:pPr>
      <w:r>
        <w:rPr>
          <w:rFonts w:hint="eastAsia" w:ascii="宋体" w:hAnsi="宋体"/>
          <w:color w:val="auto"/>
          <w:szCs w:val="21"/>
        </w:rPr>
        <w:t>承包人提供的文件的费用：</w:t>
      </w:r>
      <w:r>
        <w:rPr>
          <w:rFonts w:hint="eastAsia" w:ascii="宋体" w:hAnsi="宋体"/>
          <w:color w:val="auto"/>
          <w:szCs w:val="21"/>
          <w:u w:val="single"/>
        </w:rPr>
        <w:t>由承包人承担</w:t>
      </w:r>
      <w:r>
        <w:rPr>
          <w:rFonts w:hint="eastAsia" w:ascii="宋体" w:hAnsi="宋体"/>
          <w:color w:val="auto"/>
          <w:szCs w:val="21"/>
        </w:rPr>
        <w:t>。</w:t>
      </w:r>
    </w:p>
    <w:p w14:paraId="681BC53F">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发包人审批承包人文件的期限：</w:t>
      </w:r>
      <w:r>
        <w:rPr>
          <w:rFonts w:hint="eastAsia" w:ascii="宋体" w:hAnsi="宋体"/>
          <w:color w:val="auto"/>
          <w:szCs w:val="21"/>
          <w:u w:val="single"/>
        </w:rPr>
        <w:t>收到后14天内；合同另有约定的，从其约定</w:t>
      </w:r>
      <w:r>
        <w:rPr>
          <w:rFonts w:hint="eastAsia" w:ascii="宋体" w:hAnsi="宋体"/>
          <w:color w:val="auto"/>
          <w:szCs w:val="21"/>
        </w:rPr>
        <w:t>。</w:t>
      </w:r>
    </w:p>
    <w:p w14:paraId="26AEBCDA">
      <w:pPr>
        <w:spacing w:line="360" w:lineRule="auto"/>
        <w:ind w:firstLine="420" w:firstLineChars="200"/>
        <w:jc w:val="left"/>
        <w:rPr>
          <w:rFonts w:ascii="宋体" w:hAnsi="宋体"/>
          <w:color w:val="auto"/>
          <w:szCs w:val="21"/>
        </w:rPr>
      </w:pPr>
      <w:r>
        <w:rPr>
          <w:rFonts w:hint="eastAsia" w:ascii="宋体" w:hAnsi="宋体"/>
          <w:color w:val="auto"/>
          <w:szCs w:val="21"/>
          <w:u w:val="single"/>
        </w:rPr>
        <w:t>监理人、发包人的修改意见和审批，不免除或减轻承包人对该工作、工程、材料、工程设备等应承担的责任和义务</w:t>
      </w:r>
      <w:r>
        <w:rPr>
          <w:rFonts w:hint="eastAsia" w:ascii="宋体" w:hAnsi="宋体"/>
          <w:color w:val="auto"/>
          <w:szCs w:val="21"/>
        </w:rPr>
        <w:t>。</w:t>
      </w:r>
    </w:p>
    <w:p w14:paraId="3B2DDB4C">
      <w:pPr>
        <w:pStyle w:val="7"/>
        <w:spacing w:before="0" w:beforeAutospacing="0" w:after="0" w:afterAutospacing="0" w:line="360" w:lineRule="auto"/>
        <w:ind w:firstLine="422" w:firstLineChars="200"/>
        <w:rPr>
          <w:color w:val="auto"/>
          <w:sz w:val="21"/>
          <w:szCs w:val="21"/>
        </w:rPr>
      </w:pPr>
      <w:bookmarkStart w:id="1380" w:name="_Toc532377326"/>
      <w:r>
        <w:rPr>
          <w:rFonts w:hint="eastAsia"/>
          <w:color w:val="auto"/>
          <w:sz w:val="21"/>
          <w:szCs w:val="21"/>
        </w:rPr>
        <w:t>1.7 联络</w:t>
      </w:r>
      <w:bookmarkEnd w:id="1380"/>
    </w:p>
    <w:p w14:paraId="66DEB01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1.7.1 发包人和承包人应当在</w:t>
      </w:r>
      <w:r>
        <w:rPr>
          <w:rFonts w:hint="eastAsia" w:ascii="宋体" w:hAnsi="宋体"/>
          <w:color w:val="auto"/>
          <w:szCs w:val="21"/>
          <w:u w:val="single"/>
        </w:rPr>
        <w:t xml:space="preserve"> 1 </w:t>
      </w:r>
      <w:r>
        <w:rPr>
          <w:rFonts w:hint="eastAsia" w:ascii="宋体" w:hAnsi="宋体"/>
          <w:color w:val="auto"/>
          <w:kern w:val="0"/>
          <w:szCs w:val="21"/>
        </w:rPr>
        <w:t>天内将与合同有关的通知、批准、证明、证书、指示、指令、要求、请求、同意、意见、确定和决定等书面函件送达对方当事人，并办理书面签收手续。</w:t>
      </w:r>
    </w:p>
    <w:p w14:paraId="35192D0A">
      <w:pPr>
        <w:tabs>
          <w:tab w:val="left" w:pos="7513"/>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1.7.2 发包人接收文件地点：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7702AA9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发包人指定的接收人：</w:t>
      </w:r>
      <w:bookmarkStart w:id="1381" w:name="_Hlk528493983"/>
      <w:bookmarkEnd w:id="1381"/>
      <w:r>
        <w:rPr>
          <w:rFonts w:ascii="宋体" w:hAnsi="宋体"/>
          <w:color w:val="auto"/>
          <w:kern w:val="0"/>
          <w:szCs w:val="21"/>
          <w:u w:val="single"/>
        </w:rPr>
        <w:t xml:space="preserve">                             </w:t>
      </w:r>
      <w:r>
        <w:rPr>
          <w:rFonts w:hint="eastAsia" w:ascii="宋体" w:hAnsi="宋体"/>
          <w:color w:val="auto"/>
          <w:kern w:val="0"/>
          <w:szCs w:val="21"/>
        </w:rPr>
        <w:t>；</w:t>
      </w:r>
    </w:p>
    <w:p w14:paraId="6DC930AD">
      <w:pPr>
        <w:tabs>
          <w:tab w:val="left" w:pos="7513"/>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5D86FEC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承包人指定的接收人：</w:t>
      </w:r>
      <w:r>
        <w:rPr>
          <w:rFonts w:ascii="宋体" w:hAnsi="宋体"/>
          <w:color w:val="auto"/>
          <w:kern w:val="0"/>
          <w:szCs w:val="21"/>
          <w:u w:val="single"/>
        </w:rPr>
        <w:t xml:space="preserve">                             </w:t>
      </w:r>
      <w:r>
        <w:rPr>
          <w:rFonts w:hint="eastAsia" w:ascii="宋体" w:hAnsi="宋体"/>
          <w:color w:val="auto"/>
          <w:kern w:val="0"/>
          <w:szCs w:val="21"/>
        </w:rPr>
        <w:t>；</w:t>
      </w:r>
    </w:p>
    <w:p w14:paraId="08B343A7">
      <w:pPr>
        <w:tabs>
          <w:tab w:val="left" w:pos="7371"/>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6B32E2F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监理人指定的接收人：</w:t>
      </w:r>
      <w:r>
        <w:rPr>
          <w:rFonts w:ascii="宋体" w:hAnsi="宋体"/>
          <w:color w:val="auto"/>
          <w:kern w:val="0"/>
          <w:szCs w:val="21"/>
          <w:u w:val="single"/>
        </w:rPr>
        <w:t xml:space="preserve">                             </w:t>
      </w:r>
      <w:r>
        <w:rPr>
          <w:rFonts w:hint="eastAsia" w:ascii="宋体" w:hAnsi="宋体"/>
          <w:color w:val="auto"/>
          <w:kern w:val="0"/>
          <w:szCs w:val="21"/>
        </w:rPr>
        <w:t>。</w:t>
      </w:r>
    </w:p>
    <w:p w14:paraId="01855D5C">
      <w:pPr>
        <w:pStyle w:val="7"/>
        <w:spacing w:before="0" w:beforeAutospacing="0" w:after="0" w:afterAutospacing="0" w:line="360" w:lineRule="auto"/>
        <w:ind w:firstLine="422" w:firstLineChars="200"/>
        <w:rPr>
          <w:color w:val="auto"/>
          <w:sz w:val="21"/>
          <w:szCs w:val="21"/>
        </w:rPr>
      </w:pPr>
      <w:bookmarkStart w:id="1382" w:name="_Toc532377327"/>
      <w:r>
        <w:rPr>
          <w:rFonts w:hint="eastAsia"/>
          <w:color w:val="auto"/>
          <w:sz w:val="21"/>
          <w:szCs w:val="21"/>
        </w:rPr>
        <w:t>1.8 严禁贿赂</w:t>
      </w:r>
      <w:bookmarkEnd w:id="1382"/>
    </w:p>
    <w:p w14:paraId="13E7E5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本款补充以下内容：</w:t>
      </w:r>
    </w:p>
    <w:p w14:paraId="3810E04A">
      <w:pPr>
        <w:spacing w:line="360" w:lineRule="auto"/>
        <w:ind w:firstLine="420" w:firstLineChars="200"/>
        <w:jc w:val="left"/>
        <w:rPr>
          <w:rFonts w:ascii="宋体" w:hAnsi="宋体"/>
          <w:color w:val="auto"/>
          <w:kern w:val="0"/>
          <w:szCs w:val="21"/>
          <w:u w:val="single"/>
        </w:rPr>
      </w:pPr>
      <w:r>
        <w:rPr>
          <w:rFonts w:hint="eastAsia" w:ascii="宋体" w:hAnsi="宋体"/>
          <w:color w:val="auto"/>
          <w:kern w:val="0"/>
          <w:szCs w:val="21"/>
        </w:rPr>
        <w:t>在合同执行过程中，合同当事人应严格履行附件8《廉洁从业协议》。</w:t>
      </w:r>
    </w:p>
    <w:p w14:paraId="28E56375">
      <w:pPr>
        <w:pStyle w:val="7"/>
        <w:spacing w:before="0" w:beforeAutospacing="0" w:after="0" w:afterAutospacing="0" w:line="360" w:lineRule="auto"/>
        <w:ind w:firstLine="422" w:firstLineChars="200"/>
        <w:rPr>
          <w:color w:val="auto"/>
          <w:sz w:val="21"/>
          <w:szCs w:val="21"/>
        </w:rPr>
      </w:pPr>
      <w:bookmarkStart w:id="1383" w:name="_Toc532377328"/>
      <w:r>
        <w:rPr>
          <w:rFonts w:hint="eastAsia"/>
          <w:color w:val="auto"/>
          <w:sz w:val="21"/>
          <w:szCs w:val="21"/>
        </w:rPr>
        <w:t>1.10 交通运输</w:t>
      </w:r>
      <w:bookmarkEnd w:id="1383"/>
    </w:p>
    <w:p w14:paraId="4BEE3B17">
      <w:pPr>
        <w:spacing w:line="360" w:lineRule="auto"/>
        <w:ind w:firstLine="420" w:firstLineChars="200"/>
        <w:jc w:val="left"/>
        <w:rPr>
          <w:rFonts w:ascii="宋体" w:hAnsi="宋体"/>
          <w:color w:val="auto"/>
          <w:szCs w:val="21"/>
        </w:rPr>
      </w:pPr>
      <w:r>
        <w:rPr>
          <w:rFonts w:hint="eastAsia" w:ascii="宋体" w:hAnsi="宋体"/>
          <w:color w:val="auto"/>
          <w:szCs w:val="21"/>
        </w:rPr>
        <w:t>1</w:t>
      </w:r>
      <w:bookmarkStart w:id="1384" w:name="_Toc318581155"/>
      <w:bookmarkStart w:id="1385" w:name="_Toc304295521"/>
      <w:bookmarkStart w:id="1386" w:name="_Toc303539100"/>
      <w:bookmarkStart w:id="1387" w:name="_Toc312677986"/>
      <w:bookmarkStart w:id="1388" w:name="_Toc300934943"/>
      <w:r>
        <w:rPr>
          <w:rFonts w:hint="eastAsia" w:ascii="宋体" w:hAnsi="宋体"/>
          <w:color w:val="auto"/>
          <w:szCs w:val="21"/>
        </w:rPr>
        <w:t>.10.1 出入现场的权利</w:t>
      </w:r>
    </w:p>
    <w:p w14:paraId="717B053B">
      <w:pPr>
        <w:spacing w:line="360" w:lineRule="auto"/>
        <w:ind w:firstLine="420" w:firstLineChars="200"/>
        <w:jc w:val="left"/>
        <w:rPr>
          <w:rFonts w:ascii="宋体" w:hAnsi="宋体"/>
          <w:color w:val="auto"/>
          <w:kern w:val="0"/>
          <w:szCs w:val="21"/>
        </w:rPr>
      </w:pPr>
      <w:r>
        <w:rPr>
          <w:rFonts w:hint="eastAsia" w:ascii="宋体" w:hAnsi="宋体"/>
          <w:color w:val="auto"/>
          <w:szCs w:val="21"/>
        </w:rPr>
        <w:t>关于出入现场的权利的约定：</w:t>
      </w:r>
      <w:r>
        <w:rPr>
          <w:rFonts w:hint="eastAsia" w:ascii="宋体" w:hAnsi="宋体"/>
          <w:color w:val="auto"/>
          <w:szCs w:val="21"/>
          <w:u w:val="single"/>
        </w:rPr>
        <w:t xml:space="preserve">        </w:t>
      </w:r>
      <w:r>
        <w:rPr>
          <w:rFonts w:hint="eastAsia" w:ascii="宋体" w:hAnsi="宋体"/>
          <w:color w:val="auto"/>
          <w:szCs w:val="21"/>
        </w:rPr>
        <w:t>。</w:t>
      </w:r>
    </w:p>
    <w:bookmarkEnd w:id="1384"/>
    <w:bookmarkEnd w:id="1385"/>
    <w:bookmarkEnd w:id="1386"/>
    <w:bookmarkEnd w:id="1387"/>
    <w:bookmarkEnd w:id="1388"/>
    <w:p w14:paraId="4EE8B617">
      <w:pPr>
        <w:spacing w:line="360" w:lineRule="auto"/>
        <w:ind w:firstLine="420" w:firstLineChars="200"/>
        <w:jc w:val="left"/>
        <w:rPr>
          <w:rFonts w:ascii="宋体" w:hAnsi="宋体"/>
          <w:color w:val="auto"/>
          <w:szCs w:val="21"/>
        </w:rPr>
      </w:pPr>
      <w:r>
        <w:rPr>
          <w:rFonts w:hint="eastAsia" w:ascii="宋体" w:hAnsi="宋体"/>
          <w:color w:val="auto"/>
          <w:szCs w:val="21"/>
        </w:rPr>
        <w:t>1.10.2 场外交通</w:t>
      </w:r>
    </w:p>
    <w:p w14:paraId="1BA1D6D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承包人应遵守有关交通法规，执行有关道路限速、限行、禁止超载的规定，并配合交通管理部门的监督和检查。场外交通以施工场地移交时的现状为准。</w:t>
      </w:r>
    </w:p>
    <w:p w14:paraId="0FE3FE58">
      <w:pPr>
        <w:spacing w:line="360" w:lineRule="auto"/>
        <w:ind w:firstLine="420" w:firstLineChars="200"/>
        <w:jc w:val="left"/>
        <w:rPr>
          <w:rFonts w:ascii="宋体" w:hAnsi="宋体"/>
          <w:color w:val="auto"/>
          <w:szCs w:val="21"/>
        </w:rPr>
      </w:pPr>
      <w:r>
        <w:rPr>
          <w:rFonts w:hint="eastAsia" w:ascii="宋体" w:hAnsi="宋体"/>
          <w:color w:val="auto"/>
          <w:szCs w:val="21"/>
        </w:rPr>
        <w:t>1</w:t>
      </w:r>
      <w:bookmarkStart w:id="1389" w:name="_Toc318581156"/>
      <w:bookmarkStart w:id="1390" w:name="_Toc303539101"/>
      <w:bookmarkStart w:id="1391" w:name="_Toc312677987"/>
      <w:bookmarkStart w:id="1392" w:name="_Toc300934944"/>
      <w:bookmarkStart w:id="1393" w:name="_Toc304295522"/>
      <w:r>
        <w:rPr>
          <w:rFonts w:hint="eastAsia" w:ascii="宋体" w:hAnsi="宋体"/>
          <w:color w:val="auto"/>
          <w:szCs w:val="21"/>
        </w:rPr>
        <w:t>.10.3 场内交通</w:t>
      </w:r>
    </w:p>
    <w:p w14:paraId="0267FD2F">
      <w:pPr>
        <w:spacing w:line="360" w:lineRule="auto"/>
        <w:ind w:firstLine="420" w:firstLineChars="200"/>
        <w:jc w:val="left"/>
        <w:rPr>
          <w:rFonts w:ascii="宋体" w:hAnsi="宋体"/>
          <w:color w:val="auto"/>
          <w:szCs w:val="21"/>
          <w:u w:val="single"/>
        </w:rPr>
      </w:pPr>
      <w:r>
        <w:rPr>
          <w:rFonts w:hint="eastAsia" w:ascii="宋体" w:hAnsi="宋体"/>
          <w:color w:val="auto"/>
          <w:kern w:val="0"/>
          <w:szCs w:val="21"/>
        </w:rPr>
        <w:t>关于场外交通和场内交通的边界的约定：</w:t>
      </w:r>
      <w:r>
        <w:rPr>
          <w:rFonts w:hint="eastAsia" w:ascii="宋体" w:hAnsi="宋体"/>
          <w:color w:val="auto"/>
          <w:szCs w:val="21"/>
          <w:u w:val="single"/>
        </w:rPr>
        <w:t>以合同工程用地红线为界，用地红线外为场外交通，用地红线范围内为场内交通（场外道路穿越场内的除外）</w:t>
      </w:r>
      <w:r>
        <w:rPr>
          <w:rFonts w:hint="eastAsia" w:ascii="宋体" w:hAnsi="宋体"/>
          <w:color w:val="auto"/>
          <w:szCs w:val="21"/>
        </w:rPr>
        <w:t>。</w:t>
      </w:r>
    </w:p>
    <w:p w14:paraId="57A42851">
      <w:pPr>
        <w:spacing w:line="360" w:lineRule="auto"/>
        <w:ind w:firstLine="420" w:firstLineChars="200"/>
        <w:jc w:val="left"/>
        <w:rPr>
          <w:rFonts w:ascii="宋体" w:hAnsi="宋体"/>
          <w:color w:val="auto"/>
          <w:szCs w:val="21"/>
        </w:rPr>
      </w:pPr>
      <w:r>
        <w:rPr>
          <w:rFonts w:hint="eastAsia" w:ascii="宋体" w:hAnsi="宋体"/>
          <w:color w:val="auto"/>
          <w:kern w:val="0"/>
          <w:szCs w:val="21"/>
        </w:rPr>
        <w:t>关于发包人向承包人免费提供满足工程施工需要的场内道路和交通设施的约定：</w:t>
      </w:r>
      <w:r>
        <w:rPr>
          <w:rFonts w:hint="eastAsia" w:ascii="宋体" w:hAnsi="宋体"/>
          <w:color w:val="auto"/>
          <w:kern w:val="0"/>
          <w:szCs w:val="21"/>
          <w:u w:val="single"/>
        </w:rPr>
        <w:t>以施工场地移交时的现状为准</w:t>
      </w:r>
      <w:r>
        <w:rPr>
          <w:rFonts w:hint="eastAsia" w:ascii="宋体" w:hAnsi="宋体"/>
          <w:color w:val="auto"/>
          <w:szCs w:val="21"/>
        </w:rPr>
        <w:t>。</w:t>
      </w:r>
    </w:p>
    <w:bookmarkEnd w:id="1389"/>
    <w:bookmarkEnd w:id="1390"/>
    <w:bookmarkEnd w:id="1391"/>
    <w:bookmarkEnd w:id="1392"/>
    <w:bookmarkEnd w:id="1393"/>
    <w:p w14:paraId="195064EC">
      <w:pPr>
        <w:spacing w:line="360" w:lineRule="auto"/>
        <w:ind w:firstLine="420" w:firstLineChars="200"/>
        <w:jc w:val="left"/>
        <w:rPr>
          <w:rFonts w:ascii="宋体" w:hAnsi="宋体"/>
          <w:color w:val="auto"/>
          <w:szCs w:val="21"/>
        </w:rPr>
      </w:pPr>
      <w:bookmarkStart w:id="1394" w:name="_Toc318581157"/>
      <w:r>
        <w:rPr>
          <w:rFonts w:hint="eastAsia" w:ascii="宋体" w:hAnsi="宋体"/>
          <w:color w:val="auto"/>
          <w:szCs w:val="21"/>
        </w:rPr>
        <w:t>1.10.4 超大件和超重件的运输</w:t>
      </w:r>
    </w:p>
    <w:p w14:paraId="6484A5BD">
      <w:pPr>
        <w:spacing w:line="360" w:lineRule="auto"/>
        <w:ind w:firstLine="420" w:firstLineChars="200"/>
        <w:jc w:val="left"/>
        <w:rPr>
          <w:rFonts w:ascii="宋体" w:hAnsi="宋体"/>
          <w:color w:val="auto"/>
          <w:szCs w:val="21"/>
        </w:rPr>
      </w:pPr>
      <w:r>
        <w:rPr>
          <w:rFonts w:hint="eastAsia" w:ascii="宋体" w:hAnsi="宋体"/>
          <w:color w:val="auto"/>
          <w:szCs w:val="21"/>
        </w:rPr>
        <w:t>运输超大件或超重件所需的道路和桥梁临时加固改造费用和其他有关费用由</w:t>
      </w:r>
      <w:r>
        <w:rPr>
          <w:rFonts w:hint="eastAsia" w:ascii="宋体" w:hAnsi="宋体"/>
          <w:color w:val="auto"/>
          <w:szCs w:val="21"/>
          <w:u w:val="single"/>
        </w:rPr>
        <w:t>发包人</w:t>
      </w:r>
      <w:r>
        <w:rPr>
          <w:rFonts w:hint="eastAsia" w:ascii="宋体" w:hAnsi="宋体"/>
          <w:color w:val="auto"/>
          <w:szCs w:val="21"/>
        </w:rPr>
        <w:t>承担。</w:t>
      </w:r>
    </w:p>
    <w:bookmarkEnd w:id="1394"/>
    <w:p w14:paraId="4CF4A5C6">
      <w:pPr>
        <w:pStyle w:val="7"/>
        <w:spacing w:before="0" w:beforeAutospacing="0" w:after="0" w:afterAutospacing="0" w:line="360" w:lineRule="auto"/>
        <w:ind w:firstLine="422" w:firstLineChars="200"/>
        <w:rPr>
          <w:color w:val="auto"/>
          <w:sz w:val="21"/>
          <w:szCs w:val="21"/>
        </w:rPr>
      </w:pPr>
      <w:bookmarkStart w:id="1395" w:name="_Toc532377329"/>
      <w:r>
        <w:rPr>
          <w:rFonts w:hint="eastAsia"/>
          <w:color w:val="auto"/>
          <w:sz w:val="21"/>
          <w:szCs w:val="21"/>
        </w:rPr>
        <w:t>1.11 知识产权</w:t>
      </w:r>
      <w:bookmarkEnd w:id="1395"/>
    </w:p>
    <w:p w14:paraId="2A845145">
      <w:pPr>
        <w:spacing w:line="360" w:lineRule="auto"/>
        <w:ind w:firstLine="420" w:firstLineChars="200"/>
        <w:jc w:val="left"/>
        <w:rPr>
          <w:rFonts w:ascii="宋体" w:hAnsi="宋体"/>
          <w:color w:val="auto"/>
          <w:szCs w:val="21"/>
        </w:rPr>
      </w:pPr>
      <w:r>
        <w:rPr>
          <w:rFonts w:hint="eastAsia" w:ascii="宋体" w:hAnsi="宋体"/>
          <w:color w:val="auto"/>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u w:val="single"/>
        </w:rPr>
        <w:t>属于发包人</w:t>
      </w:r>
      <w:r>
        <w:rPr>
          <w:rFonts w:hint="eastAsia" w:ascii="宋体" w:hAnsi="宋体"/>
          <w:color w:val="auto"/>
          <w:szCs w:val="21"/>
        </w:rPr>
        <w:t>。</w:t>
      </w:r>
    </w:p>
    <w:p w14:paraId="38F64790">
      <w:pPr>
        <w:spacing w:line="360" w:lineRule="auto"/>
        <w:ind w:firstLine="420" w:firstLineChars="200"/>
        <w:jc w:val="left"/>
        <w:rPr>
          <w:rFonts w:ascii="宋体" w:hAnsi="宋体"/>
          <w:color w:val="auto"/>
          <w:szCs w:val="21"/>
        </w:rPr>
      </w:pPr>
      <w:r>
        <w:rPr>
          <w:rFonts w:hint="eastAsia" w:ascii="宋体" w:hAnsi="宋体"/>
          <w:color w:val="auto"/>
          <w:szCs w:val="21"/>
        </w:rPr>
        <w:t>关于发包人提供的上述文件的使用限制的要求：</w:t>
      </w:r>
      <w:r>
        <w:rPr>
          <w:rFonts w:hint="eastAsia" w:ascii="宋体" w:hAnsi="宋体"/>
          <w:color w:val="auto"/>
          <w:szCs w:val="21"/>
          <w:u w:val="single"/>
        </w:rPr>
        <w:t>按通用合同条款执行</w:t>
      </w:r>
      <w:r>
        <w:rPr>
          <w:rFonts w:hint="eastAsia" w:ascii="宋体" w:hAnsi="宋体"/>
          <w:color w:val="auto"/>
          <w:szCs w:val="21"/>
        </w:rPr>
        <w:t>。</w:t>
      </w:r>
    </w:p>
    <w:p w14:paraId="0CE0CA0C">
      <w:pPr>
        <w:spacing w:line="360" w:lineRule="auto"/>
        <w:ind w:firstLine="420" w:firstLineChars="200"/>
        <w:jc w:val="left"/>
        <w:rPr>
          <w:rFonts w:ascii="宋体" w:hAnsi="宋体"/>
          <w:color w:val="auto"/>
          <w:szCs w:val="21"/>
        </w:rPr>
      </w:pPr>
      <w:r>
        <w:rPr>
          <w:rFonts w:hint="eastAsia" w:ascii="宋体" w:hAnsi="宋体"/>
          <w:color w:val="auto"/>
          <w:szCs w:val="21"/>
        </w:rPr>
        <w:t>1.11.4 承包人在施工过程中所采用的专利、专有技术、技术秘密的使用费的承担方式：</w:t>
      </w:r>
      <w:r>
        <w:rPr>
          <w:rFonts w:hint="eastAsia" w:ascii="宋体" w:hAnsi="宋体"/>
          <w:color w:val="auto"/>
          <w:szCs w:val="21"/>
          <w:u w:val="single"/>
        </w:rPr>
        <w:t xml:space="preserve">        </w:t>
      </w:r>
      <w:r>
        <w:rPr>
          <w:rFonts w:hint="eastAsia" w:ascii="宋体" w:hAnsi="宋体"/>
          <w:color w:val="auto"/>
          <w:szCs w:val="21"/>
        </w:rPr>
        <w:t>。</w:t>
      </w:r>
    </w:p>
    <w:p w14:paraId="597F862C">
      <w:pPr>
        <w:pStyle w:val="7"/>
        <w:spacing w:before="0" w:beforeAutospacing="0" w:after="0" w:afterAutospacing="0" w:line="360" w:lineRule="auto"/>
        <w:ind w:firstLine="422" w:firstLineChars="200"/>
        <w:rPr>
          <w:color w:val="auto"/>
          <w:sz w:val="21"/>
          <w:szCs w:val="21"/>
        </w:rPr>
      </w:pPr>
      <w:bookmarkStart w:id="1396" w:name="_Toc532377330"/>
      <w:r>
        <w:rPr>
          <w:rFonts w:hint="eastAsia"/>
          <w:color w:val="auto"/>
          <w:sz w:val="21"/>
          <w:szCs w:val="21"/>
        </w:rPr>
        <w:t>1.13工程量清单错误的修正</w:t>
      </w:r>
      <w:bookmarkEnd w:id="1396"/>
    </w:p>
    <w:p w14:paraId="30F733DB">
      <w:pPr>
        <w:spacing w:line="360" w:lineRule="auto"/>
        <w:ind w:firstLine="420" w:firstLineChars="200"/>
        <w:jc w:val="left"/>
        <w:rPr>
          <w:rFonts w:ascii="宋体" w:hAnsi="宋体"/>
          <w:color w:val="auto"/>
          <w:szCs w:val="21"/>
        </w:rPr>
      </w:pPr>
      <w:r>
        <w:rPr>
          <w:rFonts w:hint="eastAsia" w:ascii="宋体" w:hAnsi="宋体"/>
          <w:color w:val="auto"/>
          <w:szCs w:val="21"/>
        </w:rPr>
        <w:t>出现工程量清单错误时，责任和权利划分：</w:t>
      </w:r>
      <w:r>
        <w:rPr>
          <w:rFonts w:hint="eastAsia" w:ascii="宋体" w:hAnsi="宋体"/>
          <w:color w:val="auto"/>
          <w:szCs w:val="21"/>
          <w:u w:val="single"/>
        </w:rPr>
        <w:t xml:space="preserve">        </w:t>
      </w:r>
      <w:r>
        <w:rPr>
          <w:rFonts w:hint="eastAsia" w:ascii="宋体" w:hAnsi="宋体"/>
          <w:color w:val="auto"/>
          <w:szCs w:val="21"/>
        </w:rPr>
        <w:t>。</w:t>
      </w:r>
    </w:p>
    <w:p w14:paraId="3B2C8CD1">
      <w:pPr>
        <w:spacing w:line="360" w:lineRule="auto"/>
        <w:ind w:firstLine="420" w:firstLineChars="200"/>
        <w:jc w:val="left"/>
        <w:rPr>
          <w:rFonts w:ascii="宋体" w:hAnsi="宋体"/>
          <w:color w:val="auto"/>
          <w:szCs w:val="21"/>
        </w:rPr>
      </w:pPr>
      <w:r>
        <w:rPr>
          <w:rFonts w:hint="eastAsia" w:ascii="宋体" w:hAnsi="宋体"/>
          <w:color w:val="auto"/>
          <w:szCs w:val="21"/>
        </w:rPr>
        <w:t>出现工程量清单错误时，是否调整合同价格：</w:t>
      </w:r>
      <w:r>
        <w:rPr>
          <w:rFonts w:hint="eastAsia" w:ascii="宋体" w:hAnsi="宋体"/>
          <w:color w:val="auto"/>
          <w:szCs w:val="21"/>
          <w:u w:val="single"/>
        </w:rPr>
        <w:t xml:space="preserve">        </w:t>
      </w:r>
      <w:r>
        <w:rPr>
          <w:rFonts w:hint="eastAsia" w:ascii="宋体" w:hAnsi="宋体"/>
          <w:color w:val="auto"/>
          <w:kern w:val="0"/>
          <w:szCs w:val="21"/>
        </w:rPr>
        <w:t>。</w:t>
      </w:r>
    </w:p>
    <w:p w14:paraId="0F047F23">
      <w:pPr>
        <w:spacing w:line="360" w:lineRule="auto"/>
        <w:ind w:firstLine="420" w:firstLineChars="200"/>
        <w:jc w:val="left"/>
        <w:rPr>
          <w:rFonts w:ascii="宋体" w:hAnsi="宋体"/>
          <w:color w:val="auto"/>
          <w:szCs w:val="21"/>
        </w:rPr>
      </w:pPr>
      <w:r>
        <w:rPr>
          <w:rFonts w:hint="eastAsia" w:ascii="宋体" w:hAnsi="宋体"/>
          <w:color w:val="auto"/>
          <w:szCs w:val="21"/>
        </w:rPr>
        <w:t>允许调整合同价格的工程量偏差范围：</w:t>
      </w:r>
      <w:r>
        <w:rPr>
          <w:rFonts w:hint="eastAsia" w:ascii="宋体" w:hAnsi="宋体"/>
          <w:color w:val="auto"/>
          <w:szCs w:val="21"/>
          <w:u w:val="single"/>
        </w:rPr>
        <w:t xml:space="preserve">        </w:t>
      </w:r>
      <w:r>
        <w:rPr>
          <w:rFonts w:hint="eastAsia" w:ascii="宋体" w:hAnsi="宋体"/>
          <w:color w:val="auto"/>
          <w:szCs w:val="21"/>
        </w:rPr>
        <w:t>。</w:t>
      </w:r>
    </w:p>
    <w:p w14:paraId="25857AB8">
      <w:pPr>
        <w:pStyle w:val="6"/>
        <w:keepNext/>
        <w:keepLines/>
        <w:spacing w:beforeLines="50" w:beforeAutospacing="0" w:afterLines="50" w:afterAutospacing="0" w:line="360" w:lineRule="auto"/>
        <w:jc w:val="both"/>
        <w:rPr>
          <w:bCs w:val="0"/>
          <w:color w:val="auto"/>
          <w:kern w:val="2"/>
          <w:sz w:val="21"/>
          <w:szCs w:val="21"/>
        </w:rPr>
      </w:pPr>
      <w:bookmarkStart w:id="1397" w:name="_Toc532375609"/>
      <w:bookmarkStart w:id="1398" w:name="_Toc351203634"/>
      <w:bookmarkStart w:id="1399" w:name="_Toc532377331"/>
      <w:r>
        <w:rPr>
          <w:rFonts w:hint="eastAsia"/>
          <w:color w:val="auto"/>
          <w:kern w:val="2"/>
          <w:sz w:val="21"/>
          <w:szCs w:val="21"/>
        </w:rPr>
        <w:t>2</w:t>
      </w:r>
      <w:bookmarkStart w:id="1400" w:name="_Toc296890985"/>
      <w:bookmarkStart w:id="1401" w:name="_Toc296891197"/>
      <w:bookmarkStart w:id="1402" w:name="_Toc297048343"/>
      <w:bookmarkStart w:id="1403" w:name="_Toc297120457"/>
      <w:bookmarkStart w:id="1404" w:name="_Toc296347156"/>
      <w:bookmarkStart w:id="1405" w:name="_Toc292559362"/>
      <w:bookmarkStart w:id="1406" w:name="_Toc292559867"/>
      <w:bookmarkStart w:id="1407" w:name="_Toc296346658"/>
      <w:bookmarkStart w:id="1408" w:name="_Toc296503157"/>
      <w:bookmarkStart w:id="1409" w:name="_Toc296944496"/>
      <w:r>
        <w:rPr>
          <w:rFonts w:hint="eastAsia"/>
          <w:color w:val="auto"/>
          <w:kern w:val="2"/>
          <w:sz w:val="21"/>
          <w:szCs w:val="21"/>
        </w:rPr>
        <w:t>. 发包人</w:t>
      </w:r>
      <w:bookmarkEnd w:id="1397"/>
      <w:bookmarkEnd w:id="1398"/>
      <w:bookmarkEnd w:id="1399"/>
    </w:p>
    <w:bookmarkEnd w:id="1400"/>
    <w:bookmarkEnd w:id="1401"/>
    <w:bookmarkEnd w:id="1402"/>
    <w:bookmarkEnd w:id="1403"/>
    <w:bookmarkEnd w:id="1404"/>
    <w:bookmarkEnd w:id="1405"/>
    <w:bookmarkEnd w:id="1406"/>
    <w:bookmarkEnd w:id="1407"/>
    <w:bookmarkEnd w:id="1408"/>
    <w:bookmarkEnd w:id="1409"/>
    <w:p w14:paraId="41A94954">
      <w:pPr>
        <w:spacing w:line="360" w:lineRule="auto"/>
        <w:ind w:firstLine="420" w:firstLineChars="200"/>
        <w:jc w:val="left"/>
        <w:rPr>
          <w:rFonts w:ascii="宋体" w:hAnsi="宋体"/>
          <w:color w:val="auto"/>
          <w:szCs w:val="21"/>
        </w:rPr>
      </w:pPr>
      <w:r>
        <w:rPr>
          <w:rFonts w:hint="eastAsia" w:ascii="宋体" w:hAnsi="宋体"/>
          <w:color w:val="auto"/>
          <w:szCs w:val="21"/>
        </w:rPr>
        <w:t>2.1许可或批准</w:t>
      </w:r>
    </w:p>
    <w:p w14:paraId="452710A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施工所需临时用水、临时用电、中断道路交通、临时占道的许可或批准由承包人负责办理。</w:t>
      </w:r>
    </w:p>
    <w:p w14:paraId="4E115FDA">
      <w:pPr>
        <w:spacing w:line="360" w:lineRule="auto"/>
        <w:ind w:firstLine="420" w:firstLineChars="200"/>
        <w:jc w:val="left"/>
        <w:rPr>
          <w:rFonts w:ascii="宋体" w:hAnsi="宋体"/>
          <w:color w:val="auto"/>
          <w:szCs w:val="21"/>
        </w:rPr>
      </w:pPr>
      <w:r>
        <w:rPr>
          <w:rFonts w:hint="eastAsia" w:ascii="宋体" w:hAnsi="宋体"/>
          <w:color w:val="auto"/>
          <w:szCs w:val="21"/>
        </w:rPr>
        <w:t>2.2 发包人代表</w:t>
      </w:r>
    </w:p>
    <w:p w14:paraId="20F06BD6">
      <w:pPr>
        <w:spacing w:line="360" w:lineRule="auto"/>
        <w:ind w:firstLine="420" w:firstLineChars="200"/>
        <w:jc w:val="left"/>
        <w:rPr>
          <w:rFonts w:ascii="宋体" w:hAnsi="宋体"/>
          <w:color w:val="auto"/>
          <w:szCs w:val="21"/>
        </w:rPr>
      </w:pPr>
      <w:r>
        <w:rPr>
          <w:rFonts w:hint="eastAsia" w:ascii="宋体" w:hAnsi="宋体"/>
          <w:color w:val="auto"/>
          <w:szCs w:val="21"/>
        </w:rPr>
        <w:t>发包人代表：</w:t>
      </w:r>
    </w:p>
    <w:p w14:paraId="24304CDF">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hint="eastAsia" w:ascii="宋体" w:hAnsi="宋体"/>
          <w:color w:val="auto"/>
          <w:szCs w:val="21"/>
          <w:u w:val="single"/>
        </w:rPr>
        <w:t xml:space="preserve">               </w:t>
      </w:r>
      <w:r>
        <w:rPr>
          <w:rFonts w:hint="eastAsia" w:ascii="宋体" w:hAnsi="宋体"/>
          <w:color w:val="auto"/>
          <w:szCs w:val="21"/>
        </w:rPr>
        <w:t>；</w:t>
      </w:r>
    </w:p>
    <w:p w14:paraId="79279804">
      <w:pPr>
        <w:spacing w:line="360" w:lineRule="auto"/>
        <w:ind w:firstLine="420" w:firstLineChars="200"/>
        <w:jc w:val="left"/>
        <w:rPr>
          <w:rFonts w:ascii="宋体" w:hAnsi="宋体"/>
          <w:color w:val="auto"/>
          <w:szCs w:val="21"/>
        </w:rPr>
      </w:pPr>
      <w:r>
        <w:rPr>
          <w:rFonts w:hint="eastAsia" w:ascii="宋体" w:hAnsi="宋体"/>
          <w:color w:val="auto"/>
          <w:szCs w:val="21"/>
        </w:rPr>
        <w:t>联系电话：</w:t>
      </w:r>
      <w:r>
        <w:rPr>
          <w:rFonts w:hint="eastAsia" w:ascii="宋体" w:hAnsi="宋体"/>
          <w:color w:val="auto"/>
          <w:szCs w:val="21"/>
          <w:u w:val="single"/>
        </w:rPr>
        <w:t xml:space="preserve">               </w:t>
      </w:r>
      <w:r>
        <w:rPr>
          <w:rFonts w:hint="eastAsia" w:ascii="宋体" w:hAnsi="宋体"/>
          <w:color w:val="auto"/>
          <w:szCs w:val="21"/>
        </w:rPr>
        <w:t>；</w:t>
      </w:r>
    </w:p>
    <w:p w14:paraId="508B2786">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发包人对发包人代表的授权范围如下：依照发包人相关管理办法包括但不限于</w:t>
      </w:r>
      <w:r>
        <w:rPr>
          <w:rFonts w:hint="eastAsia" w:ascii="宋体" w:hAnsi="宋体"/>
          <w:color w:val="auto"/>
          <w:szCs w:val="21"/>
          <w:u w:val="single"/>
        </w:rPr>
        <w:t>工程质量、安全、进度、投资控制，与各方进行联络、协调，召集会议；解决工程中出现的问题；工程资料管理；执行权利范围内的签证权等。</w:t>
      </w:r>
    </w:p>
    <w:p w14:paraId="182CEADD">
      <w:pPr>
        <w:spacing w:line="360" w:lineRule="auto"/>
        <w:ind w:firstLine="420" w:firstLineChars="200"/>
        <w:jc w:val="left"/>
        <w:rPr>
          <w:rFonts w:ascii="宋体" w:hAnsi="宋体"/>
          <w:color w:val="auto"/>
          <w:szCs w:val="21"/>
        </w:rPr>
      </w:pPr>
      <w:r>
        <w:rPr>
          <w:rFonts w:hint="eastAsia" w:ascii="宋体" w:hAnsi="宋体"/>
          <w:color w:val="auto"/>
          <w:szCs w:val="21"/>
        </w:rPr>
        <w:t>2.4 施工现场、施工条件和基础资料的提供</w:t>
      </w:r>
    </w:p>
    <w:p w14:paraId="4B15B2A5">
      <w:pPr>
        <w:spacing w:line="360" w:lineRule="auto"/>
        <w:ind w:firstLine="420" w:firstLineChars="200"/>
        <w:jc w:val="left"/>
        <w:rPr>
          <w:rFonts w:ascii="宋体" w:hAnsi="宋体"/>
          <w:color w:val="auto"/>
          <w:szCs w:val="21"/>
        </w:rPr>
      </w:pPr>
      <w:r>
        <w:rPr>
          <w:rFonts w:hint="eastAsia" w:ascii="宋体" w:hAnsi="宋体"/>
          <w:color w:val="auto"/>
          <w:szCs w:val="21"/>
        </w:rPr>
        <w:t>2.4.1 提供施工现场</w:t>
      </w:r>
    </w:p>
    <w:p w14:paraId="5DC438D1">
      <w:pPr>
        <w:spacing w:line="360" w:lineRule="auto"/>
        <w:ind w:firstLine="420" w:firstLineChars="200"/>
        <w:jc w:val="left"/>
        <w:rPr>
          <w:rFonts w:ascii="宋体" w:hAnsi="宋体"/>
          <w:color w:val="auto"/>
          <w:szCs w:val="21"/>
        </w:rPr>
      </w:pPr>
      <w:r>
        <w:rPr>
          <w:rFonts w:hint="eastAsia" w:ascii="宋体" w:hAnsi="宋体"/>
          <w:color w:val="auto"/>
          <w:szCs w:val="21"/>
        </w:rPr>
        <w:t>关于发包人移交施工现场的期限要求：</w:t>
      </w:r>
      <w:r>
        <w:rPr>
          <w:rFonts w:hint="eastAsia" w:ascii="宋体" w:hAnsi="宋体"/>
          <w:color w:val="auto"/>
          <w:szCs w:val="21"/>
          <w:u w:val="single"/>
        </w:rPr>
        <w:t xml:space="preserve">  按通用合同条款执行  </w:t>
      </w:r>
      <w:r>
        <w:rPr>
          <w:rFonts w:hint="eastAsia" w:ascii="宋体" w:hAnsi="宋体"/>
          <w:color w:val="auto"/>
          <w:szCs w:val="21"/>
        </w:rPr>
        <w:t>。</w:t>
      </w:r>
    </w:p>
    <w:p w14:paraId="5EF66EC1">
      <w:pPr>
        <w:spacing w:line="360" w:lineRule="auto"/>
        <w:ind w:firstLine="420" w:firstLineChars="200"/>
        <w:jc w:val="left"/>
        <w:rPr>
          <w:rFonts w:ascii="宋体" w:hAnsi="宋体"/>
          <w:color w:val="auto"/>
          <w:szCs w:val="21"/>
        </w:rPr>
      </w:pPr>
      <w:r>
        <w:rPr>
          <w:rFonts w:hint="eastAsia" w:ascii="宋体" w:hAnsi="宋体"/>
          <w:color w:val="auto"/>
          <w:szCs w:val="21"/>
        </w:rPr>
        <w:t>发包人场地移交后，若承包人在移交当日未提出异议，视为接受场地现状；</w:t>
      </w:r>
    </w:p>
    <w:p w14:paraId="75BCFCBE">
      <w:pPr>
        <w:spacing w:line="360" w:lineRule="auto"/>
        <w:ind w:firstLine="420" w:firstLineChars="200"/>
        <w:jc w:val="left"/>
        <w:rPr>
          <w:rFonts w:ascii="宋体" w:hAnsi="宋体"/>
          <w:color w:val="auto"/>
          <w:szCs w:val="21"/>
        </w:rPr>
      </w:pPr>
      <w:r>
        <w:rPr>
          <w:rFonts w:hint="eastAsia" w:ascii="宋体" w:hAnsi="宋体"/>
          <w:color w:val="auto"/>
          <w:szCs w:val="21"/>
        </w:rPr>
        <w:t>2.4.2 提供施工条件</w:t>
      </w:r>
    </w:p>
    <w:p w14:paraId="235580B3">
      <w:pPr>
        <w:spacing w:line="360" w:lineRule="auto"/>
        <w:ind w:firstLine="420" w:firstLineChars="200"/>
        <w:jc w:val="left"/>
        <w:rPr>
          <w:rFonts w:ascii="宋体" w:hAnsi="宋体"/>
          <w:color w:val="auto"/>
          <w:szCs w:val="21"/>
        </w:rPr>
      </w:pPr>
      <w:r>
        <w:rPr>
          <w:rFonts w:hint="eastAsia" w:ascii="宋体" w:hAnsi="宋体"/>
          <w:color w:val="auto"/>
          <w:szCs w:val="21"/>
        </w:rPr>
        <w:t>关于发包人应负责提供施工所需要的条件，包括：</w:t>
      </w:r>
    </w:p>
    <w:p w14:paraId="540B687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负责征地拆迁工作，居民与单位的动迁安置，旧房拆除、补偿，负责根据工程建设需要及时提供工程用地(含临时用地)和取、弃土用地；负责协助承包人处理项目建设期涉及的各有关方面与建设施工中发生的各类矛盾，协调政府及地方各方面的关系；</w:t>
      </w:r>
    </w:p>
    <w:p w14:paraId="7766C42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（2）负责该项目的勘测设计和项目报批工作，在项目开工前完成项目的相关批准文件；</w:t>
      </w:r>
    </w:p>
    <w:p w14:paraId="37A08AD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（3）协助承包人办理施工所需临时用水、临时用电，由承包人负责接入施工现场并承担施工所需水、电及通迅费用；</w:t>
      </w:r>
    </w:p>
    <w:p w14:paraId="55B6E44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（4）向承包人提供施工场地工程地勘和地下管线资料，但不保证与现场完全吻合，承包方有义务对现场进行踏勘；</w:t>
      </w:r>
    </w:p>
    <w:p w14:paraId="147D257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（5）确定水准点与坐标控制点，以书面形式交给承包方，进行现场交验；</w:t>
      </w:r>
    </w:p>
    <w:p w14:paraId="76415F5C">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（6）协助承包人办理施工许可证及其他施工所需的交通、环保、环卫、噪音等证件及手续；</w:t>
      </w:r>
    </w:p>
    <w:p w14:paraId="4A15FAB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（7）施工场地周围地下管线和邻近建筑物、构筑物(含文物保护建筑)、古树名木的保护工作由承包人负责保护和承担相应费用。</w:t>
      </w:r>
    </w:p>
    <w:p w14:paraId="3FA8FFD4">
      <w:pPr>
        <w:spacing w:line="360" w:lineRule="auto"/>
        <w:ind w:firstLine="420" w:firstLineChars="200"/>
        <w:jc w:val="left"/>
        <w:rPr>
          <w:rFonts w:ascii="宋体" w:hAnsi="宋体"/>
          <w:color w:val="auto"/>
          <w:szCs w:val="21"/>
        </w:rPr>
      </w:pPr>
      <w:r>
        <w:rPr>
          <w:rFonts w:hint="eastAsia" w:ascii="宋体" w:hAnsi="宋体"/>
          <w:color w:val="auto"/>
          <w:szCs w:val="21"/>
        </w:rPr>
        <w:t>2.4.5 发包人的其它权利和义务</w:t>
      </w:r>
    </w:p>
    <w:p w14:paraId="5C4B03A1">
      <w:pPr>
        <w:spacing w:line="360" w:lineRule="auto"/>
        <w:ind w:firstLine="420" w:firstLineChars="200"/>
        <w:jc w:val="left"/>
        <w:rPr>
          <w:rFonts w:ascii="宋体" w:hAnsi="宋体"/>
          <w:color w:val="auto"/>
          <w:szCs w:val="21"/>
          <w:u w:val="single"/>
        </w:rPr>
      </w:pPr>
      <w:r>
        <w:rPr>
          <w:rFonts w:hint="eastAsia" w:ascii="宋体" w:hAnsi="宋体"/>
          <w:color w:val="auto"/>
          <w:szCs w:val="21"/>
        </w:rPr>
        <w:t xml:space="preserve">    </w:t>
      </w:r>
      <w:r>
        <w:rPr>
          <w:rFonts w:hint="eastAsia" w:ascii="宋体" w:hAnsi="宋体"/>
          <w:color w:val="auto"/>
          <w:szCs w:val="21"/>
          <w:u w:val="single"/>
        </w:rPr>
        <w:t>（1）负责组织施工图审查；负责组织设计单位向承包人进行施工图技术交底；负责审批设计变更；</w:t>
      </w:r>
    </w:p>
    <w:p w14:paraId="751B1A1A">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（2）负责审核承包人报送的施工组织设计，审查承包人专项施工方案并督促实施；</w:t>
      </w:r>
    </w:p>
    <w:p w14:paraId="4817848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（3）负责质量管理和质量监督工作，有权对本项目的施工进行监督和检测，负责选定监理单位。关于监理单位及监理工程师的工作职责,按监理合同约定为准；</w:t>
      </w:r>
    </w:p>
    <w:p w14:paraId="00BB1E2D">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（4）负责审查项目开工报告，审批分项工程开工报告，督促承包人按照项目总体实施计划组织施工；</w:t>
      </w:r>
    </w:p>
    <w:p w14:paraId="71A39AB4">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（5）审定工程进度计划，并监督承包方按批准的建设进度计划实施；</w:t>
      </w:r>
    </w:p>
    <w:p w14:paraId="07581C8B">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（6）有权对设计进行变更或优化，对变更设计及其费用的调整有审核确认权；</w:t>
      </w:r>
    </w:p>
    <w:p w14:paraId="7F651819">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（7）负责实施过程中涉及的工程计量、工程计价、设计变更、工程造价增减的确认和审批工作；</w:t>
      </w:r>
    </w:p>
    <w:p w14:paraId="02FE613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（8）发包人或发包人委托的机构有权按工程进度要求检查、监督本工程进度情况及发包人资金使用情况，定期或不定期检查本工程质量、安全、进度及文明施工；</w:t>
      </w:r>
    </w:p>
    <w:p w14:paraId="7A35A94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(9)有权委托有资质的审计机构对项目建设进行全过程跟踪审计监督；</w:t>
      </w:r>
    </w:p>
    <w:p w14:paraId="2CBF87D2">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(10)按照住房和城乡建设部及重庆市地方现行建设工程交、竣（完）工验收相关规定负责组织移交、竣（完）工验收；</w:t>
      </w:r>
    </w:p>
    <w:p w14:paraId="2784536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(11)负责工程质量保修期到期后的验收工作；</w:t>
      </w:r>
    </w:p>
    <w:p w14:paraId="2F0E13C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(12)督促设计单位及时解决设计缺陷或设计与实际不符等问题。</w:t>
      </w:r>
    </w:p>
    <w:p w14:paraId="3CD5B8C5">
      <w:pPr>
        <w:pStyle w:val="6"/>
        <w:keepNext/>
        <w:keepLines/>
        <w:spacing w:beforeLines="50" w:beforeAutospacing="0" w:afterLines="50" w:afterAutospacing="0" w:line="360" w:lineRule="auto"/>
        <w:jc w:val="both"/>
        <w:rPr>
          <w:bCs w:val="0"/>
          <w:color w:val="auto"/>
          <w:kern w:val="2"/>
          <w:sz w:val="21"/>
          <w:szCs w:val="21"/>
        </w:rPr>
      </w:pPr>
      <w:bookmarkStart w:id="1410" w:name="_Toc532377334"/>
      <w:bookmarkStart w:id="1411" w:name="_Toc351203635"/>
      <w:bookmarkStart w:id="1412" w:name="_Toc532375610"/>
      <w:r>
        <w:rPr>
          <w:rFonts w:hint="eastAsia"/>
          <w:color w:val="auto"/>
          <w:kern w:val="2"/>
          <w:sz w:val="21"/>
          <w:szCs w:val="21"/>
        </w:rPr>
        <w:t>3</w:t>
      </w:r>
      <w:bookmarkStart w:id="1413" w:name="_Toc296503158"/>
      <w:bookmarkStart w:id="1414" w:name="_Toc296890986"/>
      <w:bookmarkStart w:id="1415" w:name="_Toc297048344"/>
      <w:bookmarkStart w:id="1416" w:name="_Toc296347157"/>
      <w:bookmarkStart w:id="1417" w:name="_Toc296346659"/>
      <w:bookmarkStart w:id="1418" w:name="_Toc292559363"/>
      <w:bookmarkStart w:id="1419" w:name="_Toc292559868"/>
      <w:bookmarkStart w:id="1420" w:name="_Toc296891198"/>
      <w:bookmarkStart w:id="1421" w:name="_Toc297120458"/>
      <w:bookmarkStart w:id="1422" w:name="_Toc296944497"/>
      <w:r>
        <w:rPr>
          <w:rFonts w:hint="eastAsia"/>
          <w:color w:val="auto"/>
          <w:kern w:val="2"/>
          <w:sz w:val="21"/>
          <w:szCs w:val="21"/>
        </w:rPr>
        <w:t>. 承包人</w:t>
      </w:r>
      <w:bookmarkEnd w:id="1410"/>
      <w:bookmarkEnd w:id="1411"/>
      <w:bookmarkEnd w:id="1412"/>
    </w:p>
    <w:bookmarkEnd w:id="1413"/>
    <w:bookmarkEnd w:id="1414"/>
    <w:bookmarkEnd w:id="1415"/>
    <w:bookmarkEnd w:id="1416"/>
    <w:bookmarkEnd w:id="1417"/>
    <w:bookmarkEnd w:id="1418"/>
    <w:bookmarkEnd w:id="1419"/>
    <w:bookmarkEnd w:id="1420"/>
    <w:bookmarkEnd w:id="1421"/>
    <w:bookmarkEnd w:id="1422"/>
    <w:p w14:paraId="6953CABB">
      <w:pPr>
        <w:pStyle w:val="7"/>
        <w:spacing w:before="0" w:beforeAutospacing="0" w:after="0" w:afterAutospacing="0" w:line="360" w:lineRule="auto"/>
        <w:ind w:firstLine="422" w:firstLineChars="200"/>
        <w:rPr>
          <w:color w:val="auto"/>
          <w:sz w:val="21"/>
          <w:szCs w:val="21"/>
        </w:rPr>
      </w:pPr>
      <w:bookmarkStart w:id="1423" w:name="_Toc532377335"/>
      <w:r>
        <w:rPr>
          <w:rFonts w:hint="eastAsia"/>
          <w:color w:val="auto"/>
          <w:sz w:val="21"/>
          <w:szCs w:val="21"/>
        </w:rPr>
        <w:t>3.1 承包人的一般义务</w:t>
      </w:r>
      <w:bookmarkEnd w:id="1423"/>
    </w:p>
    <w:p w14:paraId="43B7D247">
      <w:pPr>
        <w:spacing w:line="360" w:lineRule="auto"/>
        <w:ind w:firstLine="420" w:firstLineChars="200"/>
        <w:jc w:val="left"/>
        <w:rPr>
          <w:rFonts w:ascii="宋体" w:hAnsi="宋体"/>
          <w:color w:val="auto"/>
          <w:szCs w:val="21"/>
        </w:rPr>
      </w:pPr>
      <w:r>
        <w:rPr>
          <w:rFonts w:hint="eastAsia" w:ascii="宋体" w:hAnsi="宋体"/>
          <w:color w:val="auto"/>
          <w:szCs w:val="21"/>
        </w:rPr>
        <w:t>本款细化为3.1.1～3.1.10项：</w:t>
      </w:r>
    </w:p>
    <w:p w14:paraId="22F36822">
      <w:pPr>
        <w:spacing w:line="360" w:lineRule="auto"/>
        <w:ind w:firstLine="420" w:firstLineChars="200"/>
        <w:jc w:val="left"/>
        <w:rPr>
          <w:rFonts w:ascii="宋体" w:hAnsi="宋体"/>
          <w:color w:val="auto"/>
          <w:szCs w:val="21"/>
        </w:rPr>
      </w:pPr>
      <w:r>
        <w:rPr>
          <w:rFonts w:hint="eastAsia" w:ascii="宋体" w:hAnsi="宋体"/>
          <w:color w:val="auto"/>
          <w:szCs w:val="21"/>
        </w:rPr>
        <w:t>3.1.1办理法律规定和合同约定应由承包人办理的许可和批准，并将办理结果书面报送发包人留存；协助发包人办理施工所需的工程质量监督、安全监督、施工许可证等相关证件及手续。</w:t>
      </w:r>
    </w:p>
    <w:p w14:paraId="3C95D07E">
      <w:pPr>
        <w:spacing w:line="360" w:lineRule="auto"/>
        <w:ind w:firstLine="420" w:firstLineChars="200"/>
        <w:jc w:val="left"/>
        <w:rPr>
          <w:rFonts w:ascii="宋体" w:hAnsi="宋体"/>
          <w:color w:val="auto"/>
          <w:szCs w:val="21"/>
        </w:rPr>
      </w:pPr>
      <w:r>
        <w:rPr>
          <w:rFonts w:hint="eastAsia" w:ascii="宋体" w:hAnsi="宋体"/>
          <w:color w:val="auto"/>
          <w:szCs w:val="21"/>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75D63574">
      <w:pPr>
        <w:spacing w:line="360" w:lineRule="auto"/>
        <w:ind w:firstLine="420" w:firstLineChars="200"/>
        <w:jc w:val="left"/>
        <w:rPr>
          <w:rFonts w:ascii="宋体" w:hAnsi="宋体"/>
          <w:color w:val="auto"/>
          <w:szCs w:val="21"/>
        </w:rPr>
      </w:pPr>
      <w:r>
        <w:rPr>
          <w:rFonts w:hint="eastAsia" w:ascii="宋体" w:hAnsi="宋体"/>
          <w:color w:val="auto"/>
          <w:szCs w:val="21"/>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76BE607A">
      <w:pPr>
        <w:spacing w:line="360" w:lineRule="auto"/>
        <w:ind w:firstLine="420" w:firstLineChars="200"/>
        <w:jc w:val="left"/>
        <w:rPr>
          <w:rFonts w:ascii="宋体" w:hAnsi="宋体"/>
          <w:color w:val="auto"/>
          <w:szCs w:val="21"/>
        </w:rPr>
      </w:pPr>
      <w:r>
        <w:rPr>
          <w:rFonts w:hint="eastAsia" w:ascii="宋体" w:hAnsi="宋体"/>
          <w:color w:val="auto"/>
          <w:szCs w:val="21"/>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281F80FE">
      <w:pPr>
        <w:spacing w:line="360" w:lineRule="auto"/>
        <w:ind w:firstLine="420" w:firstLineChars="200"/>
        <w:jc w:val="left"/>
        <w:rPr>
          <w:rFonts w:ascii="宋体" w:hAnsi="宋体"/>
          <w:color w:val="auto"/>
          <w:szCs w:val="21"/>
        </w:rPr>
      </w:pPr>
      <w:r>
        <w:rPr>
          <w:rFonts w:hint="eastAsia" w:ascii="宋体" w:hAnsi="宋体"/>
          <w:color w:val="auto"/>
          <w:szCs w:val="21"/>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A25E28D">
      <w:pPr>
        <w:spacing w:line="360" w:lineRule="auto"/>
        <w:ind w:firstLine="420" w:firstLineChars="200"/>
        <w:jc w:val="left"/>
        <w:rPr>
          <w:rFonts w:ascii="宋体" w:hAnsi="宋体"/>
          <w:color w:val="auto"/>
          <w:szCs w:val="21"/>
        </w:rPr>
      </w:pPr>
      <w:r>
        <w:rPr>
          <w:rFonts w:hint="eastAsia" w:ascii="宋体" w:hAnsi="宋体"/>
          <w:color w:val="auto"/>
          <w:szCs w:val="21"/>
        </w:rPr>
        <w:t>3.1.6按照第6.3款〔环境保护〕约定负责施工场地及其周边环境与生态的保护工作。</w:t>
      </w:r>
    </w:p>
    <w:p w14:paraId="42021116">
      <w:pPr>
        <w:spacing w:line="360" w:lineRule="auto"/>
        <w:ind w:firstLine="420" w:firstLineChars="200"/>
        <w:jc w:val="left"/>
        <w:rPr>
          <w:rFonts w:ascii="宋体" w:hAnsi="宋体"/>
          <w:color w:val="auto"/>
          <w:szCs w:val="21"/>
        </w:rPr>
      </w:pPr>
      <w:r>
        <w:rPr>
          <w:rFonts w:hint="eastAsia" w:ascii="宋体" w:hAnsi="宋体"/>
          <w:color w:val="auto"/>
          <w:szCs w:val="21"/>
        </w:rPr>
        <w:t>3.1.7按照第6.1款〔安全文明施工〕约定采取施工安全措施，确保工程及其人员、材料、设备和设施的安全，防止因工程施工造成的人身伤害和财产损失。</w:t>
      </w:r>
    </w:p>
    <w:p w14:paraId="0A5DAE41">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3.1.8将发包人按合同约定支付的各项价款专用于合同工程，且应及时支付其雇用人员工资，并及时向分包人支付合同价款。</w:t>
      </w:r>
    </w:p>
    <w:p w14:paraId="6C47AF74">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3.1.9承包人提交的竣工资料的内容：</w:t>
      </w:r>
      <w:r>
        <w:rPr>
          <w:rFonts w:hint="eastAsia" w:ascii="宋体" w:hAnsi="宋体"/>
          <w:color w:val="auto"/>
          <w:szCs w:val="21"/>
          <w:u w:val="single"/>
        </w:rPr>
        <w:t>工程施工技术资料、工程质量保证资料、工程检验评定资料、竣工图及其他应交资料，应符合《建设工程文件归档整理规范》（GB/T50328-2014）和重庆市有关文件规定</w:t>
      </w:r>
      <w:r>
        <w:rPr>
          <w:rFonts w:hint="eastAsia" w:ascii="宋体" w:hAnsi="宋体"/>
          <w:color w:val="auto"/>
          <w:szCs w:val="21"/>
        </w:rPr>
        <w:t>。</w:t>
      </w:r>
    </w:p>
    <w:p w14:paraId="5BA9B810">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承包人需要提交的竣工资料套数：完整竣工资料一式</w:t>
      </w:r>
      <w:r>
        <w:rPr>
          <w:rFonts w:hint="eastAsia" w:ascii="宋体" w:hAnsi="宋体"/>
          <w:color w:val="auto"/>
          <w:szCs w:val="21"/>
          <w:u w:val="single"/>
        </w:rPr>
        <w:t xml:space="preserve">  3  </w:t>
      </w:r>
      <w:r>
        <w:rPr>
          <w:rFonts w:hint="eastAsia" w:ascii="宋体" w:hAnsi="宋体"/>
          <w:color w:val="auto"/>
          <w:szCs w:val="21"/>
        </w:rPr>
        <w:t>套（含电子文档）。</w:t>
      </w:r>
    </w:p>
    <w:p w14:paraId="5C3A3002">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承包人提交的竣工资料的费用承担：</w:t>
      </w:r>
      <w:r>
        <w:rPr>
          <w:rFonts w:hint="eastAsia" w:ascii="宋体" w:hAnsi="宋体"/>
          <w:color w:val="auto"/>
          <w:szCs w:val="21"/>
          <w:u w:val="single"/>
        </w:rPr>
        <w:t>由承包人承担</w:t>
      </w:r>
      <w:r>
        <w:rPr>
          <w:rFonts w:hint="eastAsia" w:ascii="宋体" w:hAnsi="宋体"/>
          <w:color w:val="auto"/>
          <w:szCs w:val="21"/>
        </w:rPr>
        <w:t>。</w:t>
      </w:r>
    </w:p>
    <w:p w14:paraId="04E547EE">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承包人提交的竣工资料移交时间：</w:t>
      </w:r>
      <w:r>
        <w:rPr>
          <w:rFonts w:hint="eastAsia" w:ascii="宋体" w:hAnsi="宋体"/>
          <w:color w:val="auto"/>
          <w:szCs w:val="21"/>
          <w:u w:val="single"/>
          <w:lang w:eastAsia="zh-CN"/>
        </w:rPr>
        <w:t>每期</w:t>
      </w:r>
      <w:r>
        <w:rPr>
          <w:rFonts w:hint="eastAsia" w:ascii="宋体" w:hAnsi="宋体"/>
          <w:color w:val="auto"/>
          <w:szCs w:val="21"/>
          <w:u w:val="single"/>
        </w:rPr>
        <w:t>工程竣工验收合格后 1 个月内移交给发包人</w:t>
      </w:r>
      <w:r>
        <w:rPr>
          <w:rFonts w:hint="eastAsia" w:ascii="宋体" w:hAnsi="宋体"/>
          <w:color w:val="auto"/>
          <w:szCs w:val="21"/>
        </w:rPr>
        <w:t>。</w:t>
      </w:r>
    </w:p>
    <w:p w14:paraId="041FA60A">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承包人提交的竣工资料形式要求：</w:t>
      </w:r>
      <w:r>
        <w:rPr>
          <w:rFonts w:hint="eastAsia" w:ascii="宋体" w:hAnsi="宋体"/>
          <w:color w:val="auto"/>
          <w:szCs w:val="21"/>
          <w:u w:val="single"/>
        </w:rPr>
        <w:t>完整的书面文件及电子文档</w:t>
      </w:r>
      <w:r>
        <w:rPr>
          <w:rFonts w:hint="eastAsia" w:ascii="宋体" w:hAnsi="宋体"/>
          <w:color w:val="auto"/>
          <w:szCs w:val="21"/>
        </w:rPr>
        <w:t>。</w:t>
      </w:r>
    </w:p>
    <w:p w14:paraId="0C3F3D4D">
      <w:pPr>
        <w:spacing w:line="360" w:lineRule="auto"/>
        <w:ind w:firstLine="420" w:firstLineChars="200"/>
        <w:jc w:val="left"/>
        <w:rPr>
          <w:rFonts w:ascii="宋体" w:hAnsi="宋体"/>
          <w:color w:val="auto"/>
          <w:szCs w:val="21"/>
        </w:rPr>
      </w:pPr>
      <w:r>
        <w:rPr>
          <w:rFonts w:hint="eastAsia" w:ascii="宋体" w:hAnsi="宋体"/>
          <w:color w:val="auto"/>
          <w:szCs w:val="21"/>
        </w:rPr>
        <w:t>3.1.10承包人应履行的其他义务：</w:t>
      </w:r>
    </w:p>
    <w:p w14:paraId="6C522F9D">
      <w:pPr>
        <w:spacing w:line="360" w:lineRule="auto"/>
        <w:ind w:firstLine="420" w:firstLineChars="200"/>
        <w:jc w:val="left"/>
        <w:rPr>
          <w:rFonts w:ascii="宋体" w:hAnsi="宋体"/>
          <w:color w:val="auto"/>
          <w:szCs w:val="21"/>
        </w:rPr>
      </w:pPr>
      <w:r>
        <w:rPr>
          <w:rFonts w:hint="eastAsia" w:ascii="宋体" w:hAnsi="宋体"/>
          <w:color w:val="auto"/>
          <w:szCs w:val="21"/>
        </w:rPr>
        <w:t>3.1.10.1在开始施工之前，承包人应核查、复测本工程的各种基准标志。承包人应及时将上述基准标志中存在的错误、不完整或其他缺陷通知发包人，以便发包人核实后重新确认。</w:t>
      </w:r>
    </w:p>
    <w:p w14:paraId="4CF08CD8">
      <w:pPr>
        <w:spacing w:line="360" w:lineRule="auto"/>
        <w:ind w:firstLine="420" w:firstLineChars="200"/>
        <w:jc w:val="left"/>
        <w:rPr>
          <w:rFonts w:ascii="宋体" w:hAnsi="宋体"/>
          <w:color w:val="auto"/>
          <w:szCs w:val="21"/>
        </w:rPr>
      </w:pPr>
      <w:r>
        <w:rPr>
          <w:rFonts w:hint="eastAsia" w:ascii="宋体" w:hAnsi="宋体"/>
          <w:color w:val="auto"/>
          <w:szCs w:val="21"/>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1BB2BE8B">
      <w:pPr>
        <w:spacing w:line="360" w:lineRule="auto"/>
        <w:ind w:firstLine="420" w:firstLineChars="200"/>
        <w:jc w:val="left"/>
        <w:rPr>
          <w:rFonts w:ascii="宋体" w:hAnsi="宋体"/>
          <w:color w:val="auto"/>
          <w:szCs w:val="21"/>
        </w:rPr>
      </w:pPr>
      <w:r>
        <w:rPr>
          <w:rFonts w:hint="eastAsia" w:ascii="宋体" w:hAnsi="宋体"/>
          <w:color w:val="auto"/>
          <w:szCs w:val="21"/>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52B5CAF5">
      <w:pPr>
        <w:spacing w:line="360" w:lineRule="auto"/>
        <w:ind w:firstLine="420" w:firstLineChars="200"/>
        <w:jc w:val="left"/>
        <w:rPr>
          <w:rFonts w:ascii="宋体" w:hAnsi="宋体"/>
          <w:color w:val="auto"/>
          <w:szCs w:val="21"/>
        </w:rPr>
      </w:pPr>
      <w:r>
        <w:rPr>
          <w:rFonts w:hint="eastAsia" w:ascii="宋体" w:hAnsi="宋体"/>
          <w:color w:val="auto"/>
          <w:szCs w:val="21"/>
        </w:rPr>
        <w:t>3.1.10.4承包人应服从发包人要求的管理模式、工作方式和工作要求，同时接受监理人、跟审单位的管理和全程监督，配合项目结、决算的办理。</w:t>
      </w:r>
    </w:p>
    <w:p w14:paraId="3530E4BB">
      <w:pPr>
        <w:spacing w:line="360" w:lineRule="auto"/>
        <w:ind w:firstLine="420" w:firstLineChars="200"/>
        <w:jc w:val="left"/>
        <w:rPr>
          <w:rFonts w:ascii="宋体" w:hAnsi="宋体"/>
          <w:color w:val="auto"/>
          <w:szCs w:val="21"/>
        </w:rPr>
      </w:pPr>
      <w:r>
        <w:rPr>
          <w:rFonts w:hint="eastAsia" w:ascii="宋体" w:hAnsi="宋体"/>
          <w:color w:val="auto"/>
          <w:szCs w:val="21"/>
        </w:rPr>
        <w:t>3.1.10.5</w:t>
      </w:r>
      <w:r>
        <w:rPr>
          <w:rFonts w:hint="eastAsia" w:ascii="宋体" w:hAnsi="宋体"/>
          <w:color w:val="auto"/>
          <w:szCs w:val="21"/>
          <w:u w:val="single"/>
        </w:rPr>
        <w:t>承包人应为本工程开立专用账户，接受发包人的监管</w:t>
      </w:r>
      <w:r>
        <w:rPr>
          <w:rFonts w:hint="eastAsia" w:ascii="宋体" w:hAnsi="宋体"/>
          <w:color w:val="auto"/>
          <w:szCs w:val="21"/>
        </w:rPr>
        <w:t>。</w:t>
      </w:r>
    </w:p>
    <w:p w14:paraId="24143CD6">
      <w:pPr>
        <w:spacing w:line="360" w:lineRule="auto"/>
        <w:ind w:firstLine="420" w:firstLineChars="200"/>
        <w:jc w:val="left"/>
        <w:rPr>
          <w:rFonts w:ascii="宋体" w:hAnsi="宋体"/>
          <w:color w:val="auto"/>
          <w:szCs w:val="21"/>
          <w:u w:val="single"/>
        </w:rPr>
      </w:pPr>
      <w:r>
        <w:rPr>
          <w:rFonts w:hint="eastAsia" w:ascii="宋体" w:hAnsi="宋体"/>
          <w:color w:val="auto"/>
          <w:szCs w:val="21"/>
        </w:rPr>
        <w:t>3.1.10.6</w:t>
      </w:r>
      <w:r>
        <w:rPr>
          <w:rFonts w:hint="eastAsia" w:ascii="宋体" w:hAnsi="宋体"/>
          <w:color w:val="auto"/>
          <w:szCs w:val="21"/>
          <w:u w:val="single"/>
        </w:rPr>
        <w:t xml:space="preserve">    /    。</w:t>
      </w:r>
    </w:p>
    <w:p w14:paraId="24D4A1A2">
      <w:pPr>
        <w:pStyle w:val="7"/>
        <w:spacing w:before="0" w:beforeAutospacing="0" w:after="0" w:afterAutospacing="0" w:line="360" w:lineRule="auto"/>
        <w:ind w:firstLine="422" w:firstLineChars="200"/>
        <w:rPr>
          <w:color w:val="auto"/>
          <w:sz w:val="21"/>
          <w:szCs w:val="21"/>
        </w:rPr>
      </w:pPr>
      <w:bookmarkStart w:id="1424" w:name="_Toc532377336"/>
      <w:r>
        <w:rPr>
          <w:rFonts w:hint="eastAsia"/>
          <w:color w:val="auto"/>
          <w:sz w:val="21"/>
          <w:szCs w:val="21"/>
        </w:rPr>
        <w:t>3.2 项目经理</w:t>
      </w:r>
      <w:bookmarkEnd w:id="1424"/>
    </w:p>
    <w:p w14:paraId="385198DE">
      <w:pPr>
        <w:spacing w:line="360" w:lineRule="auto"/>
        <w:ind w:firstLine="420" w:firstLineChars="200"/>
        <w:jc w:val="left"/>
        <w:rPr>
          <w:rFonts w:ascii="宋体" w:hAnsi="宋体"/>
          <w:color w:val="auto"/>
          <w:szCs w:val="21"/>
        </w:rPr>
      </w:pPr>
      <w:r>
        <w:rPr>
          <w:rFonts w:hint="eastAsia" w:ascii="宋体" w:hAnsi="宋体"/>
          <w:color w:val="auto"/>
          <w:kern w:val="0"/>
          <w:szCs w:val="21"/>
        </w:rPr>
        <w:t xml:space="preserve">3.2.1 </w:t>
      </w:r>
      <w:r>
        <w:rPr>
          <w:rFonts w:hint="eastAsia" w:ascii="宋体" w:hAnsi="宋体"/>
          <w:color w:val="auto"/>
          <w:szCs w:val="21"/>
        </w:rPr>
        <w:t>项目经理：</w:t>
      </w:r>
    </w:p>
    <w:p w14:paraId="25731AC0">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w:t>
      </w:r>
      <w:r>
        <w:rPr>
          <w:rFonts w:hint="eastAsia" w:ascii="宋体" w:hAnsi="宋体"/>
          <w:color w:val="auto"/>
          <w:szCs w:val="21"/>
        </w:rPr>
        <w:t>；</w:t>
      </w:r>
    </w:p>
    <w:p w14:paraId="381A7C6F">
      <w:pPr>
        <w:spacing w:line="360" w:lineRule="auto"/>
        <w:ind w:firstLine="420" w:firstLineChars="200"/>
        <w:jc w:val="left"/>
        <w:rPr>
          <w:rFonts w:ascii="宋体" w:hAnsi="宋体"/>
          <w:color w:val="auto"/>
          <w:szCs w:val="21"/>
        </w:rPr>
      </w:pPr>
      <w:r>
        <w:rPr>
          <w:rFonts w:hint="eastAsia" w:ascii="宋体" w:hAnsi="宋体"/>
          <w:color w:val="auto"/>
          <w:szCs w:val="21"/>
        </w:rPr>
        <w:t>身份证号：</w:t>
      </w:r>
      <w:r>
        <w:rPr>
          <w:rFonts w:ascii="宋体" w:hAnsi="宋体"/>
          <w:color w:val="auto"/>
          <w:szCs w:val="21"/>
          <w:u w:val="single"/>
        </w:rPr>
        <w:t>                    </w:t>
      </w:r>
      <w:r>
        <w:rPr>
          <w:rFonts w:hint="eastAsia" w:ascii="宋体" w:hAnsi="宋体"/>
          <w:color w:val="auto"/>
          <w:szCs w:val="21"/>
        </w:rPr>
        <w:t>；</w:t>
      </w:r>
    </w:p>
    <w:p w14:paraId="0BBEC611">
      <w:pPr>
        <w:spacing w:line="360" w:lineRule="auto"/>
        <w:ind w:firstLine="420" w:firstLineChars="200"/>
        <w:jc w:val="left"/>
        <w:rPr>
          <w:rFonts w:ascii="宋体" w:hAnsi="宋体"/>
          <w:color w:val="auto"/>
          <w:szCs w:val="21"/>
        </w:rPr>
      </w:pPr>
      <w:r>
        <w:rPr>
          <w:rFonts w:hint="eastAsia" w:ascii="宋体" w:hAnsi="宋体"/>
          <w:color w:val="auto"/>
          <w:szCs w:val="21"/>
        </w:rPr>
        <w:t>建造师执业资格等级：</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w:t>
      </w:r>
    </w:p>
    <w:p w14:paraId="054AA562">
      <w:pPr>
        <w:spacing w:line="360" w:lineRule="auto"/>
        <w:ind w:firstLine="420" w:firstLineChars="200"/>
        <w:jc w:val="left"/>
        <w:rPr>
          <w:rFonts w:ascii="宋体" w:hAnsi="宋体"/>
          <w:color w:val="auto"/>
          <w:szCs w:val="21"/>
        </w:rPr>
      </w:pPr>
      <w:r>
        <w:rPr>
          <w:rFonts w:hint="eastAsia" w:ascii="宋体" w:hAnsi="宋体"/>
          <w:color w:val="auto"/>
          <w:szCs w:val="21"/>
        </w:rPr>
        <w:t>建造师注册证书号：</w:t>
      </w:r>
      <w:r>
        <w:rPr>
          <w:rFonts w:ascii="宋体" w:hAnsi="宋体"/>
          <w:color w:val="auto"/>
          <w:szCs w:val="21"/>
          <w:u w:val="single"/>
        </w:rPr>
        <w:t>       </w:t>
      </w:r>
      <w:r>
        <w:rPr>
          <w:rFonts w:hint="eastAsia" w:ascii="宋体" w:hAnsi="宋体"/>
          <w:color w:val="auto"/>
          <w:szCs w:val="21"/>
        </w:rPr>
        <w:t>；</w:t>
      </w:r>
    </w:p>
    <w:p w14:paraId="0EACEEB8">
      <w:pPr>
        <w:spacing w:line="360" w:lineRule="auto"/>
        <w:ind w:firstLine="420" w:firstLineChars="200"/>
        <w:jc w:val="left"/>
        <w:rPr>
          <w:rFonts w:ascii="宋体" w:hAnsi="宋体"/>
          <w:color w:val="auto"/>
          <w:szCs w:val="21"/>
        </w:rPr>
      </w:pPr>
      <w:r>
        <w:rPr>
          <w:rFonts w:hint="eastAsia" w:ascii="宋体" w:hAnsi="宋体"/>
          <w:color w:val="auto"/>
          <w:szCs w:val="21"/>
        </w:rPr>
        <w:t>建造师执业印章号：</w:t>
      </w:r>
      <w:r>
        <w:rPr>
          <w:rFonts w:ascii="宋体" w:hAnsi="宋体"/>
          <w:color w:val="auto"/>
          <w:szCs w:val="21"/>
          <w:u w:val="single"/>
        </w:rPr>
        <w:t>                     </w:t>
      </w:r>
      <w:r>
        <w:rPr>
          <w:rFonts w:hint="eastAsia" w:ascii="宋体" w:hAnsi="宋体"/>
          <w:color w:val="auto"/>
          <w:szCs w:val="21"/>
        </w:rPr>
        <w:t>；</w:t>
      </w:r>
    </w:p>
    <w:p w14:paraId="3808D806">
      <w:pPr>
        <w:spacing w:line="360" w:lineRule="auto"/>
        <w:ind w:firstLine="420" w:firstLineChars="200"/>
        <w:jc w:val="left"/>
        <w:rPr>
          <w:rFonts w:ascii="宋体" w:hAnsi="宋体"/>
          <w:color w:val="auto"/>
          <w:szCs w:val="21"/>
        </w:rPr>
      </w:pPr>
      <w:r>
        <w:rPr>
          <w:rFonts w:hint="eastAsia" w:ascii="宋体" w:hAnsi="宋体"/>
          <w:color w:val="auto"/>
          <w:szCs w:val="21"/>
        </w:rPr>
        <w:t>安全生产考核合格证书号：</w:t>
      </w:r>
      <w:r>
        <w:rPr>
          <w:rFonts w:ascii="宋体" w:hAnsi="宋体"/>
          <w:color w:val="auto"/>
          <w:szCs w:val="21"/>
          <w:u w:val="single"/>
        </w:rPr>
        <w:t>           </w:t>
      </w:r>
      <w:r>
        <w:rPr>
          <w:rFonts w:hint="eastAsia" w:ascii="宋体" w:hAnsi="宋体"/>
          <w:color w:val="auto"/>
          <w:szCs w:val="21"/>
        </w:rPr>
        <w:t>；</w:t>
      </w:r>
    </w:p>
    <w:p w14:paraId="228138E6">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       </w:t>
      </w:r>
      <w:r>
        <w:rPr>
          <w:rFonts w:hint="eastAsia" w:ascii="宋体" w:hAnsi="宋体"/>
          <w:color w:val="auto"/>
          <w:szCs w:val="21"/>
        </w:rPr>
        <w:t>。</w:t>
      </w:r>
    </w:p>
    <w:p w14:paraId="41E5BFDB">
      <w:pPr>
        <w:spacing w:line="360" w:lineRule="auto"/>
        <w:ind w:firstLine="420" w:firstLineChars="200"/>
        <w:jc w:val="left"/>
        <w:rPr>
          <w:rFonts w:ascii="宋体" w:hAnsi="宋体"/>
          <w:color w:val="auto"/>
          <w:szCs w:val="21"/>
        </w:rPr>
      </w:pPr>
      <w:r>
        <w:rPr>
          <w:rFonts w:hint="eastAsia" w:ascii="宋体" w:hAnsi="宋体"/>
          <w:color w:val="auto"/>
          <w:szCs w:val="21"/>
        </w:rPr>
        <w:t>承包人对项目经理的授权范围如下：</w:t>
      </w:r>
      <w:r>
        <w:rPr>
          <w:rFonts w:hint="eastAsia" w:ascii="宋体" w:hAnsi="宋体"/>
          <w:color w:val="auto"/>
          <w:szCs w:val="21"/>
          <w:u w:val="single"/>
        </w:rPr>
        <w:t>严格按设计图纸、现行国家施工规范及验收规范组织施工，保证工程质量、进度、安全；及时向监理人、发包人报告现场情况（以承包人书面授权范围为准）</w:t>
      </w:r>
      <w:r>
        <w:rPr>
          <w:rFonts w:hint="eastAsia" w:ascii="宋体" w:hAnsi="宋体"/>
          <w:color w:val="auto"/>
          <w:szCs w:val="21"/>
        </w:rPr>
        <w:t>。</w:t>
      </w:r>
    </w:p>
    <w:p w14:paraId="36267A37">
      <w:pPr>
        <w:spacing w:line="360" w:lineRule="auto"/>
        <w:ind w:firstLine="420" w:firstLineChars="200"/>
        <w:jc w:val="left"/>
        <w:rPr>
          <w:rFonts w:ascii="宋体" w:hAnsi="宋体"/>
          <w:color w:val="auto"/>
          <w:szCs w:val="21"/>
        </w:rPr>
      </w:pPr>
      <w:r>
        <w:rPr>
          <w:rFonts w:hint="eastAsia" w:ascii="宋体" w:hAnsi="宋体"/>
          <w:color w:val="auto"/>
          <w:szCs w:val="21"/>
        </w:rPr>
        <w:t>关于项目经理每月在施工现场的时间要求：</w:t>
      </w:r>
      <w:r>
        <w:rPr>
          <w:rFonts w:hint="eastAsia" w:ascii="宋体" w:hAnsi="宋体"/>
          <w:color w:val="auto"/>
          <w:szCs w:val="21"/>
          <w:u w:val="single"/>
        </w:rPr>
        <w:t>不少于22天，由监理人负责项目经理的考勤</w:t>
      </w:r>
      <w:r>
        <w:rPr>
          <w:rFonts w:hint="eastAsia" w:ascii="宋体" w:hAnsi="宋体"/>
          <w:color w:val="auto"/>
          <w:szCs w:val="21"/>
        </w:rPr>
        <w:t>。</w:t>
      </w:r>
    </w:p>
    <w:p w14:paraId="00ECBE7D">
      <w:pPr>
        <w:spacing w:line="360" w:lineRule="auto"/>
        <w:ind w:firstLine="420" w:firstLineChars="200"/>
        <w:jc w:val="left"/>
        <w:rPr>
          <w:rFonts w:ascii="宋体" w:hAnsi="宋体"/>
          <w:color w:val="auto"/>
          <w:szCs w:val="21"/>
        </w:rPr>
      </w:pPr>
      <w:r>
        <w:rPr>
          <w:rFonts w:hint="eastAsia" w:ascii="宋体" w:hAnsi="宋体"/>
          <w:color w:val="auto"/>
          <w:szCs w:val="21"/>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color w:val="auto"/>
          <w:szCs w:val="21"/>
        </w:rPr>
        <w:t>。</w:t>
      </w:r>
    </w:p>
    <w:p w14:paraId="78375707">
      <w:pPr>
        <w:spacing w:line="360" w:lineRule="auto"/>
        <w:ind w:firstLine="420" w:firstLineChars="200"/>
        <w:jc w:val="left"/>
        <w:rPr>
          <w:rFonts w:ascii="宋体" w:hAnsi="宋体"/>
          <w:color w:val="auto"/>
          <w:szCs w:val="21"/>
        </w:rPr>
      </w:pPr>
      <w:r>
        <w:rPr>
          <w:rFonts w:hint="eastAsia" w:ascii="宋体" w:hAnsi="宋体"/>
          <w:color w:val="auto"/>
          <w:szCs w:val="21"/>
        </w:rPr>
        <w:t>3.2.2 技术负责人</w:t>
      </w:r>
    </w:p>
    <w:p w14:paraId="3DC810CB">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5B81A5DE">
      <w:pPr>
        <w:spacing w:line="360" w:lineRule="auto"/>
        <w:ind w:firstLine="420" w:firstLineChars="200"/>
        <w:jc w:val="left"/>
        <w:rPr>
          <w:rFonts w:ascii="宋体" w:hAnsi="宋体"/>
          <w:color w:val="auto"/>
          <w:szCs w:val="21"/>
        </w:rPr>
      </w:pPr>
      <w:r>
        <w:rPr>
          <w:rFonts w:hint="eastAsia" w:ascii="宋体" w:hAnsi="宋体"/>
          <w:color w:val="auto"/>
          <w:szCs w:val="21"/>
        </w:rPr>
        <w:t>身份证号：</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660C3DE1">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76F1B690">
      <w:pPr>
        <w:spacing w:line="360" w:lineRule="auto"/>
        <w:ind w:firstLine="420" w:firstLineChars="200"/>
        <w:jc w:val="left"/>
        <w:rPr>
          <w:rFonts w:ascii="宋体" w:hAnsi="宋体"/>
          <w:color w:val="auto"/>
          <w:szCs w:val="21"/>
        </w:rPr>
      </w:pPr>
      <w:r>
        <w:rPr>
          <w:rFonts w:hint="eastAsia" w:ascii="宋体" w:hAnsi="宋体"/>
          <w:color w:val="auto"/>
          <w:szCs w:val="21"/>
        </w:rPr>
        <w:t>专     业：</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0D0AE422">
      <w:pPr>
        <w:spacing w:line="360" w:lineRule="auto"/>
        <w:ind w:firstLine="420" w:firstLineChars="200"/>
        <w:jc w:val="left"/>
        <w:rPr>
          <w:rFonts w:ascii="宋体" w:hAnsi="宋体"/>
          <w:color w:val="auto"/>
          <w:szCs w:val="21"/>
        </w:rPr>
      </w:pPr>
      <w:r>
        <w:rPr>
          <w:rFonts w:hint="eastAsia" w:ascii="宋体" w:hAnsi="宋体"/>
          <w:color w:val="auto"/>
          <w:szCs w:val="21"/>
        </w:rPr>
        <w:t>证书名称及号码：</w:t>
      </w:r>
      <w:r>
        <w:rPr>
          <w:rFonts w:ascii="宋体" w:hAnsi="宋体"/>
          <w:color w:val="auto"/>
          <w:szCs w:val="21"/>
          <w:u w:val="single"/>
        </w:rPr>
        <w:t xml:space="preserve">                         </w:t>
      </w:r>
      <w:r>
        <w:rPr>
          <w:rFonts w:hint="eastAsia" w:ascii="宋体" w:hAnsi="宋体"/>
          <w:color w:val="auto"/>
          <w:szCs w:val="21"/>
        </w:rPr>
        <w:t>；</w:t>
      </w:r>
    </w:p>
    <w:p w14:paraId="627C1B04">
      <w:pPr>
        <w:pStyle w:val="2"/>
        <w:spacing w:after="0" w:line="360" w:lineRule="auto"/>
        <w:rPr>
          <w:rFonts w:ascii="宋体" w:hAnsi="宋体"/>
          <w:color w:val="auto"/>
          <w:szCs w:val="21"/>
        </w:rPr>
      </w:pPr>
      <w:r>
        <w:rPr>
          <w:rFonts w:hint="eastAsia" w:ascii="宋体" w:hAnsi="宋体"/>
          <w:color w:val="auto"/>
          <w:szCs w:val="21"/>
        </w:rPr>
        <w:t xml:space="preserve">    </w:t>
      </w:r>
      <w:r>
        <w:rPr>
          <w:rFonts w:ascii="宋体" w:hAnsi="宋体"/>
          <w:color w:val="auto"/>
          <w:szCs w:val="21"/>
        </w:rPr>
        <w:t>联系方式：</w:t>
      </w:r>
      <w:r>
        <w:rPr>
          <w:rFonts w:ascii="宋体" w:hAnsi="宋体"/>
          <w:color w:val="auto"/>
          <w:szCs w:val="21"/>
          <w:u w:val="single"/>
        </w:rPr>
        <w:t xml:space="preserve">         </w:t>
      </w:r>
      <w:r>
        <w:rPr>
          <w:rFonts w:hint="eastAsia" w:ascii="宋体" w:hAnsi="宋体"/>
          <w:color w:val="auto"/>
          <w:szCs w:val="21"/>
        </w:rPr>
        <w:t>。</w:t>
      </w:r>
    </w:p>
    <w:p w14:paraId="5AF6CD5E">
      <w:pPr>
        <w:spacing w:line="360" w:lineRule="auto"/>
        <w:ind w:firstLine="420" w:firstLineChars="200"/>
        <w:jc w:val="left"/>
        <w:rPr>
          <w:rFonts w:ascii="宋体" w:hAnsi="宋体"/>
          <w:color w:val="auto"/>
          <w:szCs w:val="21"/>
        </w:rPr>
      </w:pPr>
      <w:r>
        <w:rPr>
          <w:rFonts w:hint="eastAsia" w:ascii="宋体" w:hAnsi="宋体"/>
          <w:color w:val="auto"/>
          <w:kern w:val="0"/>
          <w:szCs w:val="21"/>
        </w:rPr>
        <w:t>关于技</w:t>
      </w:r>
      <w:r>
        <w:rPr>
          <w:rFonts w:hint="eastAsia" w:ascii="宋体" w:hAnsi="宋体"/>
          <w:color w:val="auto"/>
          <w:szCs w:val="21"/>
        </w:rPr>
        <w:t>术负责人每月在施工现场的时间要求：</w:t>
      </w:r>
      <w:r>
        <w:rPr>
          <w:rFonts w:hint="eastAsia" w:ascii="宋体" w:hAnsi="宋体"/>
          <w:color w:val="auto"/>
          <w:szCs w:val="21"/>
          <w:u w:val="single"/>
        </w:rPr>
        <w:t>不少于22天，由监理人负责技术负责人的考勤</w:t>
      </w:r>
      <w:r>
        <w:rPr>
          <w:rFonts w:hint="eastAsia" w:ascii="宋体" w:hAnsi="宋体"/>
          <w:color w:val="auto"/>
          <w:szCs w:val="21"/>
        </w:rPr>
        <w:t>。</w:t>
      </w:r>
    </w:p>
    <w:p w14:paraId="2723B4E6">
      <w:pPr>
        <w:spacing w:line="360" w:lineRule="auto"/>
        <w:ind w:firstLine="420" w:firstLineChars="200"/>
        <w:jc w:val="left"/>
        <w:rPr>
          <w:rFonts w:ascii="宋体" w:hAnsi="宋体"/>
          <w:color w:val="auto"/>
          <w:szCs w:val="21"/>
        </w:rPr>
      </w:pPr>
      <w:r>
        <w:rPr>
          <w:rFonts w:hint="eastAsia" w:ascii="宋体" w:hAnsi="宋体"/>
          <w:color w:val="auto"/>
          <w:szCs w:val="21"/>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olor w:val="auto"/>
          <w:szCs w:val="21"/>
        </w:rPr>
        <w:t>。</w:t>
      </w:r>
      <w:bookmarkStart w:id="1425" w:name="_Hlk528927599"/>
    </w:p>
    <w:bookmarkEnd w:id="1425"/>
    <w:p w14:paraId="681F40E2">
      <w:pPr>
        <w:spacing w:line="360" w:lineRule="auto"/>
        <w:ind w:firstLine="420" w:firstLineChars="200"/>
        <w:jc w:val="left"/>
        <w:rPr>
          <w:rFonts w:ascii="宋体" w:hAnsi="宋体"/>
          <w:color w:val="auto"/>
          <w:szCs w:val="21"/>
        </w:rPr>
      </w:pPr>
      <w:bookmarkStart w:id="1426" w:name="_Hlk528927718"/>
      <w:r>
        <w:rPr>
          <w:rFonts w:hint="eastAsia" w:ascii="宋体" w:hAnsi="宋体"/>
          <w:color w:val="auto"/>
          <w:szCs w:val="21"/>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426"/>
    </w:p>
    <w:p w14:paraId="486B7A19">
      <w:pPr>
        <w:spacing w:line="360" w:lineRule="auto"/>
        <w:ind w:firstLine="420" w:firstLineChars="200"/>
        <w:jc w:val="left"/>
        <w:rPr>
          <w:rFonts w:ascii="宋体" w:hAnsi="宋体"/>
          <w:color w:val="auto"/>
          <w:szCs w:val="21"/>
        </w:rPr>
      </w:pPr>
      <w:r>
        <w:rPr>
          <w:rFonts w:hint="eastAsia" w:ascii="宋体" w:hAnsi="宋体"/>
          <w:color w:val="auto"/>
          <w:szCs w:val="21"/>
        </w:rPr>
        <w:t>若项目经理和技术负责人出现下列情形需更换的，承包人按通用条款第3.2.3项的规定向发包人发出通知，经发包人领导班子集体决策同意后予以批准，并将变更信息推送给行业主管部门：</w:t>
      </w:r>
    </w:p>
    <w:p w14:paraId="0ABE602F">
      <w:pPr>
        <w:spacing w:line="360" w:lineRule="auto"/>
        <w:ind w:firstLine="420" w:firstLineChars="200"/>
        <w:jc w:val="left"/>
        <w:rPr>
          <w:rFonts w:ascii="宋体" w:hAnsi="宋体"/>
          <w:color w:val="auto"/>
          <w:szCs w:val="21"/>
        </w:rPr>
      </w:pPr>
      <w:r>
        <w:rPr>
          <w:rFonts w:hint="eastAsia" w:ascii="宋体" w:hAnsi="宋体"/>
          <w:color w:val="auto"/>
          <w:szCs w:val="21"/>
        </w:rPr>
        <w:t>1、死亡；</w:t>
      </w:r>
    </w:p>
    <w:p w14:paraId="04D40A45">
      <w:pPr>
        <w:spacing w:line="360" w:lineRule="auto"/>
        <w:ind w:firstLine="420" w:firstLineChars="200"/>
        <w:jc w:val="left"/>
        <w:rPr>
          <w:rFonts w:ascii="宋体" w:hAnsi="宋体"/>
          <w:color w:val="auto"/>
          <w:szCs w:val="21"/>
        </w:rPr>
      </w:pPr>
      <w:r>
        <w:rPr>
          <w:rFonts w:hint="eastAsia" w:ascii="宋体" w:hAnsi="宋体"/>
          <w:color w:val="auto"/>
          <w:szCs w:val="21"/>
        </w:rPr>
        <w:t>2、非承包人原因导致工期延长，而致使项目经理和技术负责人达到法定退休年龄且确需退休；</w:t>
      </w:r>
    </w:p>
    <w:p w14:paraId="7E81221F">
      <w:pPr>
        <w:spacing w:line="360" w:lineRule="auto"/>
        <w:ind w:firstLine="420" w:firstLineChars="200"/>
        <w:jc w:val="left"/>
        <w:rPr>
          <w:rFonts w:ascii="宋体" w:hAnsi="宋体"/>
          <w:color w:val="auto"/>
          <w:szCs w:val="21"/>
        </w:rPr>
      </w:pPr>
      <w:r>
        <w:rPr>
          <w:rFonts w:hint="eastAsia" w:ascii="宋体" w:hAnsi="宋体"/>
          <w:color w:val="auto"/>
          <w:szCs w:val="21"/>
        </w:rPr>
        <w:t>3、按《职工非因工伤残或因病丧失劳动能力程度鉴定标准（试行）》规定鉴定为完全丧失劳动能力和大部分丧失劳动能力；</w:t>
      </w:r>
    </w:p>
    <w:p w14:paraId="50F1829C">
      <w:pPr>
        <w:spacing w:line="360" w:lineRule="auto"/>
        <w:ind w:firstLine="420" w:firstLineChars="200"/>
        <w:jc w:val="left"/>
        <w:rPr>
          <w:rFonts w:ascii="宋体" w:hAnsi="宋体"/>
          <w:color w:val="auto"/>
          <w:szCs w:val="21"/>
        </w:rPr>
      </w:pPr>
      <w:r>
        <w:rPr>
          <w:rFonts w:hint="eastAsia" w:ascii="宋体" w:hAnsi="宋体"/>
          <w:color w:val="auto"/>
          <w:szCs w:val="21"/>
        </w:rPr>
        <w:t>4、非承包人原因导致中标3个月不能开工；</w:t>
      </w:r>
    </w:p>
    <w:p w14:paraId="4F111570">
      <w:pPr>
        <w:spacing w:line="360" w:lineRule="auto"/>
        <w:ind w:firstLine="420" w:firstLineChars="200"/>
        <w:jc w:val="left"/>
        <w:rPr>
          <w:rFonts w:ascii="宋体" w:hAnsi="宋体"/>
          <w:color w:val="auto"/>
          <w:szCs w:val="21"/>
        </w:rPr>
      </w:pPr>
      <w:r>
        <w:rPr>
          <w:rFonts w:hint="eastAsia" w:ascii="宋体" w:hAnsi="宋体"/>
          <w:color w:val="auto"/>
          <w:szCs w:val="21"/>
        </w:rPr>
        <w:t>5、被公安或者司法机关限制人身自由；</w:t>
      </w:r>
    </w:p>
    <w:p w14:paraId="5CB00F09">
      <w:pPr>
        <w:spacing w:line="360" w:lineRule="auto"/>
        <w:ind w:firstLine="420" w:firstLineChars="200"/>
        <w:jc w:val="left"/>
        <w:rPr>
          <w:rFonts w:ascii="宋体" w:hAnsi="宋体"/>
          <w:color w:val="auto"/>
          <w:szCs w:val="21"/>
        </w:rPr>
      </w:pPr>
      <w:r>
        <w:rPr>
          <w:rFonts w:hint="eastAsia" w:ascii="宋体" w:hAnsi="宋体"/>
          <w:color w:val="auto"/>
          <w:szCs w:val="21"/>
        </w:rPr>
        <w:t>6、被取消职称或者执业资格，不满足项目管理要求；</w:t>
      </w:r>
    </w:p>
    <w:p w14:paraId="753D2B23">
      <w:pPr>
        <w:spacing w:line="360" w:lineRule="auto"/>
        <w:ind w:firstLine="420" w:firstLineChars="200"/>
        <w:jc w:val="left"/>
        <w:rPr>
          <w:rFonts w:ascii="宋体" w:hAnsi="宋体"/>
          <w:color w:val="auto"/>
          <w:szCs w:val="21"/>
        </w:rPr>
      </w:pPr>
      <w:r>
        <w:rPr>
          <w:rFonts w:hint="eastAsia" w:ascii="宋体" w:hAnsi="宋体"/>
          <w:color w:val="auto"/>
          <w:szCs w:val="21"/>
        </w:rPr>
        <w:t>7、非承包人原因导致确需变更的其它情形。</w:t>
      </w:r>
    </w:p>
    <w:p w14:paraId="761AC54C">
      <w:pPr>
        <w:spacing w:line="360" w:lineRule="auto"/>
        <w:ind w:firstLine="420" w:firstLineChars="200"/>
        <w:jc w:val="left"/>
        <w:rPr>
          <w:rFonts w:ascii="宋体" w:hAnsi="宋体"/>
          <w:color w:val="auto"/>
          <w:szCs w:val="21"/>
        </w:rPr>
      </w:pPr>
      <w:r>
        <w:rPr>
          <w:rFonts w:hint="eastAsia" w:ascii="宋体" w:hAnsi="宋体"/>
          <w:color w:val="auto"/>
          <w:szCs w:val="21"/>
        </w:rPr>
        <w:t>本款补充3.2.6项</w:t>
      </w:r>
    </w:p>
    <w:p w14:paraId="13B04B43">
      <w:pPr>
        <w:spacing w:line="360" w:lineRule="auto"/>
        <w:ind w:firstLine="420" w:firstLineChars="200"/>
        <w:jc w:val="left"/>
        <w:rPr>
          <w:rFonts w:ascii="宋体" w:hAnsi="宋体"/>
          <w:color w:val="auto"/>
          <w:szCs w:val="21"/>
        </w:rPr>
      </w:pPr>
      <w:r>
        <w:rPr>
          <w:rFonts w:hint="eastAsia" w:ascii="宋体" w:hAnsi="宋体"/>
          <w:color w:val="auto"/>
          <w:szCs w:val="21"/>
        </w:rPr>
        <w:t>3.2.6 国有资金投资项目其他主要人员变更参照《重庆市政府投资项目合同变更管理暂行办法》的规定。</w:t>
      </w:r>
    </w:p>
    <w:p w14:paraId="7FEC7CE1">
      <w:pPr>
        <w:pStyle w:val="7"/>
        <w:spacing w:before="0" w:beforeAutospacing="0" w:after="0" w:afterAutospacing="0" w:line="360" w:lineRule="auto"/>
        <w:ind w:firstLine="422" w:firstLineChars="200"/>
        <w:rPr>
          <w:color w:val="auto"/>
          <w:sz w:val="21"/>
          <w:szCs w:val="21"/>
        </w:rPr>
      </w:pPr>
      <w:bookmarkStart w:id="1427" w:name="_Toc532377337"/>
      <w:r>
        <w:rPr>
          <w:rFonts w:hint="eastAsia"/>
          <w:color w:val="auto"/>
          <w:sz w:val="21"/>
          <w:szCs w:val="21"/>
        </w:rPr>
        <w:t>3.3 承包人人员</w:t>
      </w:r>
      <w:bookmarkEnd w:id="1427"/>
    </w:p>
    <w:p w14:paraId="323993AB">
      <w:pPr>
        <w:spacing w:line="360" w:lineRule="auto"/>
        <w:ind w:firstLine="420" w:firstLineChars="200"/>
        <w:jc w:val="left"/>
        <w:rPr>
          <w:rFonts w:ascii="宋体" w:hAnsi="宋体"/>
          <w:color w:val="auto"/>
          <w:szCs w:val="21"/>
        </w:rPr>
      </w:pPr>
      <w:r>
        <w:rPr>
          <w:rFonts w:hint="eastAsia" w:ascii="宋体" w:hAnsi="宋体"/>
          <w:color w:val="auto"/>
          <w:szCs w:val="21"/>
        </w:rPr>
        <w:t>3.3.1 承包人应按建设行政主管部门现行规定配备现场施工从业人员，具体要求如下：</w:t>
      </w:r>
      <w:r>
        <w:rPr>
          <w:rFonts w:hint="eastAsia" w:ascii="宋体" w:hAnsi="宋体"/>
          <w:color w:val="auto"/>
          <w:szCs w:val="21"/>
          <w:u w:val="single"/>
        </w:rPr>
        <w:t xml:space="preserve">        </w:t>
      </w:r>
    </w:p>
    <w:p w14:paraId="7B7B227F">
      <w:pPr>
        <w:spacing w:line="360" w:lineRule="auto"/>
        <w:ind w:firstLine="420" w:firstLineChars="200"/>
        <w:jc w:val="left"/>
        <w:rPr>
          <w:rFonts w:ascii="宋体" w:hAnsi="宋体"/>
          <w:color w:val="auto"/>
          <w:szCs w:val="21"/>
        </w:rPr>
      </w:pPr>
      <w:r>
        <w:rPr>
          <w:rFonts w:hint="eastAsia" w:ascii="宋体" w:hAnsi="宋体"/>
          <w:color w:val="auto"/>
          <w:szCs w:val="21"/>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2EBDCB64">
      <w:pPr>
        <w:spacing w:line="360" w:lineRule="auto"/>
        <w:ind w:firstLine="420" w:firstLineChars="200"/>
        <w:jc w:val="left"/>
        <w:rPr>
          <w:rFonts w:ascii="宋体" w:hAnsi="宋体"/>
          <w:color w:val="auto"/>
          <w:szCs w:val="21"/>
        </w:rPr>
      </w:pPr>
      <w:r>
        <w:rPr>
          <w:rFonts w:hint="eastAsia" w:ascii="宋体" w:hAnsi="宋体"/>
          <w:color w:val="auto"/>
          <w:szCs w:val="21"/>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4B81BC1B">
      <w:pPr>
        <w:spacing w:line="360" w:lineRule="auto"/>
        <w:ind w:firstLine="420" w:firstLineChars="200"/>
        <w:jc w:val="left"/>
        <w:rPr>
          <w:rFonts w:ascii="宋体" w:hAnsi="宋体"/>
          <w:color w:val="auto"/>
          <w:szCs w:val="21"/>
        </w:rPr>
      </w:pPr>
      <w:r>
        <w:rPr>
          <w:rFonts w:hint="eastAsia" w:ascii="宋体" w:hAnsi="宋体"/>
          <w:color w:val="auto"/>
          <w:szCs w:val="21"/>
        </w:rPr>
        <w:t>3.3.4 承包人主要施工管理人员离开施工现场，指定的临时人员需满足：</w:t>
      </w:r>
      <w:r>
        <w:rPr>
          <w:rFonts w:hint="eastAsia" w:ascii="宋体" w:hAnsi="宋体"/>
          <w:color w:val="auto"/>
          <w:szCs w:val="21"/>
          <w:u w:val="single"/>
        </w:rPr>
        <w:t>《重庆市房屋建筑与市政基础设施工程现场施工从业人员配备标准》（DBJ50-157-2013）的相应要求</w:t>
      </w:r>
      <w:r>
        <w:rPr>
          <w:rFonts w:hint="eastAsia" w:ascii="宋体" w:hAnsi="宋体"/>
          <w:color w:val="auto"/>
          <w:szCs w:val="21"/>
        </w:rPr>
        <w:t>。</w:t>
      </w:r>
    </w:p>
    <w:p w14:paraId="342B45A9">
      <w:pPr>
        <w:pStyle w:val="7"/>
        <w:spacing w:before="0" w:beforeAutospacing="0" w:after="0" w:afterAutospacing="0" w:line="360" w:lineRule="auto"/>
        <w:ind w:firstLine="422" w:firstLineChars="200"/>
        <w:rPr>
          <w:color w:val="auto"/>
          <w:sz w:val="21"/>
          <w:szCs w:val="21"/>
        </w:rPr>
      </w:pPr>
      <w:bookmarkStart w:id="1428" w:name="_Toc532377338"/>
      <w:r>
        <w:rPr>
          <w:rFonts w:hint="eastAsia"/>
          <w:color w:val="auto"/>
          <w:sz w:val="21"/>
          <w:szCs w:val="21"/>
        </w:rPr>
        <w:t>3</w:t>
      </w:r>
      <w:bookmarkStart w:id="1429" w:name="_Toc296890987"/>
      <w:bookmarkStart w:id="1430" w:name="_Toc296346660"/>
      <w:bookmarkStart w:id="1431" w:name="_Toc296944498"/>
      <w:bookmarkStart w:id="1432" w:name="_Toc304295523"/>
      <w:bookmarkStart w:id="1433" w:name="_Toc297123492"/>
      <w:bookmarkStart w:id="1434" w:name="_Toc292559364"/>
      <w:bookmarkStart w:id="1435" w:name="_Toc296503159"/>
      <w:bookmarkStart w:id="1436" w:name="_Toc296347158"/>
      <w:bookmarkStart w:id="1437" w:name="_Toc292559869"/>
      <w:bookmarkStart w:id="1438" w:name="_Toc297120459"/>
      <w:bookmarkStart w:id="1439" w:name="_Toc303539102"/>
      <w:bookmarkStart w:id="1440" w:name="_Toc297216151"/>
      <w:bookmarkStart w:id="1441" w:name="_Toc312677988"/>
      <w:bookmarkStart w:id="1442" w:name="_Toc300934945"/>
      <w:bookmarkStart w:id="1443" w:name="_Toc296891199"/>
      <w:bookmarkStart w:id="1444" w:name="_Toc297048345"/>
      <w:r>
        <w:rPr>
          <w:rFonts w:hint="eastAsia"/>
          <w:color w:val="auto"/>
          <w:sz w:val="21"/>
          <w:szCs w:val="21"/>
        </w:rPr>
        <w:t>.5 分包</w:t>
      </w:r>
      <w:bookmarkEnd w:id="1428"/>
    </w:p>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14:paraId="49704A6D">
      <w:pPr>
        <w:spacing w:line="360" w:lineRule="auto"/>
        <w:ind w:firstLine="420" w:firstLineChars="200"/>
        <w:jc w:val="left"/>
        <w:rPr>
          <w:rFonts w:ascii="宋体" w:hAnsi="宋体"/>
          <w:color w:val="auto"/>
          <w:szCs w:val="21"/>
        </w:rPr>
      </w:pPr>
      <w:r>
        <w:rPr>
          <w:rFonts w:hint="eastAsia" w:ascii="宋体" w:hAnsi="宋体"/>
          <w:color w:val="auto"/>
          <w:szCs w:val="21"/>
        </w:rPr>
        <w:t>3</w:t>
      </w:r>
      <w:bookmarkStart w:id="1445" w:name="_Toc312677989"/>
      <w:bookmarkStart w:id="1446" w:name="_Toc296347159"/>
      <w:bookmarkStart w:id="1447" w:name="_Toc292559365"/>
      <w:bookmarkStart w:id="1448" w:name="_Toc296503160"/>
      <w:bookmarkStart w:id="1449" w:name="_Toc300934946"/>
      <w:bookmarkStart w:id="1450" w:name="_Toc297216152"/>
      <w:bookmarkStart w:id="1451" w:name="_Toc304295524"/>
      <w:bookmarkStart w:id="1452" w:name="_Toc297123493"/>
      <w:bookmarkStart w:id="1453" w:name="_Toc296890988"/>
      <w:bookmarkStart w:id="1454" w:name="_Toc318581158"/>
      <w:bookmarkStart w:id="1455" w:name="_Toc292559870"/>
      <w:bookmarkStart w:id="1456" w:name="_Toc303539103"/>
      <w:bookmarkStart w:id="1457" w:name="_Toc297048346"/>
      <w:bookmarkStart w:id="1458" w:name="_Toc296944499"/>
      <w:bookmarkStart w:id="1459" w:name="_Toc296346661"/>
      <w:bookmarkStart w:id="1460" w:name="_Toc297120460"/>
      <w:bookmarkStart w:id="1461" w:name="_Toc296891200"/>
      <w:r>
        <w:rPr>
          <w:rFonts w:hint="eastAsia" w:ascii="宋体" w:hAnsi="宋体"/>
          <w:color w:val="auto"/>
          <w:szCs w:val="21"/>
        </w:rPr>
        <w:t>.5.1 分包的一般约定</w:t>
      </w:r>
    </w:p>
    <w:p w14:paraId="2A8D8C70">
      <w:pPr>
        <w:spacing w:line="360" w:lineRule="auto"/>
        <w:ind w:firstLine="420" w:firstLineChars="200"/>
        <w:jc w:val="left"/>
        <w:rPr>
          <w:rFonts w:ascii="宋体" w:hAnsi="宋体"/>
          <w:color w:val="auto"/>
          <w:szCs w:val="21"/>
        </w:rPr>
      </w:pPr>
      <w:r>
        <w:rPr>
          <w:rFonts w:hint="eastAsia" w:ascii="宋体" w:hAnsi="宋体"/>
          <w:color w:val="auto"/>
          <w:szCs w:val="21"/>
        </w:rPr>
        <w:t>禁止分包的工程包括：主体结构、关键性工作等国家法律、法规禁止分包的工程。</w:t>
      </w:r>
    </w:p>
    <w:p w14:paraId="247DD23F">
      <w:pPr>
        <w:spacing w:line="360" w:lineRule="auto"/>
        <w:ind w:firstLine="420" w:firstLineChars="200"/>
        <w:jc w:val="left"/>
        <w:rPr>
          <w:rFonts w:ascii="宋体" w:hAnsi="宋体"/>
          <w:color w:val="auto"/>
          <w:szCs w:val="21"/>
        </w:rPr>
      </w:pPr>
      <w:r>
        <w:rPr>
          <w:rFonts w:hint="eastAsia" w:ascii="宋体" w:hAnsi="宋体"/>
          <w:color w:val="auto"/>
          <w:szCs w:val="21"/>
        </w:rPr>
        <w:t>主体结构、关键性工作的范围：国家法律、法规、规范、标准等所约束的范围。如房建工程主体结构指混凝土工程、砌体工程、钢结构工程（具体有基础、梁、板、柱、砼墙、楼梯工程等）</w:t>
      </w:r>
      <w:bookmarkStart w:id="1462" w:name="_Toc297120461"/>
      <w:bookmarkStart w:id="1463" w:name="_Toc296503161"/>
      <w:bookmarkStart w:id="1464" w:name="_Toc300934947"/>
      <w:bookmarkStart w:id="1465" w:name="_Toc296944500"/>
      <w:bookmarkStart w:id="1466" w:name="_Toc296891201"/>
      <w:bookmarkStart w:id="1467" w:name="_Toc297048347"/>
      <w:bookmarkStart w:id="1468" w:name="_Toc296346662"/>
      <w:bookmarkStart w:id="1469" w:name="_Toc296890989"/>
      <w:bookmarkStart w:id="1470" w:name="_Toc297123494"/>
      <w:bookmarkStart w:id="1471" w:name="_Toc297216153"/>
      <w:bookmarkStart w:id="1472" w:name="_Toc303539104"/>
      <w:bookmarkStart w:id="1473" w:name="_Toc304295525"/>
      <w:bookmarkStart w:id="1474" w:name="_Toc296347160"/>
      <w:r>
        <w:rPr>
          <w:rFonts w:hint="eastAsia" w:ascii="宋体" w:hAnsi="宋体"/>
          <w:color w:val="auto"/>
          <w:szCs w:val="21"/>
        </w:rPr>
        <w:t>；关键性工作指梁、板、柱等部位。</w:t>
      </w:r>
    </w:p>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14:paraId="3CE77478">
      <w:pPr>
        <w:spacing w:line="360" w:lineRule="auto"/>
        <w:ind w:firstLine="420" w:firstLineChars="200"/>
        <w:jc w:val="left"/>
        <w:rPr>
          <w:rFonts w:ascii="宋体" w:hAnsi="宋体"/>
          <w:color w:val="auto"/>
          <w:szCs w:val="21"/>
        </w:rPr>
      </w:pPr>
      <w:r>
        <w:rPr>
          <w:rFonts w:hint="eastAsia" w:ascii="宋体" w:hAnsi="宋体"/>
          <w:color w:val="auto"/>
          <w:szCs w:val="21"/>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33AD8E5A">
      <w:pPr>
        <w:spacing w:line="360" w:lineRule="auto"/>
        <w:ind w:firstLine="420" w:firstLineChars="200"/>
        <w:jc w:val="left"/>
        <w:rPr>
          <w:rFonts w:ascii="宋体" w:hAnsi="宋体"/>
          <w:color w:val="auto"/>
          <w:szCs w:val="21"/>
        </w:rPr>
      </w:pPr>
      <w:r>
        <w:rPr>
          <w:rFonts w:hint="eastAsia" w:ascii="宋体" w:hAnsi="宋体"/>
          <w:color w:val="auto"/>
          <w:szCs w:val="21"/>
        </w:rPr>
        <w:t>3</w:t>
      </w:r>
      <w:bookmarkStart w:id="1475" w:name="_Toc318581159"/>
      <w:bookmarkStart w:id="1476" w:name="_Toc312677990"/>
      <w:r>
        <w:rPr>
          <w:rFonts w:hint="eastAsia" w:ascii="宋体" w:hAnsi="宋体"/>
          <w:color w:val="auto"/>
          <w:szCs w:val="21"/>
        </w:rPr>
        <w:t>.5.2分包的确定</w:t>
      </w:r>
    </w:p>
    <w:p w14:paraId="1C27204F">
      <w:pPr>
        <w:spacing w:line="360" w:lineRule="auto"/>
        <w:ind w:firstLine="420" w:firstLineChars="200"/>
        <w:jc w:val="left"/>
        <w:rPr>
          <w:rFonts w:ascii="宋体" w:hAnsi="宋体"/>
          <w:i/>
          <w:iCs/>
          <w:color w:val="auto"/>
          <w:szCs w:val="21"/>
        </w:rPr>
      </w:pPr>
      <w:r>
        <w:rPr>
          <w:rFonts w:hint="eastAsia" w:ascii="宋体" w:hAnsi="宋体"/>
          <w:color w:val="auto"/>
          <w:szCs w:val="21"/>
        </w:rPr>
        <w:t>允许分包的专业工程包括：</w:t>
      </w:r>
      <w:r>
        <w:rPr>
          <w:rFonts w:hint="eastAsia" w:ascii="宋体" w:hAnsi="宋体"/>
          <w:color w:val="auto"/>
          <w:szCs w:val="21"/>
          <w:u w:val="single"/>
        </w:rPr>
        <w:t xml:space="preserve">    /    。</w:t>
      </w:r>
      <w:r>
        <w:rPr>
          <w:rFonts w:hint="eastAsia" w:ascii="宋体" w:hAnsi="宋体"/>
          <w:i/>
          <w:iCs/>
          <w:color w:val="auto"/>
          <w:szCs w:val="21"/>
        </w:rPr>
        <w:t>[提示：符合《中华人民共和国建筑法》和《中华人民共和国采购投标法》的相关规定。]</w:t>
      </w:r>
    </w:p>
    <w:p w14:paraId="2E0848B6">
      <w:pPr>
        <w:spacing w:line="360" w:lineRule="auto"/>
        <w:ind w:firstLine="420" w:firstLineChars="200"/>
        <w:jc w:val="left"/>
        <w:rPr>
          <w:rFonts w:ascii="宋体" w:hAnsi="宋体"/>
          <w:color w:val="auto"/>
          <w:szCs w:val="21"/>
        </w:rPr>
      </w:pPr>
      <w:r>
        <w:rPr>
          <w:rFonts w:hint="eastAsia" w:ascii="宋体" w:hAnsi="宋体"/>
          <w:color w:val="auto"/>
          <w:szCs w:val="21"/>
        </w:rPr>
        <w:t>3.5.4 分包合同价款</w:t>
      </w:r>
    </w:p>
    <w:p w14:paraId="74E0C16F">
      <w:pPr>
        <w:spacing w:line="360" w:lineRule="auto"/>
        <w:ind w:firstLine="420" w:firstLineChars="200"/>
        <w:jc w:val="left"/>
        <w:rPr>
          <w:rFonts w:ascii="宋体" w:hAnsi="宋体"/>
          <w:color w:val="auto"/>
          <w:szCs w:val="21"/>
        </w:rPr>
      </w:pPr>
      <w:r>
        <w:rPr>
          <w:rFonts w:hint="eastAsia" w:ascii="宋体" w:hAnsi="宋体"/>
          <w:color w:val="auto"/>
          <w:szCs w:val="21"/>
        </w:rPr>
        <w:t>关于分包合同价款支付的约定：</w:t>
      </w:r>
      <w:bookmarkEnd w:id="1475"/>
      <w:bookmarkEnd w:id="1476"/>
      <w:r>
        <w:rPr>
          <w:rFonts w:hint="eastAsia" w:ascii="宋体" w:hAnsi="宋体"/>
          <w:color w:val="auto"/>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rPr>
        <w:t>。</w:t>
      </w:r>
    </w:p>
    <w:p w14:paraId="178DA35F">
      <w:pPr>
        <w:spacing w:line="360" w:lineRule="auto"/>
        <w:ind w:firstLine="420" w:firstLineChars="200"/>
        <w:jc w:val="left"/>
        <w:rPr>
          <w:rFonts w:ascii="宋体" w:hAnsi="宋体"/>
          <w:color w:val="auto"/>
          <w:szCs w:val="21"/>
        </w:rPr>
      </w:pPr>
      <w:r>
        <w:rPr>
          <w:rFonts w:hint="eastAsia" w:ascii="宋体" w:hAnsi="宋体"/>
          <w:color w:val="auto"/>
          <w:szCs w:val="21"/>
        </w:rPr>
        <w:t>本款补充3.5.6项：</w:t>
      </w:r>
    </w:p>
    <w:p w14:paraId="01BCC400">
      <w:pPr>
        <w:spacing w:line="360" w:lineRule="auto"/>
        <w:ind w:firstLine="420" w:firstLineChars="200"/>
        <w:jc w:val="left"/>
        <w:rPr>
          <w:rFonts w:ascii="宋体" w:hAnsi="宋体"/>
          <w:color w:val="auto"/>
          <w:szCs w:val="21"/>
        </w:rPr>
      </w:pPr>
      <w:r>
        <w:rPr>
          <w:rFonts w:hint="eastAsia" w:ascii="宋体" w:hAnsi="宋体"/>
          <w:color w:val="auto"/>
          <w:szCs w:val="21"/>
        </w:rPr>
        <w:t>3.5.6严禁违法分包</w:t>
      </w:r>
    </w:p>
    <w:p w14:paraId="5711293D">
      <w:pPr>
        <w:spacing w:line="360" w:lineRule="auto"/>
        <w:ind w:firstLine="420" w:firstLineChars="200"/>
        <w:jc w:val="left"/>
        <w:rPr>
          <w:rFonts w:ascii="宋体" w:hAnsi="宋体"/>
          <w:color w:val="auto"/>
          <w:szCs w:val="21"/>
        </w:rPr>
      </w:pPr>
      <w:r>
        <w:rPr>
          <w:rFonts w:hint="eastAsia" w:ascii="宋体" w:hAnsi="宋体"/>
          <w:color w:val="auto"/>
          <w:szCs w:val="21"/>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7D1CA7DF">
      <w:pPr>
        <w:pStyle w:val="7"/>
        <w:spacing w:before="0" w:beforeAutospacing="0" w:after="0" w:afterAutospacing="0" w:line="360" w:lineRule="auto"/>
        <w:ind w:firstLine="422" w:firstLineChars="200"/>
        <w:rPr>
          <w:color w:val="auto"/>
          <w:sz w:val="21"/>
          <w:szCs w:val="21"/>
        </w:rPr>
      </w:pPr>
      <w:bookmarkStart w:id="1477" w:name="_Toc532377339"/>
      <w:r>
        <w:rPr>
          <w:rFonts w:hint="eastAsia"/>
          <w:color w:val="auto"/>
          <w:sz w:val="21"/>
          <w:szCs w:val="21"/>
        </w:rPr>
        <w:t>3.7 履约担保</w:t>
      </w:r>
      <w:bookmarkEnd w:id="1477"/>
    </w:p>
    <w:p w14:paraId="1E626A71">
      <w:pPr>
        <w:spacing w:line="360" w:lineRule="auto"/>
        <w:ind w:firstLine="420" w:firstLineChars="200"/>
        <w:jc w:val="left"/>
        <w:rPr>
          <w:rFonts w:ascii="宋体" w:hAnsi="宋体"/>
          <w:color w:val="auto"/>
          <w:szCs w:val="21"/>
        </w:rPr>
      </w:pPr>
      <w:r>
        <w:rPr>
          <w:rFonts w:hint="eastAsia" w:ascii="宋体" w:hAnsi="宋体"/>
          <w:color w:val="auto"/>
          <w:szCs w:val="21"/>
        </w:rPr>
        <w:t>3.7.1承包人是否提供履约担保：</w:t>
      </w:r>
      <w:r>
        <w:rPr>
          <w:rFonts w:hint="eastAsia" w:ascii="宋体" w:hAnsi="宋体"/>
          <w:color w:val="auto"/>
          <w:szCs w:val="21"/>
          <w:u w:val="single"/>
        </w:rPr>
        <w:t>提供</w:t>
      </w:r>
      <w:r>
        <w:rPr>
          <w:rFonts w:hint="eastAsia" w:ascii="宋体" w:hAnsi="宋体"/>
          <w:color w:val="auto"/>
          <w:szCs w:val="21"/>
        </w:rPr>
        <w:t>。</w:t>
      </w:r>
    </w:p>
    <w:p w14:paraId="555BDCE2">
      <w:pPr>
        <w:spacing w:line="360" w:lineRule="auto"/>
        <w:ind w:firstLine="420" w:firstLineChars="200"/>
        <w:jc w:val="left"/>
        <w:rPr>
          <w:rFonts w:ascii="宋体" w:hAnsi="宋体"/>
          <w:color w:val="auto"/>
          <w:szCs w:val="21"/>
        </w:rPr>
      </w:pPr>
      <w:r>
        <w:rPr>
          <w:rFonts w:hint="eastAsia" w:ascii="宋体" w:hAnsi="宋体"/>
          <w:color w:val="auto"/>
          <w:szCs w:val="21"/>
        </w:rPr>
        <w:t>3.7.2承包人提供履约担保的形式、金额及期限：</w:t>
      </w:r>
    </w:p>
    <w:p w14:paraId="1514CF71">
      <w:pPr>
        <w:spacing w:line="360" w:lineRule="auto"/>
        <w:ind w:firstLine="420" w:firstLineChars="200"/>
        <w:jc w:val="left"/>
        <w:rPr>
          <w:rFonts w:ascii="宋体" w:hAnsi="宋体"/>
          <w:color w:val="auto"/>
          <w:szCs w:val="21"/>
        </w:rPr>
      </w:pPr>
      <w:r>
        <w:rPr>
          <w:rFonts w:hint="eastAsia" w:ascii="宋体" w:hAnsi="宋体"/>
          <w:color w:val="auto"/>
          <w:szCs w:val="21"/>
        </w:rPr>
        <w:t>（1）履约担保的形式：现金或银行保函或现金+银行保函的组合；采用银行保函</w:t>
      </w:r>
      <w:r>
        <w:rPr>
          <w:rFonts w:hint="eastAsia" w:ascii="宋体" w:hAnsi="宋体" w:cs="宋体"/>
          <w:color w:val="auto"/>
          <w:szCs w:val="21"/>
        </w:rPr>
        <w:t>(仅限于全国性商业银行不含地方银行)</w:t>
      </w:r>
      <w:r>
        <w:rPr>
          <w:rFonts w:hint="eastAsia" w:ascii="宋体" w:hAnsi="宋体"/>
          <w:color w:val="auto"/>
          <w:szCs w:val="21"/>
        </w:rPr>
        <w:t>形式的，保函必须为不可撤销且见索即付；</w:t>
      </w:r>
    </w:p>
    <w:p w14:paraId="078917BD">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（2）履约担保的金额：</w:t>
      </w:r>
      <w:r>
        <w:rPr>
          <w:rFonts w:hint="eastAsia" w:ascii="宋体" w:hAnsi="宋体"/>
          <w:color w:val="auto"/>
          <w:szCs w:val="21"/>
          <w:u w:val="single"/>
          <w:lang w:eastAsia="zh-CN"/>
        </w:rPr>
        <w:t>中标合同金额的</w:t>
      </w:r>
      <w:r>
        <w:rPr>
          <w:rFonts w:hint="eastAsia" w:ascii="宋体" w:hAnsi="宋体"/>
          <w:color w:val="auto"/>
          <w:szCs w:val="21"/>
          <w:u w:val="single"/>
          <w:lang w:val="en-US" w:eastAsia="zh-CN"/>
        </w:rPr>
        <w:t>10%</w:t>
      </w:r>
      <w:r>
        <w:rPr>
          <w:rFonts w:hint="eastAsia" w:ascii="宋体" w:hAnsi="宋体"/>
          <w:color w:val="auto"/>
          <w:szCs w:val="21"/>
        </w:rPr>
        <w:t>；</w:t>
      </w:r>
    </w:p>
    <w:p w14:paraId="37E54BE6">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（3）履约担保的提交时间：</w:t>
      </w:r>
      <w:r>
        <w:rPr>
          <w:rFonts w:hint="eastAsia" w:ascii="宋体" w:hAnsi="宋体"/>
          <w:color w:val="auto"/>
          <w:szCs w:val="21"/>
          <w:u w:val="single"/>
        </w:rPr>
        <w:t>在合同签订前，承包人按担保金额向发包人提交履约担保</w:t>
      </w:r>
      <w:r>
        <w:rPr>
          <w:rFonts w:hint="eastAsia" w:ascii="宋体" w:hAnsi="宋体"/>
          <w:color w:val="auto"/>
          <w:szCs w:val="21"/>
        </w:rPr>
        <w:t>。</w:t>
      </w:r>
    </w:p>
    <w:p w14:paraId="72C74E79">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（4）履约担保的期限：</w:t>
      </w:r>
      <w:r>
        <w:rPr>
          <w:rFonts w:hint="eastAsia" w:ascii="宋体" w:hAnsi="宋体"/>
          <w:color w:val="auto"/>
          <w:szCs w:val="21"/>
          <w:u w:val="single"/>
        </w:rPr>
        <w:t>自我方法定代表人（或其委托代理人）签字并加盖公章之日起至你方签发或应签发工程接收证书之日止</w:t>
      </w:r>
      <w:r>
        <w:rPr>
          <w:rFonts w:hint="eastAsia" w:ascii="宋体" w:hAnsi="宋体"/>
          <w:color w:val="auto"/>
          <w:szCs w:val="21"/>
        </w:rPr>
        <w:t>。</w:t>
      </w:r>
    </w:p>
    <w:p w14:paraId="5F8DE032">
      <w:pPr>
        <w:tabs>
          <w:tab w:val="left" w:pos="1134"/>
        </w:tabs>
        <w:spacing w:line="360" w:lineRule="auto"/>
        <w:jc w:val="left"/>
        <w:rPr>
          <w:rFonts w:ascii="宋体" w:hAnsi="宋体"/>
          <w:color w:val="auto"/>
          <w:szCs w:val="21"/>
        </w:rPr>
      </w:pPr>
      <w:r>
        <w:rPr>
          <w:rFonts w:hint="eastAsia" w:ascii="宋体" w:hAnsi="宋体"/>
          <w:color w:val="auto"/>
          <w:szCs w:val="21"/>
        </w:rPr>
        <w:t>（5）履约担保的退还时间：</w:t>
      </w:r>
      <w:r>
        <w:rPr>
          <w:rFonts w:hint="eastAsia" w:ascii="宋体" w:hAnsi="宋体"/>
          <w:color w:val="auto"/>
          <w:szCs w:val="21"/>
          <w:u w:val="single"/>
        </w:rPr>
        <w:t>采用现金担保的，工程竣工验收合格后14天内退还；采用银行保函的，工程竣工验收合格后14天内退还</w:t>
      </w:r>
      <w:r>
        <w:rPr>
          <w:rFonts w:hint="eastAsia" w:ascii="宋体" w:hAnsi="宋体"/>
          <w:color w:val="auto"/>
          <w:szCs w:val="21"/>
        </w:rPr>
        <w:t>。</w:t>
      </w:r>
    </w:p>
    <w:p w14:paraId="59E26E97">
      <w:pPr>
        <w:spacing w:line="360" w:lineRule="auto"/>
        <w:ind w:firstLine="420" w:firstLineChars="200"/>
        <w:jc w:val="left"/>
        <w:rPr>
          <w:rFonts w:ascii="宋体" w:hAnsi="宋体"/>
          <w:color w:val="auto"/>
          <w:szCs w:val="21"/>
        </w:rPr>
      </w:pPr>
      <w:r>
        <w:rPr>
          <w:rFonts w:hint="eastAsia" w:ascii="宋体" w:hAnsi="宋体"/>
          <w:color w:val="auto"/>
          <w:szCs w:val="21"/>
        </w:rPr>
        <w:t>本款补充3.7.3项：</w:t>
      </w:r>
    </w:p>
    <w:p w14:paraId="12AD9E5B">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3.7.3 低价风险担保</w:t>
      </w:r>
    </w:p>
    <w:p w14:paraId="6385E739">
      <w:pPr>
        <w:spacing w:line="360" w:lineRule="auto"/>
        <w:ind w:firstLine="420" w:firstLineChars="200"/>
        <w:jc w:val="left"/>
        <w:rPr>
          <w:rFonts w:ascii="宋体" w:hAnsi="宋体"/>
          <w:color w:val="auto"/>
          <w:szCs w:val="21"/>
        </w:rPr>
      </w:pPr>
      <w:r>
        <w:rPr>
          <w:rFonts w:hint="eastAsia" w:ascii="宋体" w:hAnsi="宋体"/>
          <w:color w:val="auto"/>
          <w:szCs w:val="21"/>
        </w:rPr>
        <w:t>承包人提供低价风险担保的情形：采用经评审的最低投标价法的项目投标报价低于最高限价85%时。</w:t>
      </w:r>
    </w:p>
    <w:p w14:paraId="046D6381">
      <w:pPr>
        <w:spacing w:line="360" w:lineRule="auto"/>
        <w:ind w:firstLine="420" w:firstLineChars="200"/>
        <w:jc w:val="left"/>
        <w:rPr>
          <w:rFonts w:ascii="宋体" w:hAnsi="宋体"/>
          <w:color w:val="auto"/>
          <w:szCs w:val="21"/>
        </w:rPr>
      </w:pPr>
      <w:r>
        <w:rPr>
          <w:rFonts w:hint="eastAsia" w:ascii="宋体" w:hAnsi="宋体"/>
          <w:color w:val="auto"/>
          <w:szCs w:val="21"/>
        </w:rPr>
        <w:t>承包人提供低价风险担保的形式、金额及期限：</w:t>
      </w:r>
    </w:p>
    <w:p w14:paraId="2C4F1883">
      <w:pPr>
        <w:spacing w:line="360" w:lineRule="auto"/>
        <w:ind w:firstLine="420" w:firstLineChars="200"/>
        <w:jc w:val="left"/>
        <w:rPr>
          <w:rFonts w:ascii="宋体" w:hAnsi="宋体"/>
          <w:color w:val="auto"/>
          <w:szCs w:val="21"/>
        </w:rPr>
      </w:pPr>
      <w:r>
        <w:rPr>
          <w:rFonts w:hint="eastAsia" w:ascii="宋体" w:hAnsi="宋体"/>
          <w:color w:val="auto"/>
          <w:szCs w:val="21"/>
        </w:rPr>
        <w:t>（1）低价风险担保的形式：现金或银行保函或现金+银行保函的组合；采用银行保函</w:t>
      </w:r>
      <w:r>
        <w:rPr>
          <w:rFonts w:hint="eastAsia" w:ascii="宋体" w:hAnsi="宋体" w:cs="宋体"/>
          <w:color w:val="auto"/>
          <w:szCs w:val="21"/>
        </w:rPr>
        <w:t>(仅限于全国性商业银行不含地方银行)</w:t>
      </w:r>
      <w:r>
        <w:rPr>
          <w:rFonts w:hint="eastAsia" w:ascii="宋体" w:hAnsi="宋体"/>
          <w:color w:val="auto"/>
          <w:szCs w:val="21"/>
        </w:rPr>
        <w:t>形式的，保函必须为不可撤销且见索即付；</w:t>
      </w:r>
    </w:p>
    <w:p w14:paraId="1756229E">
      <w:pPr>
        <w:spacing w:line="360" w:lineRule="auto"/>
        <w:ind w:firstLine="420" w:firstLineChars="200"/>
        <w:jc w:val="left"/>
        <w:rPr>
          <w:rFonts w:ascii="宋体" w:hAnsi="宋体"/>
          <w:color w:val="auto"/>
          <w:szCs w:val="21"/>
        </w:rPr>
      </w:pPr>
      <w:r>
        <w:rPr>
          <w:rFonts w:hint="eastAsia" w:ascii="宋体" w:hAnsi="宋体"/>
          <w:color w:val="auto"/>
          <w:szCs w:val="21"/>
        </w:rPr>
        <w:t>（2）低价风险担保的金额：</w:t>
      </w:r>
      <w:r>
        <w:rPr>
          <w:rFonts w:hint="eastAsia" w:ascii="仿宋_GB2312" w:hAnsi="宋体" w:eastAsia="仿宋_GB2312" w:cs="宋体"/>
          <w:color w:val="auto"/>
          <w:kern w:val="0"/>
          <w:szCs w:val="21"/>
          <w:u w:val="single"/>
        </w:rPr>
        <w:t xml:space="preserve">            </w:t>
      </w:r>
      <w:r>
        <w:rPr>
          <w:rFonts w:hint="eastAsia" w:ascii="宋体" w:hAnsi="宋体"/>
          <w:color w:val="auto"/>
          <w:szCs w:val="21"/>
        </w:rPr>
        <w:t>；</w:t>
      </w:r>
    </w:p>
    <w:p w14:paraId="00227130">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（3）低价风险担保的提交时间：</w:t>
      </w:r>
      <w:r>
        <w:rPr>
          <w:rFonts w:hint="eastAsia"/>
          <w:color w:val="auto"/>
          <w:szCs w:val="21"/>
          <w:u w:val="single"/>
        </w:rPr>
        <w:t>从采购人低价风险担保书面通知送达拟中标人之日起 10工作日内</w:t>
      </w:r>
      <w:r>
        <w:rPr>
          <w:rFonts w:hint="eastAsia" w:ascii="宋体" w:hAnsi="宋体"/>
          <w:color w:val="auto"/>
          <w:szCs w:val="21"/>
          <w:u w:val="single"/>
        </w:rPr>
        <w:t>；</w:t>
      </w:r>
    </w:p>
    <w:p w14:paraId="11621EA8">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（4）低价风险担保的期限：</w:t>
      </w:r>
      <w:r>
        <w:rPr>
          <w:rFonts w:hint="eastAsia"/>
          <w:color w:val="auto"/>
          <w:szCs w:val="21"/>
          <w:u w:val="single"/>
        </w:rPr>
        <w:t>自低价风险担保生效之日起至竣工验收合格之日止</w:t>
      </w:r>
      <w:r>
        <w:rPr>
          <w:rFonts w:hint="eastAsia" w:ascii="宋体" w:hAnsi="宋体"/>
          <w:color w:val="auto"/>
          <w:szCs w:val="21"/>
        </w:rPr>
        <w:t>。</w:t>
      </w:r>
    </w:p>
    <w:p w14:paraId="7EEABD16">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低价风险担保的退还时间：</w:t>
      </w:r>
      <w:r>
        <w:rPr>
          <w:rFonts w:hint="eastAsia" w:ascii="宋体" w:hAnsi="宋体"/>
          <w:color w:val="auto"/>
          <w:szCs w:val="21"/>
          <w:u w:val="single"/>
        </w:rPr>
        <w:t>采用现金担保的，工程竣工验收合格后14天内无息退还；采用银行保函的，工程竣工验收合格后14天内退还</w:t>
      </w:r>
      <w:r>
        <w:rPr>
          <w:rFonts w:hint="eastAsia" w:ascii="宋体" w:hAnsi="宋体"/>
          <w:color w:val="auto"/>
          <w:szCs w:val="21"/>
        </w:rPr>
        <w:t>。</w:t>
      </w:r>
    </w:p>
    <w:p w14:paraId="19D7F4CB">
      <w:pPr>
        <w:pStyle w:val="2"/>
        <w:spacing w:after="0" w:line="360" w:lineRule="auto"/>
        <w:ind w:firstLine="420" w:firstLineChars="200"/>
        <w:jc w:val="left"/>
        <w:rPr>
          <w:rFonts w:ascii="宋体" w:hAnsi="宋体"/>
          <w:color w:val="auto"/>
          <w:szCs w:val="21"/>
        </w:rPr>
      </w:pPr>
      <w:bookmarkStart w:id="1478" w:name="_Toc532377340"/>
      <w:bookmarkStart w:id="1479" w:name="_Toc532375611"/>
      <w:bookmarkStart w:id="1480" w:name="_Toc351203636"/>
      <w:r>
        <w:rPr>
          <w:rFonts w:hint="eastAsia" w:ascii="宋体" w:hAnsi="宋体"/>
          <w:color w:val="auto"/>
          <w:szCs w:val="21"/>
        </w:rPr>
        <w:t>（5）低价风险担保的扣减：</w:t>
      </w:r>
    </w:p>
    <w:p w14:paraId="250D0EF5">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color w:val="auto"/>
          <w:szCs w:val="21"/>
          <w:u w:val="single"/>
        </w:rPr>
        <w:t>50～100%</w:t>
      </w:r>
      <w:r>
        <w:rPr>
          <w:rFonts w:hint="eastAsia" w:ascii="宋体" w:hAnsi="宋体"/>
          <w:color w:val="auto"/>
          <w:szCs w:val="21"/>
        </w:rPr>
        <w:t>扣减，直至解除合同；</w:t>
      </w:r>
    </w:p>
    <w:p w14:paraId="1CF4052E">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②承包人在工程施工期间或竣工验收时，工程质量不符合国家现行有关施工质量验收规范要求的，按低价风险担保金额的</w:t>
      </w:r>
      <w:r>
        <w:rPr>
          <w:rFonts w:hint="eastAsia" w:ascii="宋体" w:hAnsi="宋体"/>
          <w:color w:val="auto"/>
          <w:szCs w:val="21"/>
          <w:u w:val="single"/>
        </w:rPr>
        <w:t>50～100%</w:t>
      </w:r>
      <w:r>
        <w:rPr>
          <w:rFonts w:hint="eastAsia" w:ascii="宋体" w:hAnsi="宋体"/>
          <w:color w:val="auto"/>
          <w:szCs w:val="21"/>
        </w:rPr>
        <w:t>扣减，直至解除合同；</w:t>
      </w:r>
    </w:p>
    <w:p w14:paraId="6C03581C">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③承包人因16.2.3项原因被解除合同的，低价风险担保将全额扣除；</w:t>
      </w:r>
    </w:p>
    <w:p w14:paraId="5C275C9D">
      <w:pPr>
        <w:pStyle w:val="2"/>
        <w:spacing w:after="0" w:line="360" w:lineRule="auto"/>
        <w:ind w:firstLine="420" w:firstLineChars="200"/>
        <w:jc w:val="left"/>
        <w:rPr>
          <w:rFonts w:ascii="宋体" w:hAnsi="宋体"/>
          <w:color w:val="auto"/>
          <w:szCs w:val="21"/>
          <w:u w:val="single"/>
        </w:rPr>
      </w:pPr>
      <w:r>
        <w:rPr>
          <w:rFonts w:hint="eastAsia" w:ascii="宋体" w:hAnsi="宋体"/>
          <w:color w:val="auto"/>
          <w:szCs w:val="21"/>
        </w:rPr>
        <w:t>④因承包人过错导致的其他情形：</w:t>
      </w:r>
      <w:r>
        <w:rPr>
          <w:rFonts w:hint="eastAsia" w:ascii="宋体" w:hAnsi="宋体"/>
          <w:color w:val="auto"/>
          <w:szCs w:val="21"/>
          <w:u w:val="single"/>
        </w:rPr>
        <w:t xml:space="preserve">        </w:t>
      </w:r>
      <w:r>
        <w:rPr>
          <w:rFonts w:hint="eastAsia" w:ascii="宋体" w:hAnsi="宋体"/>
          <w:color w:val="auto"/>
          <w:szCs w:val="21"/>
        </w:rPr>
        <w:t>。</w:t>
      </w:r>
    </w:p>
    <w:p w14:paraId="16A9FC8B">
      <w:pPr>
        <w:pStyle w:val="6"/>
        <w:keepNext/>
        <w:keepLines/>
        <w:spacing w:beforeLines="50" w:beforeAutospacing="0" w:afterLines="50" w:afterAutospacing="0" w:line="360" w:lineRule="auto"/>
        <w:jc w:val="both"/>
        <w:rPr>
          <w:bCs w:val="0"/>
          <w:color w:val="auto"/>
          <w:kern w:val="2"/>
          <w:sz w:val="21"/>
          <w:szCs w:val="21"/>
        </w:rPr>
      </w:pPr>
      <w:r>
        <w:rPr>
          <w:rFonts w:hint="eastAsia"/>
          <w:color w:val="auto"/>
          <w:kern w:val="2"/>
          <w:sz w:val="21"/>
          <w:szCs w:val="21"/>
        </w:rPr>
        <w:t>4</w:t>
      </w:r>
      <w:bookmarkStart w:id="1481" w:name="_Toc296891202"/>
      <w:bookmarkStart w:id="1482" w:name="_Toc292559871"/>
      <w:bookmarkStart w:id="1483" w:name="_Toc297048348"/>
      <w:bookmarkStart w:id="1484" w:name="_Toc297120462"/>
      <w:bookmarkStart w:id="1485" w:name="_Toc296944501"/>
      <w:bookmarkStart w:id="1486" w:name="_Toc296347161"/>
      <w:bookmarkStart w:id="1487" w:name="_Toc267251413"/>
      <w:bookmarkStart w:id="1488" w:name="_Toc296503162"/>
      <w:bookmarkStart w:id="1489" w:name="_Toc296890990"/>
      <w:bookmarkStart w:id="1490" w:name="_Toc296346663"/>
      <w:bookmarkStart w:id="1491" w:name="_Toc292559366"/>
      <w:r>
        <w:rPr>
          <w:rFonts w:hint="eastAsia"/>
          <w:color w:val="auto"/>
          <w:kern w:val="2"/>
          <w:sz w:val="21"/>
          <w:szCs w:val="21"/>
        </w:rPr>
        <w:t>. 监</w:t>
      </w:r>
      <w:bookmarkEnd w:id="1481"/>
      <w:bookmarkEnd w:id="1482"/>
      <w:bookmarkEnd w:id="1483"/>
      <w:bookmarkEnd w:id="1484"/>
      <w:bookmarkEnd w:id="1485"/>
      <w:bookmarkEnd w:id="1486"/>
      <w:bookmarkEnd w:id="1487"/>
      <w:bookmarkEnd w:id="1488"/>
      <w:bookmarkEnd w:id="1489"/>
      <w:bookmarkEnd w:id="1490"/>
      <w:bookmarkEnd w:id="1491"/>
      <w:r>
        <w:rPr>
          <w:rFonts w:hint="eastAsia"/>
          <w:color w:val="auto"/>
          <w:kern w:val="2"/>
          <w:sz w:val="21"/>
          <w:szCs w:val="21"/>
        </w:rPr>
        <w:t>理人</w:t>
      </w:r>
      <w:bookmarkEnd w:id="1478"/>
      <w:bookmarkEnd w:id="1479"/>
      <w:bookmarkEnd w:id="1480"/>
    </w:p>
    <w:p w14:paraId="11D696F0">
      <w:pPr>
        <w:pStyle w:val="7"/>
        <w:spacing w:before="0" w:beforeAutospacing="0" w:after="0" w:afterAutospacing="0" w:line="360" w:lineRule="auto"/>
        <w:ind w:firstLine="422" w:firstLineChars="200"/>
        <w:rPr>
          <w:color w:val="auto"/>
          <w:sz w:val="21"/>
          <w:szCs w:val="21"/>
        </w:rPr>
      </w:pPr>
      <w:bookmarkStart w:id="1492" w:name="_Toc532377341"/>
      <w:r>
        <w:rPr>
          <w:rFonts w:hint="eastAsia"/>
          <w:color w:val="auto"/>
          <w:sz w:val="21"/>
          <w:szCs w:val="21"/>
        </w:rPr>
        <w:t>4.1 监理人的一般规定</w:t>
      </w:r>
      <w:bookmarkEnd w:id="1492"/>
    </w:p>
    <w:p w14:paraId="7D351688">
      <w:pPr>
        <w:spacing w:line="360" w:lineRule="auto"/>
        <w:ind w:firstLine="420" w:firstLineChars="200"/>
        <w:jc w:val="left"/>
        <w:rPr>
          <w:rFonts w:ascii="宋体" w:hAnsi="宋体"/>
          <w:color w:val="auto"/>
          <w:szCs w:val="21"/>
        </w:rPr>
      </w:pPr>
      <w:r>
        <w:rPr>
          <w:rFonts w:hint="eastAsia" w:ascii="宋体" w:hAnsi="宋体"/>
          <w:color w:val="auto"/>
          <w:szCs w:val="21"/>
        </w:rPr>
        <w:t>关于监理人的监理内容：</w:t>
      </w:r>
      <w:r>
        <w:rPr>
          <w:rFonts w:hint="eastAsia" w:ascii="宋体" w:hAnsi="宋体"/>
          <w:color w:val="auto"/>
          <w:szCs w:val="21"/>
          <w:u w:val="single"/>
        </w:rPr>
        <w:t>见发包人与监理人就本工程签订的监理合同</w:t>
      </w:r>
      <w:r>
        <w:rPr>
          <w:rFonts w:hint="eastAsia" w:ascii="宋体" w:hAnsi="宋体"/>
          <w:color w:val="auto"/>
          <w:szCs w:val="21"/>
        </w:rPr>
        <w:t>。</w:t>
      </w:r>
    </w:p>
    <w:p w14:paraId="522A996B">
      <w:pPr>
        <w:spacing w:line="360" w:lineRule="auto"/>
        <w:ind w:firstLine="420" w:firstLineChars="200"/>
        <w:jc w:val="left"/>
        <w:rPr>
          <w:rFonts w:ascii="宋体" w:hAnsi="宋体"/>
          <w:color w:val="auto"/>
          <w:szCs w:val="21"/>
        </w:rPr>
      </w:pPr>
      <w:r>
        <w:rPr>
          <w:rFonts w:hint="eastAsia" w:ascii="宋体" w:hAnsi="宋体"/>
          <w:color w:val="auto"/>
          <w:szCs w:val="21"/>
        </w:rPr>
        <w:t>关于监理人的监理权限：</w:t>
      </w:r>
      <w:r>
        <w:rPr>
          <w:rFonts w:hint="eastAsia" w:ascii="宋体" w:hAnsi="宋体"/>
          <w:color w:val="auto"/>
          <w:szCs w:val="21"/>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color w:val="auto"/>
          <w:szCs w:val="21"/>
        </w:rPr>
        <w:t>。</w:t>
      </w:r>
    </w:p>
    <w:p w14:paraId="5AFD9794">
      <w:pPr>
        <w:spacing w:line="360" w:lineRule="auto"/>
        <w:ind w:firstLine="420" w:firstLineChars="200"/>
        <w:jc w:val="left"/>
        <w:rPr>
          <w:rFonts w:ascii="宋体" w:hAnsi="宋体"/>
          <w:color w:val="auto"/>
          <w:szCs w:val="21"/>
        </w:rPr>
      </w:pPr>
      <w:r>
        <w:rPr>
          <w:rFonts w:hint="eastAsia" w:ascii="宋体" w:hAnsi="宋体"/>
          <w:color w:val="auto"/>
          <w:szCs w:val="21"/>
        </w:rPr>
        <w:t>关于监理人在施工现场的办公场所、生活场所的提供和费用承担的约定：</w:t>
      </w:r>
      <w:r>
        <w:rPr>
          <w:rFonts w:hint="eastAsia" w:ascii="宋体" w:hAnsi="宋体"/>
          <w:color w:val="auto"/>
          <w:szCs w:val="21"/>
          <w:u w:val="single"/>
        </w:rPr>
        <w:t xml:space="preserve">                          </w:t>
      </w:r>
      <w:r>
        <w:rPr>
          <w:rFonts w:hint="eastAsia" w:ascii="宋体" w:hAnsi="宋体"/>
          <w:color w:val="auto"/>
          <w:szCs w:val="21"/>
        </w:rPr>
        <w:t>。</w:t>
      </w:r>
    </w:p>
    <w:p w14:paraId="77A2095F">
      <w:pPr>
        <w:pStyle w:val="7"/>
        <w:spacing w:before="0" w:beforeAutospacing="0" w:after="0" w:afterAutospacing="0" w:line="360" w:lineRule="auto"/>
        <w:ind w:firstLine="422" w:firstLineChars="200"/>
        <w:rPr>
          <w:color w:val="auto"/>
          <w:sz w:val="21"/>
          <w:szCs w:val="21"/>
        </w:rPr>
      </w:pPr>
      <w:bookmarkStart w:id="1493" w:name="_Toc532377342"/>
      <w:r>
        <w:rPr>
          <w:rFonts w:hint="eastAsia"/>
          <w:color w:val="auto"/>
          <w:sz w:val="21"/>
          <w:szCs w:val="21"/>
        </w:rPr>
        <w:t>4.2 监理人员</w:t>
      </w:r>
      <w:bookmarkEnd w:id="1493"/>
    </w:p>
    <w:p w14:paraId="198D8A97">
      <w:pPr>
        <w:spacing w:line="360" w:lineRule="auto"/>
        <w:ind w:firstLine="420" w:firstLineChars="200"/>
        <w:jc w:val="left"/>
        <w:rPr>
          <w:rFonts w:ascii="宋体" w:hAnsi="宋体"/>
          <w:color w:val="auto"/>
          <w:szCs w:val="21"/>
        </w:rPr>
      </w:pPr>
      <w:r>
        <w:rPr>
          <w:rFonts w:hint="eastAsia" w:ascii="宋体" w:hAnsi="宋体"/>
          <w:color w:val="auto"/>
          <w:szCs w:val="21"/>
        </w:rPr>
        <w:t>总监理工程师：</w:t>
      </w:r>
    </w:p>
    <w:p w14:paraId="3CBE91CA">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w:t>
      </w:r>
      <w:r>
        <w:rPr>
          <w:rFonts w:hint="eastAsia" w:ascii="宋体" w:hAnsi="宋体"/>
          <w:color w:val="auto"/>
          <w:szCs w:val="21"/>
        </w:rPr>
        <w:t>；</w:t>
      </w:r>
    </w:p>
    <w:p w14:paraId="0D344D4A">
      <w:pPr>
        <w:spacing w:line="360" w:lineRule="auto"/>
        <w:ind w:firstLine="420" w:firstLineChars="200"/>
        <w:jc w:val="left"/>
        <w:rPr>
          <w:rFonts w:ascii="宋体" w:hAnsi="宋体"/>
          <w:color w:val="auto"/>
          <w:szCs w:val="21"/>
        </w:rPr>
      </w:pPr>
      <w:r>
        <w:rPr>
          <w:rFonts w:hint="eastAsia" w:ascii="宋体" w:hAnsi="宋体"/>
          <w:color w:val="auto"/>
          <w:szCs w:val="21"/>
        </w:rPr>
        <w:t>职    务：</w:t>
      </w:r>
      <w:r>
        <w:rPr>
          <w:rFonts w:ascii="宋体" w:hAnsi="宋体"/>
          <w:color w:val="auto"/>
          <w:szCs w:val="21"/>
          <w:u w:val="single"/>
        </w:rPr>
        <w:t xml:space="preserve">                          </w:t>
      </w:r>
      <w:r>
        <w:rPr>
          <w:rFonts w:hint="eastAsia" w:ascii="宋体" w:hAnsi="宋体"/>
          <w:color w:val="auto"/>
          <w:szCs w:val="21"/>
        </w:rPr>
        <w:t>；</w:t>
      </w:r>
    </w:p>
    <w:p w14:paraId="689DB1D7">
      <w:pPr>
        <w:spacing w:line="360" w:lineRule="auto"/>
        <w:ind w:firstLine="420" w:firstLineChars="200"/>
        <w:jc w:val="left"/>
        <w:rPr>
          <w:rFonts w:ascii="宋体" w:hAnsi="宋体"/>
          <w:color w:val="auto"/>
          <w:szCs w:val="21"/>
        </w:rPr>
      </w:pPr>
      <w:r>
        <w:rPr>
          <w:rFonts w:hint="eastAsia" w:ascii="宋体" w:hAnsi="宋体"/>
          <w:color w:val="auto"/>
          <w:szCs w:val="21"/>
        </w:rPr>
        <w:t>监理工程师执业资格证书号：</w:t>
      </w:r>
      <w:r>
        <w:rPr>
          <w:rFonts w:ascii="宋体" w:hAnsi="宋体"/>
          <w:color w:val="auto"/>
          <w:szCs w:val="21"/>
          <w:u w:val="single"/>
        </w:rPr>
        <w:t xml:space="preserve">              </w:t>
      </w:r>
      <w:r>
        <w:rPr>
          <w:rFonts w:hint="eastAsia" w:ascii="宋体" w:hAnsi="宋体"/>
          <w:color w:val="auto"/>
          <w:szCs w:val="21"/>
        </w:rPr>
        <w:t>；</w:t>
      </w:r>
    </w:p>
    <w:p w14:paraId="69C0F137">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                    </w:t>
      </w:r>
      <w:r>
        <w:rPr>
          <w:rFonts w:hint="eastAsia" w:ascii="宋体" w:hAnsi="宋体"/>
          <w:color w:val="auto"/>
          <w:szCs w:val="21"/>
        </w:rPr>
        <w:t>；</w:t>
      </w:r>
    </w:p>
    <w:p w14:paraId="692045A3">
      <w:pPr>
        <w:spacing w:line="360" w:lineRule="auto"/>
        <w:ind w:firstLine="420" w:firstLineChars="200"/>
        <w:jc w:val="left"/>
        <w:rPr>
          <w:rFonts w:ascii="宋体" w:hAnsi="宋体"/>
          <w:color w:val="auto"/>
          <w:szCs w:val="21"/>
        </w:rPr>
      </w:pPr>
      <w:r>
        <w:rPr>
          <w:rFonts w:hint="eastAsia" w:ascii="宋体" w:hAnsi="宋体"/>
          <w:color w:val="auto"/>
          <w:szCs w:val="21"/>
        </w:rPr>
        <w:t>关于监理人的其他约定：</w:t>
      </w:r>
      <w:r>
        <w:rPr>
          <w:rFonts w:hint="eastAsia" w:ascii="宋体" w:hAnsi="宋体"/>
          <w:color w:val="auto"/>
          <w:szCs w:val="21"/>
          <w:u w:val="single"/>
        </w:rPr>
        <w:t>见发包人与监理人就本工程签订的监理合同</w:t>
      </w:r>
      <w:r>
        <w:rPr>
          <w:rFonts w:hint="eastAsia" w:ascii="宋体" w:hAnsi="宋体"/>
          <w:color w:val="auto"/>
          <w:szCs w:val="21"/>
        </w:rPr>
        <w:t>。</w:t>
      </w:r>
    </w:p>
    <w:p w14:paraId="668BCCFE">
      <w:pPr>
        <w:pStyle w:val="7"/>
        <w:spacing w:before="0" w:beforeAutospacing="0" w:after="0" w:afterAutospacing="0" w:line="360" w:lineRule="auto"/>
        <w:ind w:firstLine="420" w:firstLineChars="200"/>
        <w:rPr>
          <w:b w:val="0"/>
          <w:color w:val="auto"/>
          <w:sz w:val="21"/>
          <w:szCs w:val="21"/>
        </w:rPr>
      </w:pPr>
      <w:bookmarkStart w:id="1494" w:name="_Toc532377343"/>
      <w:r>
        <w:rPr>
          <w:rFonts w:hint="eastAsia"/>
          <w:b w:val="0"/>
          <w:color w:val="auto"/>
          <w:sz w:val="21"/>
          <w:szCs w:val="21"/>
        </w:rPr>
        <w:t>4.4 商定或确定</w:t>
      </w:r>
      <w:bookmarkEnd w:id="1494"/>
    </w:p>
    <w:p w14:paraId="70D6C350">
      <w:pPr>
        <w:spacing w:line="360" w:lineRule="auto"/>
        <w:ind w:firstLine="420" w:firstLineChars="200"/>
        <w:jc w:val="left"/>
        <w:rPr>
          <w:rFonts w:ascii="宋体" w:hAnsi="宋体"/>
          <w:color w:val="auto"/>
          <w:szCs w:val="21"/>
        </w:rPr>
      </w:pPr>
      <w:bookmarkStart w:id="1495" w:name="_Toc267251418"/>
      <w:r>
        <w:rPr>
          <w:rFonts w:hint="eastAsia" w:ascii="宋体" w:hAnsi="宋体"/>
          <w:color w:val="auto"/>
          <w:szCs w:val="21"/>
        </w:rPr>
        <w:t>在发包人和承包人不能通过协商达成一致意见时，发包人授权监理人对以下事项进行确定：</w:t>
      </w:r>
    </w:p>
    <w:p w14:paraId="59B28BD5">
      <w:pPr>
        <w:spacing w:line="360" w:lineRule="auto"/>
        <w:ind w:firstLine="420" w:firstLineChars="200"/>
        <w:jc w:val="left"/>
        <w:rPr>
          <w:rFonts w:ascii="宋体" w:hAnsi="宋体"/>
          <w:color w:val="auto"/>
          <w:szCs w:val="21"/>
        </w:rPr>
      </w:pPr>
      <w:r>
        <w:rPr>
          <w:rFonts w:hint="eastAsia" w:ascii="宋体" w:hAnsi="宋体"/>
          <w:color w:val="auto"/>
          <w:szCs w:val="21"/>
          <w:u w:val="single"/>
        </w:rPr>
        <w:t xml:space="preserve">                          </w:t>
      </w:r>
      <w:r>
        <w:rPr>
          <w:rFonts w:hint="eastAsia" w:ascii="宋体" w:hAnsi="宋体"/>
          <w:color w:val="auto"/>
          <w:szCs w:val="21"/>
        </w:rPr>
        <w:t>。</w:t>
      </w:r>
    </w:p>
    <w:p w14:paraId="720EC05B">
      <w:pPr>
        <w:pStyle w:val="6"/>
        <w:keepNext/>
        <w:keepLines/>
        <w:spacing w:beforeLines="50" w:beforeAutospacing="0" w:afterLines="50" w:afterAutospacing="0" w:line="360" w:lineRule="auto"/>
        <w:jc w:val="both"/>
        <w:rPr>
          <w:bCs w:val="0"/>
          <w:color w:val="auto"/>
          <w:kern w:val="2"/>
          <w:sz w:val="21"/>
          <w:szCs w:val="21"/>
        </w:rPr>
      </w:pPr>
      <w:bookmarkStart w:id="1496" w:name="_Toc351203637"/>
      <w:bookmarkStart w:id="1497" w:name="_Toc532375612"/>
      <w:bookmarkStart w:id="1498" w:name="_Toc532377344"/>
      <w:r>
        <w:rPr>
          <w:rFonts w:hint="eastAsia"/>
          <w:color w:val="auto"/>
          <w:kern w:val="2"/>
          <w:sz w:val="21"/>
          <w:szCs w:val="21"/>
        </w:rPr>
        <w:t>5</w:t>
      </w:r>
      <w:bookmarkEnd w:id="1495"/>
      <w:bookmarkStart w:id="1499" w:name="_Toc296347162"/>
      <w:bookmarkStart w:id="1500" w:name="_Toc296944502"/>
      <w:bookmarkStart w:id="1501" w:name="_Toc296503163"/>
      <w:bookmarkStart w:id="1502" w:name="_Toc297048349"/>
      <w:bookmarkStart w:id="1503" w:name="_Toc296890991"/>
      <w:bookmarkStart w:id="1504" w:name="_Toc296346664"/>
      <w:bookmarkStart w:id="1505" w:name="_Toc296891203"/>
      <w:bookmarkStart w:id="1506" w:name="_Toc292559872"/>
      <w:bookmarkStart w:id="1507" w:name="_Toc292559367"/>
      <w:bookmarkStart w:id="1508" w:name="_Toc297120463"/>
      <w:r>
        <w:rPr>
          <w:rFonts w:hint="eastAsia"/>
          <w:color w:val="auto"/>
          <w:kern w:val="2"/>
          <w:sz w:val="21"/>
          <w:szCs w:val="21"/>
        </w:rPr>
        <w:t>. 工程质量</w:t>
      </w:r>
      <w:bookmarkEnd w:id="1496"/>
      <w:bookmarkEnd w:id="1497"/>
      <w:bookmarkEnd w:id="1498"/>
    </w:p>
    <w:p w14:paraId="2EC5922F">
      <w:pPr>
        <w:pStyle w:val="7"/>
        <w:spacing w:before="0" w:beforeAutospacing="0" w:after="0" w:afterAutospacing="0" w:line="360" w:lineRule="auto"/>
        <w:ind w:firstLine="422" w:firstLineChars="200"/>
        <w:rPr>
          <w:color w:val="auto"/>
          <w:sz w:val="21"/>
          <w:szCs w:val="21"/>
        </w:rPr>
      </w:pPr>
      <w:bookmarkStart w:id="1509" w:name="_Toc532377345"/>
      <w:r>
        <w:rPr>
          <w:rFonts w:hint="eastAsia"/>
          <w:color w:val="auto"/>
          <w:sz w:val="21"/>
          <w:szCs w:val="21"/>
        </w:rPr>
        <w:t>5.1 质量要求</w:t>
      </w:r>
      <w:bookmarkEnd w:id="1509"/>
      <w:bookmarkStart w:id="1510" w:name="_Hlk528909888"/>
      <w:bookmarkStart w:id="1511" w:name="_Toc303539106"/>
      <w:bookmarkStart w:id="1512" w:name="_Toc312677997"/>
      <w:bookmarkStart w:id="1513" w:name="_Toc304295527"/>
      <w:bookmarkStart w:id="1514" w:name="_Toc300934949"/>
      <w:bookmarkStart w:id="1515" w:name="_Toc297123496"/>
      <w:bookmarkStart w:id="1516" w:name="_Toc318581164"/>
      <w:bookmarkStart w:id="1517" w:name="_Toc297216155"/>
    </w:p>
    <w:p w14:paraId="64367B1A">
      <w:pPr>
        <w:spacing w:line="360" w:lineRule="auto"/>
        <w:ind w:firstLine="420" w:firstLineChars="200"/>
        <w:jc w:val="left"/>
        <w:rPr>
          <w:rFonts w:ascii="宋体" w:hAnsi="宋体"/>
          <w:color w:val="auto"/>
          <w:szCs w:val="21"/>
          <w:u w:val="single"/>
        </w:rPr>
      </w:pPr>
      <w:r>
        <w:rPr>
          <w:rFonts w:hint="eastAsia" w:ascii="宋体" w:hAnsi="宋体"/>
          <w:color w:val="auto"/>
          <w:szCs w:val="21"/>
        </w:rPr>
        <w:t>工程质量符合强制性质量标准，</w:t>
      </w:r>
      <w:r>
        <w:rPr>
          <w:rFonts w:hint="eastAsia" w:ascii="宋体" w:hAnsi="宋体"/>
          <w:color w:val="auto"/>
          <w:szCs w:val="21"/>
          <w:u w:val="single"/>
        </w:rPr>
        <w:t>符合国家和重庆市现行有关施工质量验收规范要求，并达到合格标准</w:t>
      </w:r>
      <w:r>
        <w:rPr>
          <w:rFonts w:hint="eastAsia" w:ascii="宋体" w:hAnsi="宋体"/>
          <w:color w:val="auto"/>
          <w:szCs w:val="21"/>
        </w:rPr>
        <w:t>。强制性质量标准有（包括但不限于）：</w:t>
      </w:r>
      <w:r>
        <w:rPr>
          <w:rFonts w:hint="eastAsia" w:ascii="宋体" w:hAnsi="宋体"/>
          <w:color w:val="auto"/>
          <w:szCs w:val="21"/>
          <w:u w:val="single"/>
        </w:rPr>
        <w:t xml:space="preserve">            </w:t>
      </w:r>
      <w:r>
        <w:rPr>
          <w:rFonts w:hint="eastAsia" w:ascii="宋体" w:hAnsi="宋体"/>
          <w:color w:val="auto"/>
          <w:szCs w:val="21"/>
        </w:rPr>
        <w:t>。</w:t>
      </w:r>
    </w:p>
    <w:bookmarkEnd w:id="1510"/>
    <w:p w14:paraId="10F6AE84">
      <w:pPr>
        <w:pStyle w:val="7"/>
        <w:spacing w:before="0" w:beforeAutospacing="0" w:after="0" w:afterAutospacing="0" w:line="360" w:lineRule="auto"/>
        <w:ind w:firstLine="422" w:firstLineChars="200"/>
        <w:rPr>
          <w:color w:val="auto"/>
          <w:sz w:val="21"/>
          <w:szCs w:val="21"/>
        </w:rPr>
      </w:pPr>
      <w:bookmarkStart w:id="1518" w:name="_Toc532377346"/>
      <w:r>
        <w:rPr>
          <w:rFonts w:hint="eastAsia"/>
          <w:color w:val="auto"/>
          <w:sz w:val="21"/>
          <w:szCs w:val="21"/>
        </w:rPr>
        <w:t>5.2 质量保证措施</w:t>
      </w:r>
      <w:bookmarkEnd w:id="1518"/>
    </w:p>
    <w:p w14:paraId="151F2332">
      <w:pPr>
        <w:spacing w:line="360" w:lineRule="auto"/>
        <w:ind w:firstLine="420" w:firstLineChars="200"/>
        <w:jc w:val="left"/>
        <w:rPr>
          <w:rFonts w:ascii="宋体" w:hAnsi="宋体"/>
          <w:color w:val="auto"/>
          <w:szCs w:val="21"/>
        </w:rPr>
      </w:pPr>
      <w:r>
        <w:rPr>
          <w:rFonts w:hint="eastAsia" w:ascii="宋体" w:hAnsi="宋体"/>
          <w:color w:val="auto"/>
          <w:szCs w:val="21"/>
        </w:rPr>
        <w:t>本款补充5.2.4项：</w:t>
      </w:r>
    </w:p>
    <w:p w14:paraId="3701025C">
      <w:pPr>
        <w:spacing w:line="360" w:lineRule="auto"/>
        <w:ind w:firstLine="420" w:firstLineChars="200"/>
        <w:jc w:val="left"/>
        <w:rPr>
          <w:rFonts w:ascii="宋体" w:hAnsi="宋体"/>
          <w:color w:val="auto"/>
          <w:szCs w:val="21"/>
        </w:rPr>
      </w:pPr>
      <w:r>
        <w:rPr>
          <w:rFonts w:hint="eastAsia" w:ascii="宋体" w:hAnsi="宋体"/>
          <w:color w:val="auto"/>
          <w:szCs w:val="21"/>
        </w:rPr>
        <w:t>5.2.4 在工程建设中，参建各方应严格执行以下规定（包括但不限于）：</w:t>
      </w:r>
    </w:p>
    <w:p w14:paraId="101F94F7">
      <w:pPr>
        <w:spacing w:line="360" w:lineRule="auto"/>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color w:val="auto"/>
          <w:szCs w:val="21"/>
          <w:u w:val="single"/>
        </w:rPr>
        <w:t>《建筑工程施工质量验收统一标准》（GB50300-2013）</w:t>
      </w:r>
      <w:r>
        <w:rPr>
          <w:rFonts w:hint="eastAsia" w:ascii="宋体" w:hAnsi="宋体"/>
          <w:color w:val="auto"/>
          <w:szCs w:val="21"/>
        </w:rPr>
        <w:t>；</w:t>
      </w:r>
    </w:p>
    <w:p w14:paraId="56ADC4F2">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《住房城乡建设部关于印发工程质量安全提升行动方案的通知》（建质〔2017〕57号）</w:t>
      </w:r>
      <w:r>
        <w:rPr>
          <w:rFonts w:hint="eastAsia" w:ascii="宋体" w:hAnsi="宋体"/>
          <w:color w:val="auto"/>
          <w:szCs w:val="21"/>
        </w:rPr>
        <w:t>；</w:t>
      </w:r>
    </w:p>
    <w:p w14:paraId="6DBAB3B6">
      <w:pPr>
        <w:spacing w:line="360" w:lineRule="auto"/>
        <w:ind w:firstLine="420" w:firstLineChars="200"/>
        <w:jc w:val="left"/>
        <w:rPr>
          <w:rFonts w:ascii="宋体" w:hAnsi="宋体"/>
          <w:color w:val="auto"/>
          <w:szCs w:val="21"/>
        </w:rPr>
      </w:pPr>
      <w:r>
        <w:rPr>
          <w:rFonts w:hint="eastAsia" w:ascii="宋体" w:hAnsi="宋体"/>
          <w:color w:val="auto"/>
          <w:szCs w:val="21"/>
        </w:rPr>
        <w:t>（3）</w:t>
      </w:r>
      <w:r>
        <w:rPr>
          <w:rFonts w:hint="eastAsia" w:ascii="宋体" w:hAnsi="宋体"/>
          <w:color w:val="auto"/>
          <w:szCs w:val="21"/>
          <w:u w:val="single"/>
        </w:rPr>
        <w:t>《房屋建筑和市政基础设施工程竣工验收规定》（建质〔2013〕171号）</w:t>
      </w:r>
      <w:r>
        <w:rPr>
          <w:rFonts w:hint="eastAsia" w:ascii="宋体" w:hAnsi="宋体"/>
          <w:color w:val="auto"/>
          <w:szCs w:val="21"/>
        </w:rPr>
        <w:t>；</w:t>
      </w:r>
    </w:p>
    <w:p w14:paraId="206BD839">
      <w:pPr>
        <w:spacing w:line="360" w:lineRule="auto"/>
        <w:ind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《建设部关于贯彻执行建筑工程勘察设计及施工质量验收规范若干问题的通知》（建标〔2002〕212号）</w:t>
      </w:r>
      <w:r>
        <w:rPr>
          <w:rFonts w:hint="eastAsia" w:ascii="宋体" w:hAnsi="宋体"/>
          <w:color w:val="auto"/>
          <w:szCs w:val="21"/>
        </w:rPr>
        <w:t>；</w:t>
      </w:r>
    </w:p>
    <w:p w14:paraId="4455D7E6">
      <w:pPr>
        <w:spacing w:line="360" w:lineRule="auto"/>
        <w:ind w:firstLine="420" w:firstLineChars="200"/>
        <w:jc w:val="left"/>
        <w:rPr>
          <w:rFonts w:ascii="宋体" w:hAnsi="宋体"/>
          <w:color w:val="auto"/>
          <w:szCs w:val="21"/>
        </w:rPr>
      </w:pPr>
      <w:r>
        <w:rPr>
          <w:rFonts w:hint="eastAsia" w:ascii="宋体" w:hAnsi="宋体"/>
          <w:color w:val="auto"/>
          <w:szCs w:val="21"/>
        </w:rPr>
        <w:t>（5）</w:t>
      </w:r>
      <w:r>
        <w:rPr>
          <w:rFonts w:hint="eastAsia" w:ascii="宋体" w:hAnsi="宋体"/>
          <w:color w:val="auto"/>
          <w:szCs w:val="21"/>
          <w:u w:val="single"/>
        </w:rPr>
        <w:t>《重庆市住房和城乡建设委员会关于印发&lt;重庆市房屋建筑和市政基础设施工程质量常见问题防治要点（2019年版）&gt;的通知》（渝建〔2019〕198号）</w:t>
      </w:r>
      <w:r>
        <w:rPr>
          <w:rFonts w:hint="eastAsia" w:ascii="宋体" w:hAnsi="宋体"/>
          <w:color w:val="auto"/>
          <w:szCs w:val="21"/>
        </w:rPr>
        <w:t>；</w:t>
      </w:r>
    </w:p>
    <w:p w14:paraId="7F53AD12">
      <w:pPr>
        <w:spacing w:line="360" w:lineRule="auto"/>
        <w:ind w:firstLine="420" w:firstLineChars="200"/>
        <w:jc w:val="left"/>
        <w:rPr>
          <w:rFonts w:ascii="宋体" w:hAnsi="宋体"/>
          <w:color w:val="auto"/>
          <w:szCs w:val="21"/>
        </w:rPr>
      </w:pPr>
      <w:r>
        <w:rPr>
          <w:rFonts w:hint="eastAsia" w:ascii="宋体" w:hAnsi="宋体"/>
          <w:color w:val="auto"/>
          <w:szCs w:val="21"/>
        </w:rPr>
        <w:t>（6）</w:t>
      </w:r>
      <w:r>
        <w:rPr>
          <w:rFonts w:hint="eastAsia" w:ascii="宋体" w:hAnsi="宋体"/>
          <w:color w:val="auto"/>
          <w:szCs w:val="21"/>
          <w:u w:val="single"/>
        </w:rPr>
        <w:t>《关于印发&lt;重庆市房屋建筑和市政基础设施工程预拌商品砂浆应用推进工作方案&gt;的通知》（渝建〔2018〕375号）</w:t>
      </w:r>
      <w:r>
        <w:rPr>
          <w:rFonts w:hint="eastAsia" w:ascii="宋体" w:hAnsi="宋体"/>
          <w:color w:val="auto"/>
          <w:szCs w:val="21"/>
        </w:rPr>
        <w:t>；</w:t>
      </w:r>
    </w:p>
    <w:p w14:paraId="5F1A6DC9">
      <w:pPr>
        <w:spacing w:line="360" w:lineRule="auto"/>
        <w:ind w:firstLine="420" w:firstLineChars="200"/>
        <w:jc w:val="left"/>
        <w:rPr>
          <w:rFonts w:ascii="宋体" w:hAnsi="宋体"/>
          <w:color w:val="auto"/>
          <w:szCs w:val="21"/>
        </w:rPr>
      </w:pPr>
      <w:r>
        <w:rPr>
          <w:rFonts w:hint="eastAsia" w:ascii="宋体" w:hAnsi="宋体"/>
          <w:color w:val="auto"/>
          <w:szCs w:val="21"/>
        </w:rPr>
        <w:t>（7）</w:t>
      </w:r>
      <w:r>
        <w:rPr>
          <w:rFonts w:hint="eastAsia" w:ascii="宋体" w:hAnsi="宋体"/>
          <w:color w:val="auto"/>
          <w:szCs w:val="21"/>
          <w:u w:val="single"/>
        </w:rPr>
        <w:t>《重庆市城乡建设委员会关于印发2018年房屋建筑和市政基础设施工程质量要点的通知》（渝建〔2018〕94号）</w:t>
      </w:r>
      <w:r>
        <w:rPr>
          <w:rFonts w:hint="eastAsia" w:ascii="宋体" w:hAnsi="宋体"/>
          <w:color w:val="auto"/>
          <w:szCs w:val="21"/>
        </w:rPr>
        <w:t>；</w:t>
      </w:r>
    </w:p>
    <w:p w14:paraId="2CD89DC6">
      <w:pPr>
        <w:spacing w:line="360" w:lineRule="auto"/>
        <w:ind w:firstLine="420" w:firstLineChars="200"/>
        <w:jc w:val="left"/>
        <w:rPr>
          <w:rFonts w:ascii="宋体" w:hAnsi="宋体"/>
          <w:color w:val="auto"/>
          <w:szCs w:val="21"/>
        </w:rPr>
      </w:pPr>
      <w:r>
        <w:rPr>
          <w:rFonts w:hint="eastAsia" w:ascii="宋体" w:hAnsi="宋体"/>
          <w:color w:val="auto"/>
          <w:szCs w:val="21"/>
        </w:rPr>
        <w:t>（8）</w:t>
      </w:r>
      <w:r>
        <w:rPr>
          <w:rFonts w:hint="eastAsia" w:ascii="宋体" w:hAnsi="宋体"/>
          <w:color w:val="auto"/>
          <w:szCs w:val="21"/>
          <w:u w:val="single"/>
        </w:rPr>
        <w:t>《重庆市城乡建设委员会关于进一步推广应用预拌商品砂浆的通知》（渝建〔2016〕318号）</w:t>
      </w:r>
      <w:r>
        <w:rPr>
          <w:rFonts w:hint="eastAsia" w:ascii="宋体" w:hAnsi="宋体"/>
          <w:color w:val="auto"/>
          <w:szCs w:val="21"/>
        </w:rPr>
        <w:t>；</w:t>
      </w:r>
    </w:p>
    <w:p w14:paraId="2740050C">
      <w:pPr>
        <w:spacing w:line="360" w:lineRule="auto"/>
        <w:ind w:firstLine="420" w:firstLineChars="200"/>
        <w:jc w:val="left"/>
        <w:rPr>
          <w:rFonts w:ascii="宋体" w:hAnsi="宋体"/>
          <w:color w:val="auto"/>
          <w:szCs w:val="21"/>
        </w:rPr>
      </w:pPr>
      <w:r>
        <w:rPr>
          <w:rFonts w:hint="eastAsia" w:ascii="宋体" w:hAnsi="宋体"/>
          <w:color w:val="auto"/>
          <w:szCs w:val="21"/>
        </w:rPr>
        <w:t>（9）</w:t>
      </w:r>
      <w:r>
        <w:rPr>
          <w:rFonts w:hint="eastAsia" w:ascii="宋体" w:hAnsi="宋体"/>
          <w:color w:val="auto"/>
          <w:szCs w:val="21"/>
          <w:u w:val="single"/>
        </w:rPr>
        <w:t>《重庆市建设委员会关于发布&lt;建筑工程施工质量验收规范用表（建筑节能分部工程）&gt;和&lt;建设工程技术用表（建筑节能工程）&gt;的通知》（渝建发〔2008〕76号）</w:t>
      </w:r>
      <w:r>
        <w:rPr>
          <w:rFonts w:hint="eastAsia" w:ascii="宋体" w:hAnsi="宋体"/>
          <w:color w:val="auto"/>
          <w:szCs w:val="21"/>
        </w:rPr>
        <w:t>；</w:t>
      </w:r>
    </w:p>
    <w:p w14:paraId="6C1ACD87">
      <w:pPr>
        <w:spacing w:line="360" w:lineRule="auto"/>
        <w:ind w:firstLine="420" w:firstLineChars="200"/>
        <w:jc w:val="left"/>
        <w:rPr>
          <w:rFonts w:ascii="宋体" w:hAnsi="宋体"/>
          <w:color w:val="auto"/>
          <w:szCs w:val="21"/>
        </w:rPr>
      </w:pPr>
      <w:r>
        <w:rPr>
          <w:rFonts w:hint="eastAsia" w:ascii="宋体" w:hAnsi="宋体"/>
          <w:color w:val="auto"/>
          <w:szCs w:val="21"/>
        </w:rPr>
        <w:t>（10）</w:t>
      </w:r>
      <w:r>
        <w:rPr>
          <w:rFonts w:hint="eastAsia" w:ascii="宋体" w:hAnsi="宋体"/>
          <w:color w:val="auto"/>
          <w:szCs w:val="21"/>
          <w:u w:val="single"/>
        </w:rPr>
        <w:t>国家和本市现行有关建设工程质量验收标准、规范和要求</w:t>
      </w:r>
      <w:r>
        <w:rPr>
          <w:rFonts w:hint="eastAsia" w:ascii="宋体" w:hAnsi="宋体"/>
          <w:color w:val="auto"/>
          <w:szCs w:val="21"/>
        </w:rPr>
        <w:t>；</w:t>
      </w:r>
    </w:p>
    <w:p w14:paraId="64A8C568">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（11）</w:t>
      </w:r>
      <w:r>
        <w:rPr>
          <w:rFonts w:hint="eastAsia" w:ascii="宋体" w:hAnsi="宋体"/>
          <w:color w:val="auto"/>
          <w:szCs w:val="21"/>
          <w:u w:val="single"/>
        </w:rPr>
        <w:t xml:space="preserve">   /     </w:t>
      </w:r>
      <w:r>
        <w:rPr>
          <w:rFonts w:hint="eastAsia" w:ascii="宋体" w:hAnsi="宋体"/>
          <w:color w:val="auto"/>
          <w:szCs w:val="21"/>
        </w:rPr>
        <w:t>。</w:t>
      </w:r>
    </w:p>
    <w:p w14:paraId="6D3D58DF">
      <w:pPr>
        <w:spacing w:line="360" w:lineRule="auto"/>
        <w:ind w:firstLine="420" w:firstLineChars="200"/>
        <w:jc w:val="left"/>
        <w:rPr>
          <w:rFonts w:ascii="宋体" w:hAnsi="宋体"/>
          <w:color w:val="auto"/>
          <w:szCs w:val="21"/>
        </w:rPr>
      </w:pPr>
      <w:r>
        <w:rPr>
          <w:rFonts w:hint="eastAsia" w:ascii="宋体" w:hAnsi="宋体"/>
          <w:color w:val="auto"/>
          <w:szCs w:val="21"/>
        </w:rPr>
        <w:t>承包人、监理人和发包人在工程建设中，应严格执行国家及重庆市现行标准，如上述标准及规范要求有出入则以较严格者为准。</w:t>
      </w:r>
    </w:p>
    <w:p w14:paraId="277F01CF">
      <w:pPr>
        <w:pStyle w:val="7"/>
        <w:spacing w:before="0" w:beforeAutospacing="0" w:after="0" w:afterAutospacing="0" w:line="360" w:lineRule="auto"/>
        <w:ind w:firstLine="422" w:firstLineChars="200"/>
        <w:rPr>
          <w:color w:val="auto"/>
          <w:sz w:val="21"/>
          <w:szCs w:val="21"/>
        </w:rPr>
      </w:pPr>
      <w:bookmarkStart w:id="1519" w:name="_Toc351203536"/>
      <w:bookmarkStart w:id="1520" w:name="_Toc532377347"/>
      <w:bookmarkStart w:id="1521" w:name="_Hlk528927873"/>
      <w:r>
        <w:rPr>
          <w:rFonts w:hint="eastAsia"/>
          <w:color w:val="auto"/>
          <w:sz w:val="21"/>
          <w:szCs w:val="21"/>
        </w:rPr>
        <w:t>5.3隐蔽工程检查</w:t>
      </w:r>
    </w:p>
    <w:p w14:paraId="0BB8DA11">
      <w:pPr>
        <w:spacing w:line="360" w:lineRule="auto"/>
        <w:ind w:firstLine="420" w:firstLineChars="200"/>
        <w:jc w:val="left"/>
        <w:rPr>
          <w:rFonts w:ascii="宋体" w:hAnsi="宋体"/>
          <w:color w:val="auto"/>
          <w:szCs w:val="21"/>
        </w:rPr>
      </w:pPr>
      <w:r>
        <w:rPr>
          <w:rFonts w:hint="eastAsia" w:ascii="宋体" w:hAnsi="宋体"/>
          <w:color w:val="auto"/>
          <w:szCs w:val="21"/>
        </w:rPr>
        <w:t>5.3.2检查程序</w:t>
      </w:r>
    </w:p>
    <w:p w14:paraId="74DEE103">
      <w:pPr>
        <w:spacing w:line="360" w:lineRule="auto"/>
        <w:ind w:firstLine="420" w:firstLineChars="200"/>
        <w:jc w:val="left"/>
        <w:rPr>
          <w:rFonts w:ascii="宋体" w:hAnsi="宋体"/>
          <w:color w:val="auto"/>
          <w:szCs w:val="21"/>
        </w:rPr>
      </w:pPr>
      <w:r>
        <w:rPr>
          <w:rFonts w:hint="eastAsia" w:ascii="宋体" w:hAnsi="宋体"/>
          <w:color w:val="auto"/>
          <w:szCs w:val="21"/>
        </w:rPr>
        <w:t>工程隐蔽部位经承包人自检确认具备覆盖条件的，承包人应在共同检查前</w:t>
      </w:r>
      <w:r>
        <w:rPr>
          <w:rFonts w:hint="eastAsia" w:ascii="宋体" w:hAnsi="宋体"/>
          <w:color w:val="auto"/>
          <w:szCs w:val="21"/>
          <w:u w:val="single"/>
        </w:rPr>
        <w:t xml:space="preserve">  4  </w:t>
      </w:r>
      <w:r>
        <w:rPr>
          <w:rFonts w:hint="eastAsia" w:ascii="宋体" w:hAnsi="宋体"/>
          <w:color w:val="auto"/>
          <w:szCs w:val="21"/>
        </w:rPr>
        <w:t>小时书面通知监理人检查，通知中应载明隐蔽检查的内容、时间和地点，并应附有自检记录和必要的检查资料。</w:t>
      </w:r>
    </w:p>
    <w:p w14:paraId="74F9829F">
      <w:pPr>
        <w:pStyle w:val="7"/>
        <w:spacing w:before="0" w:beforeAutospacing="0" w:after="0" w:afterAutospacing="0" w:line="360" w:lineRule="auto"/>
        <w:ind w:firstLine="422" w:firstLineChars="200"/>
        <w:rPr>
          <w:color w:val="auto"/>
          <w:sz w:val="21"/>
          <w:szCs w:val="21"/>
        </w:rPr>
      </w:pPr>
      <w:r>
        <w:rPr>
          <w:rFonts w:hint="eastAsia"/>
          <w:color w:val="auto"/>
          <w:sz w:val="21"/>
          <w:szCs w:val="21"/>
        </w:rPr>
        <w:t>5</w:t>
      </w:r>
      <w:bookmarkStart w:id="1522" w:name="_Toc337558762"/>
      <w:r>
        <w:rPr>
          <w:rFonts w:hint="eastAsia"/>
          <w:color w:val="auto"/>
          <w:sz w:val="21"/>
          <w:szCs w:val="21"/>
        </w:rPr>
        <w:t>.4 不合格工程的处理</w:t>
      </w:r>
      <w:bookmarkEnd w:id="1519"/>
      <w:bookmarkEnd w:id="1520"/>
    </w:p>
    <w:bookmarkEnd w:id="1522"/>
    <w:p w14:paraId="05EFF0A0">
      <w:pPr>
        <w:spacing w:line="360" w:lineRule="auto"/>
        <w:ind w:firstLine="420" w:firstLineChars="200"/>
        <w:jc w:val="left"/>
        <w:rPr>
          <w:rFonts w:ascii="宋体" w:hAnsi="宋体"/>
          <w:color w:val="auto"/>
          <w:szCs w:val="21"/>
        </w:rPr>
      </w:pPr>
      <w:r>
        <w:rPr>
          <w:rFonts w:hint="eastAsia" w:ascii="宋体" w:hAnsi="宋体"/>
          <w:color w:val="auto"/>
          <w:szCs w:val="21"/>
        </w:rPr>
        <w:t>本款补充5.4.3项：</w:t>
      </w:r>
    </w:p>
    <w:p w14:paraId="492363C9">
      <w:pPr>
        <w:spacing w:line="360" w:lineRule="auto"/>
        <w:ind w:firstLine="420" w:firstLineChars="200"/>
        <w:jc w:val="left"/>
        <w:rPr>
          <w:rFonts w:ascii="宋体" w:hAnsi="宋体"/>
          <w:color w:val="auto"/>
          <w:szCs w:val="21"/>
        </w:rPr>
      </w:pPr>
      <w:r>
        <w:rPr>
          <w:rFonts w:hint="eastAsia" w:ascii="宋体" w:hAnsi="宋体"/>
          <w:color w:val="auto"/>
          <w:szCs w:val="21"/>
        </w:rPr>
        <w:t>5.4.3 承包人在收到监理人发出的《不合格分项报告》或监理通知单后，必须在监理人规定时间内按要求完成整改，未能在限定时间内完成整改的，须承担相应违约责任。</w:t>
      </w:r>
    </w:p>
    <w:p w14:paraId="5C369CF4">
      <w:pPr>
        <w:spacing w:line="360" w:lineRule="auto"/>
        <w:ind w:firstLine="420" w:firstLineChars="200"/>
        <w:jc w:val="left"/>
        <w:rPr>
          <w:rFonts w:ascii="宋体" w:hAnsi="宋体"/>
          <w:color w:val="auto"/>
          <w:szCs w:val="21"/>
        </w:rPr>
      </w:pPr>
      <w:r>
        <w:rPr>
          <w:rFonts w:hint="eastAsia" w:ascii="宋体" w:hAnsi="宋体"/>
          <w:color w:val="auto"/>
          <w:szCs w:val="21"/>
        </w:rPr>
        <w:t>本条补充5.6款：</w:t>
      </w:r>
    </w:p>
    <w:bookmarkEnd w:id="1521"/>
    <w:p w14:paraId="5BD2A3B2">
      <w:pPr>
        <w:pStyle w:val="7"/>
        <w:spacing w:before="0" w:beforeAutospacing="0" w:after="0" w:afterAutospacing="0" w:line="360" w:lineRule="auto"/>
        <w:ind w:firstLine="422" w:firstLineChars="200"/>
        <w:rPr>
          <w:color w:val="auto"/>
          <w:sz w:val="21"/>
          <w:szCs w:val="21"/>
        </w:rPr>
      </w:pPr>
      <w:bookmarkStart w:id="1523" w:name="_Toc532377348"/>
      <w:r>
        <w:rPr>
          <w:rFonts w:hint="eastAsia"/>
          <w:color w:val="auto"/>
          <w:sz w:val="21"/>
          <w:szCs w:val="21"/>
        </w:rPr>
        <w:t>5.6 质量事故的处理</w:t>
      </w:r>
      <w:bookmarkEnd w:id="1523"/>
    </w:p>
    <w:p w14:paraId="5E92E9B6">
      <w:pPr>
        <w:spacing w:line="360" w:lineRule="auto"/>
        <w:ind w:firstLine="420" w:firstLineChars="200"/>
        <w:jc w:val="left"/>
        <w:rPr>
          <w:rFonts w:ascii="宋体" w:hAnsi="宋体"/>
          <w:color w:val="auto"/>
          <w:szCs w:val="21"/>
        </w:rPr>
      </w:pPr>
      <w:r>
        <w:rPr>
          <w:rFonts w:hint="eastAsia" w:ascii="宋体" w:hAnsi="宋体"/>
          <w:color w:val="auto"/>
          <w:szCs w:val="21"/>
        </w:rPr>
        <w:t>5.6.1 合同履行过程中，发生工程质量事故的调查处理按照国家及重庆市现行规定处理。</w:t>
      </w:r>
    </w:p>
    <w:p w14:paraId="34FEE07B">
      <w:pPr>
        <w:spacing w:line="360" w:lineRule="auto"/>
        <w:ind w:firstLine="420" w:firstLineChars="200"/>
        <w:jc w:val="left"/>
        <w:rPr>
          <w:rFonts w:ascii="宋体" w:hAnsi="宋体"/>
          <w:color w:val="auto"/>
          <w:szCs w:val="21"/>
        </w:rPr>
      </w:pPr>
      <w:r>
        <w:rPr>
          <w:rFonts w:hint="eastAsia" w:ascii="宋体" w:hAnsi="宋体"/>
          <w:color w:val="auto"/>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499"/>
    <w:bookmarkEnd w:id="1500"/>
    <w:bookmarkEnd w:id="1501"/>
    <w:bookmarkEnd w:id="1502"/>
    <w:bookmarkEnd w:id="1503"/>
    <w:bookmarkEnd w:id="1504"/>
    <w:bookmarkEnd w:id="1505"/>
    <w:bookmarkEnd w:id="1506"/>
    <w:bookmarkEnd w:id="1507"/>
    <w:bookmarkEnd w:id="1508"/>
    <w:bookmarkEnd w:id="1511"/>
    <w:bookmarkEnd w:id="1512"/>
    <w:bookmarkEnd w:id="1513"/>
    <w:bookmarkEnd w:id="1514"/>
    <w:bookmarkEnd w:id="1515"/>
    <w:bookmarkEnd w:id="1516"/>
    <w:bookmarkEnd w:id="1517"/>
    <w:p w14:paraId="788C47AF">
      <w:pPr>
        <w:pStyle w:val="6"/>
        <w:keepNext/>
        <w:keepLines/>
        <w:spacing w:beforeLines="50" w:beforeAutospacing="0" w:afterLines="50" w:afterAutospacing="0" w:line="360" w:lineRule="auto"/>
        <w:jc w:val="both"/>
        <w:rPr>
          <w:bCs w:val="0"/>
          <w:color w:val="auto"/>
          <w:kern w:val="2"/>
          <w:sz w:val="21"/>
          <w:szCs w:val="21"/>
        </w:rPr>
      </w:pPr>
      <w:bookmarkStart w:id="1524" w:name="_Toc351203638"/>
      <w:bookmarkStart w:id="1525" w:name="_Toc532375613"/>
      <w:bookmarkStart w:id="1526" w:name="_Toc532377349"/>
      <w:bookmarkStart w:id="1527" w:name="_Toc297120473"/>
      <w:bookmarkStart w:id="1528" w:name="_Toc296347172"/>
      <w:bookmarkStart w:id="1529" w:name="_Toc267251428"/>
      <w:bookmarkStart w:id="1530" w:name="_Toc296891001"/>
      <w:bookmarkStart w:id="1531" w:name="_Toc267251427"/>
      <w:bookmarkStart w:id="1532" w:name="_Toc296944512"/>
      <w:bookmarkStart w:id="1533" w:name="_Toc296891213"/>
      <w:bookmarkStart w:id="1534" w:name="_Toc351203642"/>
      <w:bookmarkStart w:id="1535" w:name="_Toc292559378"/>
      <w:bookmarkStart w:id="1536" w:name="_Toc296503173"/>
      <w:bookmarkStart w:id="1537" w:name="_Toc297048359"/>
      <w:bookmarkStart w:id="1538" w:name="_Toc296346674"/>
      <w:bookmarkStart w:id="1539" w:name="_Toc292559883"/>
      <w:r>
        <w:rPr>
          <w:rFonts w:hint="eastAsia"/>
          <w:color w:val="auto"/>
          <w:kern w:val="2"/>
          <w:sz w:val="21"/>
          <w:szCs w:val="21"/>
        </w:rPr>
        <w:t>6. 安全文明施工与环境保护</w:t>
      </w:r>
      <w:bookmarkEnd w:id="1524"/>
      <w:bookmarkEnd w:id="1525"/>
      <w:bookmarkEnd w:id="1526"/>
    </w:p>
    <w:p w14:paraId="10E270A3">
      <w:pPr>
        <w:pStyle w:val="7"/>
        <w:spacing w:before="0" w:beforeAutospacing="0" w:after="0" w:afterAutospacing="0" w:line="360" w:lineRule="auto"/>
        <w:ind w:firstLine="422" w:firstLineChars="200"/>
        <w:rPr>
          <w:color w:val="auto"/>
          <w:sz w:val="21"/>
          <w:szCs w:val="21"/>
        </w:rPr>
      </w:pPr>
      <w:bookmarkStart w:id="1540" w:name="_Toc532375614"/>
      <w:bookmarkStart w:id="1541" w:name="_Toc532377350"/>
      <w:r>
        <w:rPr>
          <w:rFonts w:hint="eastAsia"/>
          <w:color w:val="auto"/>
          <w:sz w:val="21"/>
          <w:szCs w:val="21"/>
        </w:rPr>
        <w:t>6.1 安全文明施工</w:t>
      </w:r>
      <w:bookmarkEnd w:id="1540"/>
      <w:bookmarkEnd w:id="1541"/>
    </w:p>
    <w:p w14:paraId="2B8230C7">
      <w:pPr>
        <w:spacing w:line="360" w:lineRule="auto"/>
        <w:ind w:firstLine="420" w:firstLineChars="200"/>
        <w:jc w:val="left"/>
        <w:rPr>
          <w:rFonts w:ascii="宋体" w:hAnsi="宋体"/>
          <w:color w:val="auto"/>
          <w:szCs w:val="21"/>
        </w:rPr>
      </w:pPr>
      <w:r>
        <w:rPr>
          <w:rFonts w:hint="eastAsia" w:ascii="宋体" w:hAnsi="宋体"/>
          <w:color w:val="auto"/>
          <w:szCs w:val="21"/>
        </w:rPr>
        <w:t>承包人必须认真贯彻执行国家安全生产法律、法规、规章和强制性安全标准，按照重庆市现行的质量、安全文明施工有关规定和发包人安全管理的有关规定，建立完善的质量、安全、文明施工管理制度。</w:t>
      </w:r>
    </w:p>
    <w:p w14:paraId="6F6A42AE">
      <w:pPr>
        <w:spacing w:line="360" w:lineRule="auto"/>
        <w:ind w:firstLine="420" w:firstLineChars="200"/>
        <w:jc w:val="left"/>
        <w:rPr>
          <w:rFonts w:ascii="宋体" w:hAnsi="宋体"/>
          <w:color w:val="auto"/>
          <w:szCs w:val="21"/>
        </w:rPr>
      </w:pPr>
      <w:r>
        <w:rPr>
          <w:rFonts w:hint="eastAsia" w:ascii="宋体" w:hAnsi="宋体"/>
          <w:color w:val="auto"/>
          <w:szCs w:val="21"/>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4546A943">
      <w:pPr>
        <w:spacing w:line="360" w:lineRule="auto"/>
        <w:ind w:firstLine="420" w:firstLineChars="200"/>
        <w:jc w:val="left"/>
        <w:rPr>
          <w:rFonts w:ascii="宋体" w:hAnsi="宋体"/>
          <w:color w:val="auto"/>
          <w:szCs w:val="21"/>
          <w:u w:val="single"/>
        </w:rPr>
      </w:pPr>
      <w:r>
        <w:rPr>
          <w:rFonts w:hint="eastAsia" w:ascii="宋体" w:hAnsi="宋体"/>
          <w:color w:val="auto"/>
          <w:szCs w:val="21"/>
        </w:rPr>
        <w:t>6.1.1 项目安全生产的达标目标及相应事项的约定：</w:t>
      </w:r>
      <w:r>
        <w:rPr>
          <w:rFonts w:hint="eastAsia" w:ascii="宋体" w:hAnsi="宋体"/>
          <w:color w:val="auto"/>
          <w:szCs w:val="21"/>
          <w:u w:val="single"/>
        </w:rPr>
        <w:t>达到《建筑施工安全检查标准》（JGJ59-2011）的要求</w:t>
      </w:r>
      <w:r>
        <w:rPr>
          <w:rFonts w:hint="eastAsia" w:ascii="宋体" w:hAnsi="宋体"/>
          <w:color w:val="auto"/>
          <w:szCs w:val="21"/>
        </w:rPr>
        <w:t>。</w:t>
      </w:r>
    </w:p>
    <w:p w14:paraId="0EA2A876">
      <w:pPr>
        <w:spacing w:line="360" w:lineRule="auto"/>
        <w:ind w:firstLine="420" w:firstLineChars="200"/>
        <w:jc w:val="left"/>
        <w:rPr>
          <w:rFonts w:ascii="宋体" w:hAnsi="宋体"/>
          <w:color w:val="auto"/>
          <w:szCs w:val="21"/>
        </w:rPr>
      </w:pPr>
      <w:r>
        <w:rPr>
          <w:rFonts w:hint="eastAsia" w:ascii="宋体" w:hAnsi="宋体"/>
          <w:color w:val="auto"/>
          <w:szCs w:val="21"/>
          <w:u w:val="single"/>
        </w:rPr>
        <w:t>（1）按现行安全文明施工费计取及使用管理的政策文件规定及发包人制订的安全管理制度执行</w:t>
      </w:r>
      <w:r>
        <w:rPr>
          <w:rFonts w:hint="eastAsia" w:ascii="宋体" w:hAnsi="宋体"/>
          <w:color w:val="auto"/>
          <w:szCs w:val="21"/>
        </w:rPr>
        <w:t>。</w:t>
      </w:r>
    </w:p>
    <w:p w14:paraId="1B25BA3F">
      <w:pPr>
        <w:spacing w:line="360" w:lineRule="auto"/>
        <w:ind w:firstLine="420" w:firstLineChars="200"/>
        <w:jc w:val="left"/>
        <w:rPr>
          <w:rFonts w:ascii="宋体" w:hAnsi="宋体"/>
          <w:color w:val="auto"/>
          <w:szCs w:val="21"/>
        </w:rPr>
      </w:pPr>
      <w:r>
        <w:rPr>
          <w:rFonts w:hint="eastAsia" w:ascii="宋体" w:hAnsi="宋体"/>
          <w:color w:val="auto"/>
          <w:szCs w:val="21"/>
          <w:u w:val="single"/>
        </w:rPr>
        <w:t>（2）承包人的原因造成事故，由此产生的法律责任和事故责任及费用由承包人全部承担</w:t>
      </w:r>
      <w:r>
        <w:rPr>
          <w:rFonts w:hint="eastAsia" w:ascii="宋体" w:hAnsi="宋体"/>
          <w:color w:val="auto"/>
          <w:szCs w:val="21"/>
        </w:rPr>
        <w:t>。</w:t>
      </w:r>
    </w:p>
    <w:p w14:paraId="58AD6BA2">
      <w:pPr>
        <w:spacing w:line="360" w:lineRule="auto"/>
        <w:ind w:firstLine="420" w:firstLineChars="200"/>
        <w:jc w:val="left"/>
        <w:rPr>
          <w:rFonts w:ascii="宋体" w:hAnsi="宋体"/>
          <w:color w:val="auto"/>
          <w:szCs w:val="21"/>
        </w:rPr>
      </w:pPr>
      <w:r>
        <w:rPr>
          <w:rFonts w:hint="eastAsia" w:ascii="宋体" w:hAnsi="宋体"/>
          <w:color w:val="auto"/>
          <w:szCs w:val="21"/>
          <w:u w:val="single"/>
        </w:rPr>
        <w:t>（3）承包人向发包人做出安全承诺，并签订《安全生产目标责任书》和《安全承诺书》</w:t>
      </w:r>
      <w:r>
        <w:rPr>
          <w:rFonts w:hint="eastAsia" w:ascii="宋体" w:hAnsi="宋体"/>
          <w:color w:val="auto"/>
          <w:szCs w:val="21"/>
        </w:rPr>
        <w:t>。</w:t>
      </w:r>
    </w:p>
    <w:p w14:paraId="142F719F">
      <w:pPr>
        <w:spacing w:line="360" w:lineRule="auto"/>
        <w:ind w:firstLine="420" w:firstLineChars="200"/>
        <w:jc w:val="left"/>
        <w:rPr>
          <w:rFonts w:ascii="宋体" w:hAnsi="宋体"/>
          <w:color w:val="auto"/>
          <w:szCs w:val="21"/>
        </w:rPr>
      </w:pPr>
      <w:r>
        <w:rPr>
          <w:rFonts w:hint="eastAsia" w:ascii="宋体" w:hAnsi="宋体"/>
          <w:color w:val="auto"/>
          <w:szCs w:val="21"/>
          <w:u w:val="single"/>
        </w:rPr>
        <w:t>（4）承包人在施工过程中，必须严格执行安全生产法的相关规定，制定切实可靠的安全技术措施</w:t>
      </w:r>
      <w:r>
        <w:rPr>
          <w:rFonts w:hint="eastAsia" w:ascii="宋体" w:hAnsi="宋体"/>
          <w:color w:val="auto"/>
          <w:szCs w:val="21"/>
        </w:rPr>
        <w:t>。</w:t>
      </w:r>
    </w:p>
    <w:p w14:paraId="204B951F">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（5）接受发包人安全监督和管理，在施工中违反安全管理规定和操作规程、违章作业的，承担违约责任</w:t>
      </w:r>
      <w:r>
        <w:rPr>
          <w:rFonts w:hint="eastAsia" w:ascii="宋体" w:hAnsi="宋体"/>
          <w:color w:val="auto"/>
          <w:szCs w:val="21"/>
        </w:rPr>
        <w:t>。</w:t>
      </w:r>
    </w:p>
    <w:p w14:paraId="089B1184">
      <w:pPr>
        <w:spacing w:line="360" w:lineRule="auto"/>
        <w:ind w:firstLine="420" w:firstLineChars="200"/>
        <w:jc w:val="left"/>
        <w:rPr>
          <w:rFonts w:ascii="宋体" w:hAnsi="宋体"/>
          <w:color w:val="auto"/>
          <w:szCs w:val="21"/>
        </w:rPr>
      </w:pPr>
      <w:r>
        <w:rPr>
          <w:rFonts w:hint="eastAsia" w:ascii="宋体" w:hAnsi="宋体"/>
          <w:color w:val="auto"/>
          <w:szCs w:val="21"/>
        </w:rPr>
        <w:t>6.1.4 关于治安保卫的特别约定：</w:t>
      </w:r>
      <w:r>
        <w:rPr>
          <w:rFonts w:hint="eastAsia" w:ascii="宋体" w:hAnsi="宋体"/>
          <w:color w:val="auto"/>
          <w:szCs w:val="21"/>
          <w:u w:val="single"/>
        </w:rPr>
        <w:t>承包人负责组建施工现场治安管理机构或联防组织；承包人负责编制施工场地治安管理计划和突发治安事件紧急预案</w:t>
      </w:r>
      <w:r>
        <w:rPr>
          <w:rFonts w:hint="eastAsia" w:ascii="宋体" w:hAnsi="宋体"/>
          <w:color w:val="auto"/>
          <w:szCs w:val="21"/>
        </w:rPr>
        <w:t>。</w:t>
      </w:r>
    </w:p>
    <w:p w14:paraId="2CF63F5A">
      <w:pPr>
        <w:spacing w:line="360" w:lineRule="auto"/>
        <w:ind w:firstLine="420" w:firstLineChars="200"/>
        <w:jc w:val="left"/>
        <w:rPr>
          <w:rFonts w:ascii="宋体" w:hAnsi="宋体"/>
          <w:color w:val="auto"/>
          <w:szCs w:val="21"/>
          <w:u w:val="single"/>
        </w:rPr>
      </w:pPr>
      <w:r>
        <w:rPr>
          <w:rFonts w:hint="eastAsia" w:ascii="宋体" w:hAnsi="宋体"/>
          <w:color w:val="auto"/>
          <w:szCs w:val="21"/>
        </w:rPr>
        <w:t>关于编制施工场地治安管理计划的约定：</w:t>
      </w:r>
      <w:r>
        <w:rPr>
          <w:rFonts w:hint="eastAsia" w:ascii="宋体" w:hAnsi="宋体"/>
          <w:color w:val="auto"/>
          <w:szCs w:val="21"/>
          <w:u w:val="single"/>
        </w:rPr>
        <w:t>由承包人负责</w:t>
      </w:r>
      <w:r>
        <w:rPr>
          <w:rFonts w:hint="eastAsia" w:ascii="宋体" w:hAnsi="宋体"/>
          <w:color w:val="auto"/>
          <w:szCs w:val="21"/>
        </w:rPr>
        <w:t>。</w:t>
      </w:r>
    </w:p>
    <w:p w14:paraId="7D8DB013">
      <w:pPr>
        <w:spacing w:line="360" w:lineRule="auto"/>
        <w:ind w:firstLine="420" w:firstLineChars="200"/>
        <w:jc w:val="left"/>
        <w:rPr>
          <w:rFonts w:ascii="宋体" w:hAnsi="宋体"/>
          <w:color w:val="auto"/>
          <w:szCs w:val="21"/>
        </w:rPr>
      </w:pPr>
      <w:r>
        <w:rPr>
          <w:rFonts w:hint="eastAsia" w:ascii="宋体" w:hAnsi="宋体"/>
          <w:color w:val="auto"/>
          <w:szCs w:val="21"/>
        </w:rPr>
        <w:t>6.1.5 文明施工</w:t>
      </w:r>
    </w:p>
    <w:p w14:paraId="56A2EF57">
      <w:pPr>
        <w:spacing w:line="360" w:lineRule="auto"/>
        <w:ind w:firstLine="420" w:firstLineChars="200"/>
        <w:jc w:val="left"/>
        <w:rPr>
          <w:rFonts w:ascii="宋体" w:hAnsi="宋体"/>
          <w:color w:val="auto"/>
          <w:szCs w:val="21"/>
          <w:u w:val="single"/>
        </w:rPr>
      </w:pPr>
      <w:r>
        <w:rPr>
          <w:rFonts w:hint="eastAsia" w:ascii="宋体" w:hAnsi="宋体"/>
          <w:color w:val="auto"/>
          <w:szCs w:val="21"/>
        </w:rPr>
        <w:t>合同当事人对文明施工的要求：</w:t>
      </w:r>
      <w:r>
        <w:rPr>
          <w:rFonts w:hint="eastAsia" w:ascii="宋体" w:hAnsi="宋体"/>
          <w:color w:val="auto"/>
          <w:szCs w:val="21"/>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color w:val="auto"/>
          <w:szCs w:val="21"/>
        </w:rPr>
        <w:t>。</w:t>
      </w:r>
    </w:p>
    <w:p w14:paraId="3F605D5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color w:val="auto"/>
          <w:szCs w:val="21"/>
        </w:rPr>
        <w:t>。</w:t>
      </w:r>
    </w:p>
    <w:p w14:paraId="65F84442">
      <w:pPr>
        <w:spacing w:line="360" w:lineRule="auto"/>
        <w:ind w:firstLine="420" w:firstLineChars="200"/>
        <w:jc w:val="left"/>
        <w:rPr>
          <w:rFonts w:ascii="宋体" w:hAnsi="宋体"/>
          <w:color w:val="auto"/>
          <w:szCs w:val="21"/>
          <w:u w:val="single"/>
        </w:rPr>
      </w:pPr>
      <w:r>
        <w:rPr>
          <w:rFonts w:hint="eastAsia" w:ascii="宋体" w:hAnsi="宋体"/>
          <w:color w:val="auto"/>
          <w:szCs w:val="21"/>
        </w:rPr>
        <w:t>6.1.6 关于安全文明施工费支付比例和支付期限的约定：按照行业主管部门相关规定执行。</w:t>
      </w:r>
    </w:p>
    <w:p w14:paraId="73CC97C5">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安全文明施工费的要求与内容、提取支付方法以及违反约定造成损失的赔偿等条款，按照现行规范要求执行，做到专款专用</w:t>
      </w:r>
      <w:r>
        <w:rPr>
          <w:rFonts w:hint="eastAsia" w:ascii="宋体" w:hAnsi="宋体"/>
          <w:color w:val="auto"/>
          <w:szCs w:val="21"/>
        </w:rPr>
        <w:t>。</w:t>
      </w:r>
    </w:p>
    <w:p w14:paraId="0C8A56E6">
      <w:pPr>
        <w:pStyle w:val="7"/>
        <w:spacing w:before="0" w:beforeAutospacing="0" w:after="0" w:afterAutospacing="0" w:line="360" w:lineRule="auto"/>
        <w:ind w:firstLine="422" w:firstLineChars="200"/>
        <w:rPr>
          <w:color w:val="auto"/>
          <w:sz w:val="21"/>
          <w:szCs w:val="21"/>
        </w:rPr>
      </w:pPr>
      <w:bookmarkStart w:id="1542" w:name="_Toc532377351"/>
      <w:bookmarkStart w:id="1543" w:name="_Toc532375615"/>
      <w:r>
        <w:rPr>
          <w:rFonts w:hint="eastAsia"/>
          <w:color w:val="auto"/>
          <w:sz w:val="21"/>
          <w:szCs w:val="21"/>
        </w:rPr>
        <w:t>6.3 环境保护</w:t>
      </w:r>
      <w:bookmarkEnd w:id="1542"/>
      <w:bookmarkEnd w:id="1543"/>
    </w:p>
    <w:p w14:paraId="5C4C15EB">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本款补充6.3.1～6.3.8项：</w:t>
      </w:r>
    </w:p>
    <w:p w14:paraId="2429D474">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4E400FB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536E58EC">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6.3.3 承包人应加强生态环境保护工作。施工期间，采取边坡防护，挡渣坝、排水沟、沉淀池、表土剥离和绿化恢复等水土保持措施减少水土流失量，绿化恢复宜采用适于当地生长的植物。</w:t>
      </w:r>
    </w:p>
    <w:p w14:paraId="103F45D8">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6.3.4 承包人应认真落实水污染防治措施。施工期间，加强机械设备维护，减少跑冒滴漏等现象；做好含油废水处理措施；施工场地生活污水经生化处理后达到《污水综合排放标准》（GB8978-1996）一级标准后排放。</w:t>
      </w:r>
    </w:p>
    <w:p w14:paraId="7C2C8A60">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6.3.5 承包人应重视大气污染物污染防治措施。施工期间，严格执行市政府“蓝天行动”方案等有关规定，通过洒水防尘，严格控制施工场地扬尘和运输扬尘污染。</w:t>
      </w:r>
    </w:p>
    <w:p w14:paraId="3A73609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6.3.6 承包人应落实固体废物污染防治措施。施工期间，项目产生的弃方不可合理</w:t>
      </w:r>
      <w:r>
        <w:rPr>
          <w:rFonts w:ascii="宋体" w:hAnsi="宋体"/>
          <w:color w:val="auto"/>
          <w:szCs w:val="21"/>
        </w:rPr>
        <w:t>利用的</w:t>
      </w:r>
      <w:r>
        <w:rPr>
          <w:rFonts w:hint="eastAsia" w:ascii="宋体" w:hAnsi="宋体"/>
          <w:color w:val="auto"/>
          <w:szCs w:val="21"/>
        </w:rPr>
        <w:t>，应运往指定的弃渣场内堆存；建筑垃圾运至指定的建筑垃圾消纳场处置；生活垃圾由当地环卫部门统一处置。</w:t>
      </w:r>
    </w:p>
    <w:p w14:paraId="005A0DDA">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6.3.7 承包人应认真落实噪声污染防治措施。施工期间，优选低噪声设备，合理安排施工时间，严格控制夜间施工，昼、夜施工场界需满足《建筑施工场界环境噪声排放标准》（GB12523-2011）。</w:t>
      </w:r>
    </w:p>
    <w:p w14:paraId="200092C0">
      <w:pPr>
        <w:spacing w:line="360" w:lineRule="auto"/>
        <w:ind w:firstLine="420" w:firstLineChars="200"/>
        <w:jc w:val="left"/>
        <w:rPr>
          <w:rFonts w:ascii="宋体" w:hAnsi="宋体"/>
          <w:color w:val="auto"/>
          <w:szCs w:val="21"/>
        </w:rPr>
      </w:pPr>
      <w:r>
        <w:rPr>
          <w:rFonts w:hint="eastAsia" w:ascii="宋体" w:hAnsi="宋体"/>
          <w:color w:val="auto"/>
          <w:szCs w:val="21"/>
        </w:rPr>
        <w:t>6.3.8 承包人自行负责办理有关施工场地交通、环卫和施工噪音管理等手续，并应按要求结合自身实际和重庆市相关规定，考虑不低于以上标准的此类工作。</w:t>
      </w:r>
    </w:p>
    <w:p w14:paraId="7BEC2A7C">
      <w:pPr>
        <w:spacing w:line="360" w:lineRule="auto"/>
        <w:ind w:firstLine="420" w:firstLineChars="200"/>
        <w:jc w:val="left"/>
        <w:rPr>
          <w:rFonts w:ascii="宋体" w:hAnsi="宋体"/>
          <w:color w:val="auto"/>
          <w:szCs w:val="21"/>
        </w:rPr>
      </w:pPr>
      <w:r>
        <w:rPr>
          <w:rFonts w:hint="eastAsia" w:ascii="宋体" w:hAnsi="宋体"/>
          <w:color w:val="auto"/>
          <w:szCs w:val="21"/>
        </w:rPr>
        <w:t xml:space="preserve">6.3.9 </w:t>
      </w:r>
      <w:r>
        <w:rPr>
          <w:rFonts w:hint="eastAsia" w:ascii="宋体" w:hAnsi="宋体"/>
          <w:color w:val="auto"/>
          <w:szCs w:val="21"/>
          <w:u w:val="single"/>
        </w:rPr>
        <w:t xml:space="preserve">        </w:t>
      </w:r>
      <w:r>
        <w:rPr>
          <w:rFonts w:hint="eastAsia" w:ascii="宋体" w:hAnsi="宋体"/>
          <w:color w:val="auto"/>
          <w:szCs w:val="21"/>
        </w:rPr>
        <w:t>。</w:t>
      </w:r>
    </w:p>
    <w:p w14:paraId="71132A55">
      <w:pPr>
        <w:pStyle w:val="6"/>
        <w:keepNext/>
        <w:keepLines/>
        <w:spacing w:beforeLines="50" w:beforeAutospacing="0" w:afterLines="50" w:afterAutospacing="0" w:line="360" w:lineRule="auto"/>
        <w:jc w:val="both"/>
        <w:rPr>
          <w:bCs w:val="0"/>
          <w:color w:val="auto"/>
          <w:kern w:val="2"/>
          <w:sz w:val="21"/>
          <w:szCs w:val="21"/>
        </w:rPr>
      </w:pPr>
      <w:bookmarkStart w:id="1544" w:name="_Toc532375616"/>
      <w:bookmarkStart w:id="1545" w:name="_Toc532377352"/>
      <w:bookmarkStart w:id="1546" w:name="_Toc351203639"/>
      <w:r>
        <w:rPr>
          <w:rFonts w:hint="eastAsia"/>
          <w:color w:val="auto"/>
          <w:kern w:val="2"/>
          <w:sz w:val="21"/>
          <w:szCs w:val="21"/>
        </w:rPr>
        <w:t>7. 工期和进度</w:t>
      </w:r>
      <w:bookmarkEnd w:id="1544"/>
      <w:bookmarkEnd w:id="1545"/>
      <w:bookmarkEnd w:id="1546"/>
    </w:p>
    <w:p w14:paraId="74FB35C1">
      <w:pPr>
        <w:pStyle w:val="7"/>
        <w:spacing w:before="0" w:beforeAutospacing="0" w:after="0" w:afterAutospacing="0" w:line="360" w:lineRule="auto"/>
        <w:ind w:firstLine="422" w:firstLineChars="200"/>
        <w:rPr>
          <w:color w:val="auto"/>
          <w:sz w:val="21"/>
          <w:szCs w:val="21"/>
        </w:rPr>
      </w:pPr>
      <w:bookmarkStart w:id="1547" w:name="_Toc532377353"/>
      <w:bookmarkStart w:id="1548" w:name="_Toc532375617"/>
      <w:r>
        <w:rPr>
          <w:rFonts w:hint="eastAsia"/>
          <w:color w:val="auto"/>
          <w:sz w:val="21"/>
          <w:szCs w:val="21"/>
        </w:rPr>
        <w:t>7.1 施工组织设计</w:t>
      </w:r>
      <w:bookmarkEnd w:id="1547"/>
      <w:bookmarkEnd w:id="1548"/>
    </w:p>
    <w:p w14:paraId="34086CA5">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rPr>
        <w:t>7.1.1 合同当事人约定的施工组织设计应包括的其他内容：</w:t>
      </w:r>
      <w:r>
        <w:rPr>
          <w:rFonts w:hint="eastAsia" w:ascii="宋体" w:hAnsi="宋体"/>
          <w:color w:val="auto"/>
          <w:szCs w:val="21"/>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olor w:val="auto"/>
          <w:szCs w:val="21"/>
        </w:rPr>
        <w:t>。</w:t>
      </w:r>
    </w:p>
    <w:p w14:paraId="12D3195E">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7.1.2 施工组织设计的提交和修改</w:t>
      </w:r>
    </w:p>
    <w:p w14:paraId="55A0781B">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承包人提交详细施工组织设计的期限的约定：</w:t>
      </w:r>
      <w:r>
        <w:rPr>
          <w:rFonts w:hint="eastAsia" w:ascii="宋体" w:hAnsi="宋体"/>
          <w:color w:val="auto"/>
          <w:szCs w:val="21"/>
          <w:u w:val="single"/>
        </w:rPr>
        <w:t>合同签订后7天内，但最迟不得晚于开工通知载明的开工日期前7天</w:t>
      </w:r>
      <w:r>
        <w:rPr>
          <w:rFonts w:hint="eastAsia" w:ascii="宋体" w:hAnsi="宋体"/>
          <w:color w:val="auto"/>
          <w:szCs w:val="21"/>
        </w:rPr>
        <w:t>。</w:t>
      </w:r>
    </w:p>
    <w:p w14:paraId="121AFF2C">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发包人和监理人在收到详细的施工组织设计后确认或提出修改意见的期限：</w:t>
      </w:r>
      <w:r>
        <w:rPr>
          <w:rFonts w:hint="eastAsia" w:ascii="宋体" w:hAnsi="宋体"/>
          <w:color w:val="auto"/>
          <w:szCs w:val="21"/>
          <w:u w:val="single"/>
        </w:rPr>
        <w:t>收到施工组织设计后5 天内</w:t>
      </w:r>
      <w:r>
        <w:rPr>
          <w:rFonts w:hint="eastAsia" w:ascii="宋体" w:hAnsi="宋体"/>
          <w:color w:val="auto"/>
          <w:szCs w:val="21"/>
        </w:rPr>
        <w:t>。</w:t>
      </w:r>
    </w:p>
    <w:p w14:paraId="246C8404">
      <w:pPr>
        <w:pStyle w:val="7"/>
        <w:spacing w:before="0" w:beforeAutospacing="0" w:after="0" w:afterAutospacing="0" w:line="360" w:lineRule="auto"/>
        <w:ind w:firstLine="422" w:firstLineChars="200"/>
        <w:rPr>
          <w:color w:val="auto"/>
          <w:sz w:val="21"/>
          <w:szCs w:val="21"/>
        </w:rPr>
      </w:pPr>
      <w:bookmarkStart w:id="1549" w:name="_Toc532375618"/>
      <w:bookmarkStart w:id="1550" w:name="_Toc532377354"/>
      <w:r>
        <w:rPr>
          <w:rFonts w:hint="eastAsia"/>
          <w:color w:val="auto"/>
          <w:sz w:val="21"/>
          <w:szCs w:val="21"/>
        </w:rPr>
        <w:t>7.2 施工进度计划</w:t>
      </w:r>
      <w:bookmarkEnd w:id="1549"/>
      <w:bookmarkEnd w:id="1550"/>
    </w:p>
    <w:p w14:paraId="10E1DF9B">
      <w:pPr>
        <w:spacing w:line="360" w:lineRule="auto"/>
        <w:ind w:firstLine="420" w:firstLineChars="200"/>
        <w:jc w:val="left"/>
        <w:rPr>
          <w:rFonts w:ascii="宋体" w:hAnsi="宋体"/>
          <w:color w:val="auto"/>
          <w:szCs w:val="21"/>
        </w:rPr>
      </w:pPr>
      <w:r>
        <w:rPr>
          <w:rFonts w:hint="eastAsia" w:ascii="宋体" w:hAnsi="宋体"/>
          <w:color w:val="auto"/>
          <w:szCs w:val="21"/>
        </w:rPr>
        <w:t>7.2.2 施工进度计划的修订</w:t>
      </w:r>
    </w:p>
    <w:p w14:paraId="67A63DE2">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发包人和监理人在收到修订的施工进度计划后确认或提出修改意见的期限：</w:t>
      </w:r>
      <w:r>
        <w:rPr>
          <w:rFonts w:hint="eastAsia" w:ascii="宋体" w:hAnsi="宋体"/>
          <w:color w:val="auto"/>
          <w:szCs w:val="21"/>
          <w:u w:val="single"/>
        </w:rPr>
        <w:t>收到修订的施工进度计划后  天内</w:t>
      </w:r>
      <w:r>
        <w:rPr>
          <w:rFonts w:hint="eastAsia" w:ascii="宋体" w:hAnsi="宋体"/>
          <w:color w:val="auto"/>
          <w:szCs w:val="21"/>
        </w:rPr>
        <w:t>。</w:t>
      </w:r>
    </w:p>
    <w:p w14:paraId="094D7C68">
      <w:pPr>
        <w:pStyle w:val="7"/>
        <w:spacing w:before="0" w:beforeAutospacing="0" w:after="0" w:afterAutospacing="0" w:line="360" w:lineRule="auto"/>
        <w:ind w:firstLine="422" w:firstLineChars="200"/>
        <w:rPr>
          <w:color w:val="auto"/>
          <w:sz w:val="21"/>
          <w:szCs w:val="21"/>
        </w:rPr>
      </w:pPr>
      <w:bookmarkStart w:id="1551" w:name="_Toc532377355"/>
      <w:bookmarkStart w:id="1552" w:name="_Toc532375619"/>
      <w:bookmarkStart w:id="1553" w:name="_Toc304295541"/>
      <w:bookmarkStart w:id="1554" w:name="_Toc312678005"/>
      <w:bookmarkStart w:id="1555" w:name="_Toc312677479"/>
      <w:bookmarkStart w:id="1556" w:name="_Toc297123514"/>
      <w:bookmarkStart w:id="1557" w:name="_Toc300934966"/>
      <w:bookmarkStart w:id="1558" w:name="_Toc303539123"/>
      <w:bookmarkStart w:id="1559" w:name="_Toc297216173"/>
      <w:r>
        <w:rPr>
          <w:rFonts w:hint="eastAsia"/>
          <w:color w:val="auto"/>
          <w:sz w:val="21"/>
          <w:szCs w:val="21"/>
        </w:rPr>
        <w:t>7.3 开工</w:t>
      </w:r>
      <w:bookmarkEnd w:id="1551"/>
      <w:bookmarkEnd w:id="1552"/>
    </w:p>
    <w:p w14:paraId="609A113A">
      <w:pPr>
        <w:spacing w:line="360" w:lineRule="auto"/>
        <w:ind w:firstLine="420" w:firstLineChars="200"/>
        <w:jc w:val="left"/>
        <w:rPr>
          <w:rFonts w:ascii="宋体" w:hAnsi="宋体"/>
          <w:color w:val="auto"/>
          <w:szCs w:val="21"/>
        </w:rPr>
      </w:pPr>
      <w:r>
        <w:rPr>
          <w:rFonts w:hint="eastAsia" w:ascii="宋体" w:hAnsi="宋体"/>
          <w:color w:val="auto"/>
          <w:szCs w:val="21"/>
        </w:rPr>
        <w:t>7.3.1 开工准备</w:t>
      </w:r>
    </w:p>
    <w:p w14:paraId="7DE62C16">
      <w:pPr>
        <w:spacing w:line="360" w:lineRule="auto"/>
        <w:ind w:firstLine="420" w:firstLineChars="200"/>
        <w:jc w:val="left"/>
        <w:rPr>
          <w:rFonts w:ascii="宋体" w:hAnsi="宋体"/>
          <w:color w:val="auto"/>
          <w:szCs w:val="21"/>
        </w:rPr>
      </w:pPr>
      <w:r>
        <w:rPr>
          <w:rFonts w:hint="eastAsia" w:ascii="宋体" w:hAnsi="宋体"/>
          <w:color w:val="auto"/>
          <w:szCs w:val="21"/>
        </w:rPr>
        <w:t>关于承包人提交工程开工报审表的期限：</w:t>
      </w:r>
      <w:r>
        <w:rPr>
          <w:rFonts w:hint="eastAsia" w:ascii="宋体" w:hAnsi="宋体"/>
          <w:color w:val="auto"/>
          <w:szCs w:val="21"/>
          <w:u w:val="single"/>
        </w:rPr>
        <w:t>不晚于开工前2天</w:t>
      </w:r>
      <w:r>
        <w:rPr>
          <w:rFonts w:hint="eastAsia" w:ascii="宋体" w:hAnsi="宋体"/>
          <w:color w:val="auto"/>
          <w:szCs w:val="21"/>
        </w:rPr>
        <w:t>。</w:t>
      </w:r>
    </w:p>
    <w:p w14:paraId="33B2DC78">
      <w:pPr>
        <w:spacing w:line="360" w:lineRule="auto"/>
        <w:ind w:firstLine="420" w:firstLineChars="200"/>
        <w:jc w:val="left"/>
        <w:rPr>
          <w:rFonts w:ascii="宋体" w:hAnsi="宋体"/>
          <w:color w:val="auto"/>
          <w:szCs w:val="21"/>
        </w:rPr>
      </w:pPr>
      <w:r>
        <w:rPr>
          <w:rFonts w:hint="eastAsia" w:ascii="宋体" w:hAnsi="宋体"/>
          <w:color w:val="auto"/>
          <w:szCs w:val="21"/>
        </w:rPr>
        <w:t>关于发包人应完成的其他开工准备工作及期限：</w:t>
      </w:r>
      <w:r>
        <w:rPr>
          <w:rFonts w:hint="eastAsia" w:ascii="宋体" w:hAnsi="宋体"/>
          <w:color w:val="auto"/>
          <w:szCs w:val="21"/>
          <w:u w:val="single"/>
        </w:rPr>
        <w:t>不晚于开工前10天</w:t>
      </w:r>
      <w:r>
        <w:rPr>
          <w:rFonts w:hint="eastAsia" w:ascii="宋体" w:hAnsi="宋体"/>
          <w:color w:val="auto"/>
          <w:szCs w:val="21"/>
        </w:rPr>
        <w:t>。</w:t>
      </w:r>
    </w:p>
    <w:p w14:paraId="796ABBAD">
      <w:pPr>
        <w:spacing w:line="360" w:lineRule="auto"/>
        <w:ind w:firstLine="420" w:firstLineChars="200"/>
        <w:jc w:val="left"/>
        <w:rPr>
          <w:rFonts w:ascii="宋体" w:hAnsi="宋体"/>
          <w:color w:val="auto"/>
          <w:szCs w:val="21"/>
        </w:rPr>
      </w:pPr>
      <w:r>
        <w:rPr>
          <w:rFonts w:hint="eastAsia" w:ascii="宋体" w:hAnsi="宋体"/>
          <w:color w:val="auto"/>
          <w:szCs w:val="21"/>
        </w:rPr>
        <w:t>关于承包人应完成的其他开工准备工作及期限：</w:t>
      </w:r>
      <w:r>
        <w:rPr>
          <w:rFonts w:hint="eastAsia" w:ascii="宋体" w:hAnsi="宋体"/>
          <w:color w:val="auto"/>
          <w:szCs w:val="21"/>
          <w:u w:val="single"/>
        </w:rPr>
        <w:t>不晚于开工前10天</w:t>
      </w:r>
      <w:r>
        <w:rPr>
          <w:rFonts w:hint="eastAsia" w:ascii="宋体" w:hAnsi="宋体"/>
          <w:color w:val="auto"/>
          <w:szCs w:val="21"/>
        </w:rPr>
        <w:t>。</w:t>
      </w:r>
    </w:p>
    <w:bookmarkEnd w:id="1553"/>
    <w:bookmarkEnd w:id="1554"/>
    <w:bookmarkEnd w:id="1555"/>
    <w:bookmarkEnd w:id="1556"/>
    <w:bookmarkEnd w:id="1557"/>
    <w:bookmarkEnd w:id="1558"/>
    <w:bookmarkEnd w:id="1559"/>
    <w:p w14:paraId="60F448AF">
      <w:pPr>
        <w:pStyle w:val="7"/>
        <w:spacing w:before="0" w:beforeAutospacing="0" w:after="0" w:afterAutospacing="0" w:line="360" w:lineRule="auto"/>
        <w:ind w:firstLine="422" w:firstLineChars="200"/>
        <w:rPr>
          <w:color w:val="auto"/>
          <w:sz w:val="21"/>
          <w:szCs w:val="21"/>
        </w:rPr>
      </w:pPr>
      <w:bookmarkStart w:id="1560" w:name="_Toc532377356"/>
      <w:bookmarkStart w:id="1561" w:name="_Toc532375620"/>
      <w:r>
        <w:rPr>
          <w:rFonts w:hint="eastAsia"/>
          <w:color w:val="auto"/>
          <w:sz w:val="21"/>
          <w:szCs w:val="21"/>
        </w:rPr>
        <w:t>7.4 测量放线</w:t>
      </w:r>
      <w:bookmarkEnd w:id="1560"/>
      <w:bookmarkEnd w:id="1561"/>
    </w:p>
    <w:p w14:paraId="6AB364A4">
      <w:pPr>
        <w:spacing w:line="360" w:lineRule="auto"/>
        <w:ind w:firstLine="420" w:firstLineChars="200"/>
        <w:jc w:val="left"/>
        <w:rPr>
          <w:rFonts w:ascii="宋体" w:hAnsi="宋体"/>
          <w:color w:val="auto"/>
          <w:szCs w:val="21"/>
        </w:rPr>
      </w:pPr>
      <w:r>
        <w:rPr>
          <w:rFonts w:hint="eastAsia" w:ascii="宋体" w:hAnsi="宋体"/>
          <w:color w:val="auto"/>
          <w:szCs w:val="21"/>
        </w:rPr>
        <w:t>7.4.1 发包人通过监理人向承包人提供测量基准点、基准线和水准点及其书面资料的期限：</w:t>
      </w:r>
      <w:r>
        <w:rPr>
          <w:rFonts w:hint="eastAsia" w:ascii="宋体" w:hAnsi="宋体"/>
          <w:color w:val="auto"/>
          <w:szCs w:val="21"/>
          <w:u w:val="single"/>
        </w:rPr>
        <w:t>不晚于开工前2天</w:t>
      </w:r>
      <w:r>
        <w:rPr>
          <w:rFonts w:hint="eastAsia" w:ascii="宋体" w:hAnsi="宋体"/>
          <w:color w:val="auto"/>
          <w:szCs w:val="21"/>
        </w:rPr>
        <w:t>。</w:t>
      </w:r>
    </w:p>
    <w:p w14:paraId="0B6C372C">
      <w:pPr>
        <w:spacing w:line="360" w:lineRule="auto"/>
        <w:ind w:firstLine="420" w:firstLineChars="200"/>
        <w:jc w:val="left"/>
        <w:rPr>
          <w:rFonts w:ascii="宋体" w:hAnsi="宋体"/>
          <w:color w:val="auto"/>
          <w:szCs w:val="21"/>
        </w:rPr>
      </w:pPr>
      <w:r>
        <w:rPr>
          <w:rFonts w:hint="eastAsia" w:ascii="宋体" w:hAnsi="宋体"/>
          <w:color w:val="auto"/>
          <w:szCs w:val="21"/>
        </w:rPr>
        <w:t>承包人报监理人审批施工控制网资料的期限：</w:t>
      </w:r>
      <w:r>
        <w:rPr>
          <w:rFonts w:hint="eastAsia" w:ascii="宋体" w:hAnsi="宋体"/>
          <w:color w:val="auto"/>
          <w:szCs w:val="21"/>
          <w:u w:val="single"/>
        </w:rPr>
        <w:t>发出开工通知后5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olor w:val="auto"/>
          <w:szCs w:val="21"/>
        </w:rPr>
        <w:t>。</w:t>
      </w:r>
    </w:p>
    <w:p w14:paraId="5B829915">
      <w:pPr>
        <w:pStyle w:val="7"/>
        <w:spacing w:before="0" w:beforeAutospacing="0" w:after="0" w:afterAutospacing="0" w:line="360" w:lineRule="auto"/>
        <w:ind w:firstLine="422" w:firstLineChars="200"/>
        <w:rPr>
          <w:color w:val="auto"/>
          <w:sz w:val="21"/>
          <w:szCs w:val="21"/>
        </w:rPr>
      </w:pPr>
      <w:bookmarkStart w:id="1562" w:name="_Toc532375621"/>
      <w:bookmarkStart w:id="1563" w:name="_Toc532377357"/>
      <w:r>
        <w:rPr>
          <w:rFonts w:hint="eastAsia"/>
          <w:color w:val="auto"/>
          <w:sz w:val="21"/>
          <w:szCs w:val="21"/>
        </w:rPr>
        <w:t>7</w:t>
      </w:r>
      <w:bookmarkStart w:id="1564" w:name="_Toc297123516"/>
      <w:bookmarkStart w:id="1565" w:name="_Toc312678010"/>
      <w:bookmarkStart w:id="1566" w:name="_Toc304295546"/>
      <w:bookmarkStart w:id="1567" w:name="_Toc312677484"/>
      <w:bookmarkStart w:id="1568" w:name="_Toc303539125"/>
      <w:bookmarkStart w:id="1569" w:name="_Toc297216175"/>
      <w:bookmarkStart w:id="1570" w:name="_Toc300934968"/>
      <w:r>
        <w:rPr>
          <w:rFonts w:hint="eastAsia"/>
          <w:color w:val="auto"/>
          <w:sz w:val="21"/>
          <w:szCs w:val="21"/>
        </w:rPr>
        <w:t>.5 工期延误</w:t>
      </w:r>
      <w:bookmarkEnd w:id="1562"/>
      <w:bookmarkEnd w:id="1563"/>
    </w:p>
    <w:bookmarkEnd w:id="1564"/>
    <w:bookmarkEnd w:id="1565"/>
    <w:bookmarkEnd w:id="1566"/>
    <w:bookmarkEnd w:id="1567"/>
    <w:bookmarkEnd w:id="1568"/>
    <w:bookmarkEnd w:id="1569"/>
    <w:bookmarkEnd w:id="1570"/>
    <w:p w14:paraId="5206EA64">
      <w:pPr>
        <w:spacing w:line="360" w:lineRule="auto"/>
        <w:ind w:firstLine="420" w:firstLineChars="200"/>
        <w:jc w:val="left"/>
        <w:rPr>
          <w:rFonts w:ascii="宋体" w:hAnsi="宋体"/>
          <w:color w:val="auto"/>
          <w:szCs w:val="21"/>
        </w:rPr>
      </w:pPr>
      <w:bookmarkStart w:id="1571" w:name="_Hlk528927940"/>
      <w:r>
        <w:rPr>
          <w:rFonts w:hint="eastAsia" w:ascii="宋体" w:hAnsi="宋体"/>
          <w:color w:val="auto"/>
          <w:szCs w:val="21"/>
        </w:rPr>
        <w:t>7.5.1 因发包人原因导致工期延误：</w:t>
      </w:r>
    </w:p>
    <w:p w14:paraId="6542A93C">
      <w:pPr>
        <w:spacing w:line="360" w:lineRule="auto"/>
        <w:ind w:firstLine="420" w:firstLineChars="200"/>
        <w:jc w:val="left"/>
        <w:rPr>
          <w:rFonts w:ascii="宋体" w:hAnsi="宋体"/>
          <w:color w:val="auto"/>
          <w:szCs w:val="21"/>
        </w:rPr>
      </w:pPr>
      <w:r>
        <w:rPr>
          <w:rFonts w:hint="eastAsia" w:ascii="宋体" w:hAnsi="宋体"/>
          <w:color w:val="auto"/>
          <w:szCs w:val="21"/>
        </w:rPr>
        <w:t>在合同履行过程中，除通用条款约定外，因下列情况导致工期延误和（或）费用增加的，由发包人承担由此延误的工期和（或）增加的费用：</w:t>
      </w:r>
    </w:p>
    <w:p w14:paraId="728C0C85">
      <w:pPr>
        <w:spacing w:line="360" w:lineRule="auto"/>
        <w:ind w:firstLine="420" w:firstLineChars="200"/>
        <w:jc w:val="left"/>
        <w:rPr>
          <w:rFonts w:ascii="宋体" w:hAnsi="宋体"/>
          <w:color w:val="auto"/>
          <w:szCs w:val="21"/>
        </w:rPr>
      </w:pPr>
      <w:r>
        <w:rPr>
          <w:rFonts w:hint="eastAsia" w:ascii="宋体" w:hAnsi="宋体"/>
          <w:color w:val="auto"/>
          <w:szCs w:val="21"/>
        </w:rPr>
        <w:t>（1）发包人未能按合同约定提供施工场地，且该未提供开工条件直接影响项目关键线路的；</w:t>
      </w:r>
    </w:p>
    <w:p w14:paraId="42CE5962">
      <w:pPr>
        <w:spacing w:line="360" w:lineRule="auto"/>
        <w:ind w:firstLine="420" w:firstLineChars="200"/>
        <w:jc w:val="left"/>
        <w:rPr>
          <w:rFonts w:ascii="宋体" w:hAnsi="宋体"/>
          <w:color w:val="auto"/>
          <w:szCs w:val="21"/>
        </w:rPr>
      </w:pPr>
      <w:r>
        <w:rPr>
          <w:rFonts w:hint="eastAsia" w:ascii="宋体" w:hAnsi="宋体"/>
          <w:color w:val="auto"/>
          <w:szCs w:val="21"/>
        </w:rPr>
        <w:t>（2）发包人提供的测量基准点、基准线和水准点及其书面资料存在错误或疏漏，且该错误或疏漏直接影响项目关键线路的；</w:t>
      </w:r>
    </w:p>
    <w:p w14:paraId="2556B065">
      <w:pPr>
        <w:spacing w:line="360" w:lineRule="auto"/>
        <w:ind w:firstLine="420" w:firstLineChars="200"/>
        <w:jc w:val="left"/>
        <w:rPr>
          <w:rFonts w:ascii="宋体" w:hAnsi="宋体"/>
          <w:color w:val="auto"/>
          <w:szCs w:val="21"/>
        </w:rPr>
      </w:pPr>
      <w:r>
        <w:rPr>
          <w:rFonts w:hint="eastAsia" w:ascii="宋体" w:hAnsi="宋体"/>
          <w:color w:val="auto"/>
          <w:szCs w:val="21"/>
        </w:rPr>
        <w:t>（3）监理人未按合同约定发出指示、批准等文件，且该未按合同约定发出指示、批准直接影响项目关键线路的；</w:t>
      </w:r>
    </w:p>
    <w:p w14:paraId="5873735A">
      <w:pPr>
        <w:spacing w:line="360" w:lineRule="auto"/>
        <w:ind w:firstLine="420" w:firstLineChars="200"/>
        <w:jc w:val="left"/>
        <w:rPr>
          <w:rFonts w:ascii="宋体" w:hAnsi="宋体"/>
          <w:color w:val="auto"/>
          <w:szCs w:val="21"/>
        </w:rPr>
      </w:pPr>
      <w:r>
        <w:rPr>
          <w:rFonts w:hint="eastAsia" w:ascii="宋体" w:hAnsi="宋体"/>
          <w:color w:val="auto"/>
          <w:szCs w:val="21"/>
        </w:rPr>
        <w:t>（4）变更未及时审批，直接影响项目关键线路的；</w:t>
      </w:r>
    </w:p>
    <w:p w14:paraId="7347A062">
      <w:pPr>
        <w:spacing w:line="360" w:lineRule="auto"/>
        <w:ind w:firstLine="420" w:firstLineChars="200"/>
        <w:jc w:val="left"/>
        <w:rPr>
          <w:rFonts w:ascii="宋体" w:hAnsi="宋体"/>
          <w:color w:val="auto"/>
          <w:szCs w:val="21"/>
        </w:rPr>
      </w:pPr>
      <w:r>
        <w:rPr>
          <w:rFonts w:hint="eastAsia" w:ascii="宋体" w:hAnsi="宋体"/>
          <w:color w:val="auto"/>
          <w:szCs w:val="21"/>
        </w:rPr>
        <w:t>（5）实施变更直接影响项目关键线路的；</w:t>
      </w:r>
    </w:p>
    <w:p w14:paraId="379CFC94">
      <w:pPr>
        <w:spacing w:line="360" w:lineRule="auto"/>
        <w:ind w:firstLine="420" w:firstLineChars="200"/>
        <w:jc w:val="left"/>
        <w:rPr>
          <w:rFonts w:ascii="宋体" w:hAnsi="宋体"/>
          <w:color w:val="auto"/>
          <w:szCs w:val="21"/>
        </w:rPr>
      </w:pPr>
      <w:r>
        <w:rPr>
          <w:rFonts w:hint="eastAsia" w:ascii="宋体" w:hAnsi="宋体"/>
          <w:color w:val="auto"/>
          <w:szCs w:val="21"/>
        </w:rPr>
        <w:t>（6）因发包人原因导致工程暂停施工、停建、缓建的；</w:t>
      </w:r>
    </w:p>
    <w:p w14:paraId="35CBF41D">
      <w:pPr>
        <w:spacing w:line="360" w:lineRule="auto"/>
        <w:ind w:firstLine="420" w:firstLineChars="200"/>
        <w:jc w:val="left"/>
        <w:rPr>
          <w:rFonts w:ascii="宋体" w:hAnsi="宋体"/>
          <w:color w:val="auto"/>
          <w:szCs w:val="21"/>
        </w:rPr>
      </w:pPr>
      <w:r>
        <w:rPr>
          <w:rFonts w:hint="eastAsia" w:ascii="宋体" w:hAnsi="宋体"/>
          <w:color w:val="auto"/>
          <w:szCs w:val="21"/>
        </w:rPr>
        <w:t>（7）因征地拆迁、当地群众阻工等情形的；</w:t>
      </w:r>
    </w:p>
    <w:p w14:paraId="4F20BAD7">
      <w:pPr>
        <w:spacing w:line="360" w:lineRule="auto"/>
        <w:ind w:firstLine="420" w:firstLineChars="200"/>
        <w:jc w:val="left"/>
        <w:rPr>
          <w:rFonts w:ascii="宋体" w:hAnsi="宋体"/>
          <w:color w:val="auto"/>
          <w:szCs w:val="21"/>
          <w:u w:val="single"/>
        </w:rPr>
      </w:pPr>
      <w:r>
        <w:rPr>
          <w:rFonts w:hint="eastAsia" w:ascii="宋体" w:hAnsi="宋体"/>
          <w:color w:val="auto"/>
          <w:szCs w:val="21"/>
        </w:rPr>
        <w:t>（8）</w:t>
      </w:r>
      <w:r>
        <w:rPr>
          <w:rFonts w:hint="eastAsia" w:ascii="宋体" w:hAnsi="宋体"/>
          <w:color w:val="auto"/>
          <w:szCs w:val="21"/>
          <w:u w:val="single"/>
        </w:rPr>
        <w:t>合同约定的其他情形</w:t>
      </w:r>
      <w:r>
        <w:rPr>
          <w:rFonts w:hint="eastAsia" w:ascii="宋体" w:hAnsi="宋体"/>
          <w:color w:val="auto"/>
          <w:szCs w:val="21"/>
        </w:rPr>
        <w:t>。</w:t>
      </w:r>
    </w:p>
    <w:p w14:paraId="11AC3DFC">
      <w:pPr>
        <w:spacing w:line="360" w:lineRule="auto"/>
        <w:ind w:firstLine="420" w:firstLineChars="200"/>
        <w:jc w:val="left"/>
        <w:rPr>
          <w:rFonts w:ascii="宋体" w:hAnsi="宋体"/>
          <w:color w:val="auto"/>
          <w:szCs w:val="21"/>
        </w:rPr>
      </w:pPr>
      <w:r>
        <w:rPr>
          <w:rFonts w:hint="eastAsia" w:ascii="宋体" w:hAnsi="宋体"/>
          <w:color w:val="auto"/>
          <w:szCs w:val="21"/>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color w:val="auto"/>
          <w:szCs w:val="21"/>
        </w:rPr>
        <w:t>。</w:t>
      </w:r>
    </w:p>
    <w:p w14:paraId="5985A948">
      <w:pPr>
        <w:spacing w:line="360" w:lineRule="auto"/>
        <w:ind w:firstLine="420" w:firstLineChars="200"/>
        <w:jc w:val="left"/>
        <w:rPr>
          <w:rFonts w:ascii="宋体" w:hAnsi="宋体"/>
          <w:color w:val="auto"/>
          <w:szCs w:val="21"/>
        </w:rPr>
      </w:pPr>
      <w:r>
        <w:rPr>
          <w:rFonts w:hint="eastAsia" w:ascii="宋体" w:hAnsi="宋体"/>
          <w:color w:val="auto"/>
          <w:szCs w:val="21"/>
        </w:rPr>
        <w:t>7.5.2 因承包人原因导致工期延误</w:t>
      </w:r>
    </w:p>
    <w:p w14:paraId="251BCDBE">
      <w:pPr>
        <w:spacing w:line="360" w:lineRule="auto"/>
        <w:ind w:firstLine="420" w:firstLineChars="200"/>
        <w:jc w:val="left"/>
        <w:rPr>
          <w:rFonts w:ascii="宋体" w:hAnsi="宋体"/>
          <w:color w:val="auto"/>
          <w:szCs w:val="21"/>
        </w:rPr>
      </w:pPr>
      <w:r>
        <w:rPr>
          <w:rFonts w:hint="eastAsia" w:ascii="宋体" w:hAnsi="宋体"/>
          <w:color w:val="auto"/>
          <w:szCs w:val="21"/>
          <w:u w:val="single"/>
        </w:rPr>
        <w:t>因承包人原因造成工期延误，逾期竣工按16.2.2（6）目执行。</w:t>
      </w:r>
    </w:p>
    <w:bookmarkEnd w:id="1571"/>
    <w:p w14:paraId="1F3DB71B">
      <w:pPr>
        <w:pStyle w:val="7"/>
        <w:spacing w:before="0" w:beforeAutospacing="0" w:after="0" w:afterAutospacing="0" w:line="360" w:lineRule="auto"/>
        <w:ind w:firstLine="422" w:firstLineChars="200"/>
        <w:rPr>
          <w:color w:val="auto"/>
          <w:sz w:val="21"/>
          <w:szCs w:val="21"/>
        </w:rPr>
      </w:pPr>
      <w:bookmarkStart w:id="1572" w:name="_Toc532375622"/>
      <w:bookmarkStart w:id="1573" w:name="_Toc532377358"/>
      <w:bookmarkStart w:id="1574" w:name="_Hlk528927997"/>
      <w:r>
        <w:rPr>
          <w:rFonts w:hint="eastAsia"/>
          <w:color w:val="auto"/>
          <w:sz w:val="21"/>
          <w:szCs w:val="21"/>
        </w:rPr>
        <w:t>7</w:t>
      </w:r>
      <w:bookmarkStart w:id="1575" w:name="_Toc312678015"/>
      <w:bookmarkStart w:id="1576" w:name="_Toc297123519"/>
      <w:bookmarkStart w:id="1577" w:name="_Toc300934971"/>
      <w:bookmarkStart w:id="1578" w:name="_Toc297216178"/>
      <w:bookmarkStart w:id="1579" w:name="_Toc304295549"/>
      <w:bookmarkStart w:id="1580" w:name="_Toc303539128"/>
      <w:r>
        <w:rPr>
          <w:rFonts w:hint="eastAsia"/>
          <w:color w:val="auto"/>
          <w:sz w:val="21"/>
          <w:szCs w:val="21"/>
        </w:rPr>
        <w:t>.6 不</w:t>
      </w:r>
      <w:bookmarkEnd w:id="1575"/>
      <w:bookmarkEnd w:id="1576"/>
      <w:bookmarkEnd w:id="1577"/>
      <w:bookmarkEnd w:id="1578"/>
      <w:bookmarkEnd w:id="1579"/>
      <w:bookmarkEnd w:id="1580"/>
      <w:r>
        <w:rPr>
          <w:rFonts w:hint="eastAsia"/>
          <w:color w:val="auto"/>
          <w:sz w:val="21"/>
          <w:szCs w:val="21"/>
        </w:rPr>
        <w:t>利物质条件</w:t>
      </w:r>
      <w:bookmarkEnd w:id="1572"/>
      <w:bookmarkEnd w:id="1573"/>
    </w:p>
    <w:bookmarkEnd w:id="1574"/>
    <w:p w14:paraId="7806306C">
      <w:pPr>
        <w:spacing w:line="360" w:lineRule="auto"/>
        <w:ind w:firstLine="420" w:firstLineChars="200"/>
        <w:jc w:val="left"/>
        <w:rPr>
          <w:rFonts w:ascii="宋体" w:hAnsi="宋体"/>
          <w:bCs/>
          <w:color w:val="auto"/>
          <w:szCs w:val="21"/>
        </w:rPr>
      </w:pPr>
      <w:bookmarkStart w:id="1581" w:name="_Toc300934972"/>
      <w:bookmarkStart w:id="1582" w:name="_Toc312678016"/>
      <w:bookmarkStart w:id="1583" w:name="_Toc297123520"/>
      <w:bookmarkStart w:id="1584" w:name="_Toc303539129"/>
      <w:bookmarkStart w:id="1585" w:name="_Toc304295550"/>
      <w:bookmarkStart w:id="1586" w:name="_Toc318581172"/>
      <w:bookmarkStart w:id="1587" w:name="_Toc297216179"/>
      <w:r>
        <w:rPr>
          <w:rFonts w:hint="eastAsia" w:ascii="宋体" w:hAnsi="宋体"/>
          <w:color w:val="auto"/>
          <w:szCs w:val="21"/>
        </w:rPr>
        <w:t>不利物质条件的其他情形和有关约定：</w:t>
      </w:r>
      <w:bookmarkStart w:id="1588" w:name="_Hlk528910274"/>
      <w:r>
        <w:rPr>
          <w:rFonts w:hint="eastAsia" w:ascii="宋体" w:hAnsi="宋体"/>
          <w:color w:val="auto"/>
          <w:szCs w:val="21"/>
          <w:u w:val="single"/>
        </w:rPr>
        <w:t xml:space="preserve">    </w:t>
      </w:r>
      <w:r>
        <w:rPr>
          <w:rFonts w:hint="eastAsia" w:ascii="宋体" w:hAnsi="宋体"/>
          <w:color w:val="auto"/>
          <w:szCs w:val="21"/>
        </w:rPr>
        <w:t>。</w:t>
      </w:r>
    </w:p>
    <w:bookmarkEnd w:id="1581"/>
    <w:bookmarkEnd w:id="1582"/>
    <w:bookmarkEnd w:id="1583"/>
    <w:bookmarkEnd w:id="1584"/>
    <w:bookmarkEnd w:id="1585"/>
    <w:bookmarkEnd w:id="1586"/>
    <w:bookmarkEnd w:id="1587"/>
    <w:bookmarkEnd w:id="1588"/>
    <w:p w14:paraId="44B5ABA1">
      <w:pPr>
        <w:pStyle w:val="7"/>
        <w:spacing w:before="0" w:beforeAutospacing="0" w:after="0" w:afterAutospacing="0" w:line="360" w:lineRule="auto"/>
        <w:ind w:firstLine="422" w:firstLineChars="200"/>
        <w:rPr>
          <w:color w:val="auto"/>
          <w:sz w:val="21"/>
          <w:szCs w:val="21"/>
        </w:rPr>
      </w:pPr>
      <w:bookmarkStart w:id="1589" w:name="_Toc532375623"/>
      <w:bookmarkStart w:id="1590" w:name="_Toc532377359"/>
      <w:r>
        <w:rPr>
          <w:rFonts w:hint="eastAsia"/>
          <w:color w:val="auto"/>
          <w:sz w:val="21"/>
          <w:szCs w:val="21"/>
        </w:rPr>
        <w:t>7</w:t>
      </w:r>
      <w:bookmarkStart w:id="1591" w:name="_Toc297123521"/>
      <w:bookmarkStart w:id="1592" w:name="_Toc304295551"/>
      <w:bookmarkStart w:id="1593" w:name="_Toc303539130"/>
      <w:bookmarkStart w:id="1594" w:name="_Toc297216180"/>
      <w:bookmarkStart w:id="1595" w:name="_Toc300934973"/>
      <w:bookmarkStart w:id="1596" w:name="_Toc312678017"/>
      <w:r>
        <w:rPr>
          <w:rFonts w:hint="eastAsia"/>
          <w:color w:val="auto"/>
          <w:sz w:val="21"/>
          <w:szCs w:val="21"/>
        </w:rPr>
        <w:t>.7异常恶劣的气候条件</w:t>
      </w:r>
      <w:bookmarkEnd w:id="1589"/>
      <w:bookmarkEnd w:id="1590"/>
    </w:p>
    <w:bookmarkEnd w:id="1591"/>
    <w:bookmarkEnd w:id="1592"/>
    <w:bookmarkEnd w:id="1593"/>
    <w:bookmarkEnd w:id="1594"/>
    <w:bookmarkEnd w:id="1595"/>
    <w:bookmarkEnd w:id="1596"/>
    <w:p w14:paraId="00356A65">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发包人和承包人同意以下情形视为异常恶劣的气候条件：</w:t>
      </w:r>
      <w:r>
        <w:rPr>
          <w:rFonts w:hint="eastAsia" w:ascii="宋体" w:hAnsi="宋体"/>
          <w:color w:val="auto"/>
          <w:szCs w:val="21"/>
          <w:u w:val="single"/>
        </w:rPr>
        <w:t xml:space="preserve">    （异常气候是指项目所在地50年以上一遇的罕见气候现象）</w:t>
      </w:r>
      <w:r>
        <w:rPr>
          <w:rFonts w:hint="eastAsia" w:ascii="宋体" w:hAnsi="宋体"/>
          <w:color w:val="auto"/>
          <w:szCs w:val="21"/>
        </w:rPr>
        <w:t>。</w:t>
      </w:r>
    </w:p>
    <w:p w14:paraId="13A79E05">
      <w:pPr>
        <w:pStyle w:val="7"/>
        <w:spacing w:before="0" w:beforeAutospacing="0" w:after="0" w:afterAutospacing="0" w:line="360" w:lineRule="auto"/>
        <w:ind w:firstLine="422" w:firstLineChars="200"/>
        <w:rPr>
          <w:color w:val="auto"/>
          <w:sz w:val="21"/>
          <w:szCs w:val="21"/>
        </w:rPr>
      </w:pPr>
      <w:bookmarkStart w:id="1597" w:name="_Toc532375624"/>
      <w:bookmarkStart w:id="1598" w:name="_Toc532377360"/>
      <w:r>
        <w:rPr>
          <w:rFonts w:hint="eastAsia"/>
          <w:color w:val="auto"/>
          <w:sz w:val="21"/>
          <w:szCs w:val="21"/>
        </w:rPr>
        <w:t>7.9 提前竣工</w:t>
      </w:r>
      <w:bookmarkEnd w:id="1597"/>
      <w:bookmarkEnd w:id="1598"/>
    </w:p>
    <w:p w14:paraId="7A7A03B6">
      <w:pPr>
        <w:spacing w:line="360" w:lineRule="auto"/>
        <w:ind w:firstLine="420" w:firstLineChars="200"/>
        <w:jc w:val="left"/>
        <w:rPr>
          <w:rFonts w:ascii="宋体" w:hAnsi="宋体"/>
          <w:color w:val="auto"/>
          <w:szCs w:val="21"/>
        </w:rPr>
      </w:pPr>
      <w:r>
        <w:rPr>
          <w:rFonts w:hint="eastAsia" w:ascii="宋体" w:hAnsi="宋体"/>
          <w:color w:val="auto"/>
          <w:szCs w:val="21"/>
        </w:rPr>
        <w:t>7.9.1项细化为：</w:t>
      </w:r>
    </w:p>
    <w:p w14:paraId="4BB1792A">
      <w:pPr>
        <w:spacing w:line="360" w:lineRule="auto"/>
        <w:ind w:firstLine="420" w:firstLineChars="200"/>
        <w:jc w:val="left"/>
        <w:rPr>
          <w:rFonts w:ascii="宋体" w:hAnsi="宋体"/>
          <w:color w:val="auto"/>
          <w:szCs w:val="21"/>
        </w:rPr>
      </w:pPr>
      <w:r>
        <w:rPr>
          <w:rFonts w:hint="eastAsia" w:ascii="宋体" w:hAnsi="宋体"/>
          <w:color w:val="auto"/>
          <w:szCs w:val="21"/>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15996B48">
      <w:pPr>
        <w:spacing w:line="360" w:lineRule="auto"/>
        <w:ind w:firstLine="420" w:firstLineChars="200"/>
        <w:jc w:val="left"/>
        <w:rPr>
          <w:rFonts w:ascii="宋体" w:hAnsi="宋体"/>
          <w:color w:val="auto"/>
          <w:szCs w:val="21"/>
        </w:rPr>
      </w:pPr>
      <w:r>
        <w:rPr>
          <w:rFonts w:hint="eastAsia" w:ascii="宋体" w:hAnsi="宋体"/>
          <w:color w:val="auto"/>
          <w:szCs w:val="21"/>
        </w:rPr>
        <w:t>（2）发包人不得随意要求承包人提前竣工，承包人也不得随意提出提前竣工的建议。如遇特殊情况，确需将工期提前的，发包人和承包人必须采取有效措施，确保工程质量。</w:t>
      </w:r>
    </w:p>
    <w:p w14:paraId="19ABFA5C">
      <w:pPr>
        <w:spacing w:line="360" w:lineRule="auto"/>
        <w:ind w:firstLine="420" w:firstLineChars="200"/>
        <w:jc w:val="left"/>
        <w:rPr>
          <w:rFonts w:ascii="宋体" w:hAnsi="宋体"/>
          <w:color w:val="auto"/>
          <w:szCs w:val="21"/>
        </w:rPr>
      </w:pPr>
      <w:r>
        <w:rPr>
          <w:rFonts w:hint="eastAsia" w:ascii="宋体" w:hAnsi="宋体"/>
          <w:color w:val="auto"/>
          <w:szCs w:val="21"/>
        </w:rPr>
        <w:t>7.9.2 提前竣工的奖励：</w:t>
      </w:r>
      <w:r>
        <w:rPr>
          <w:rFonts w:hint="eastAsia" w:ascii="宋体" w:hAnsi="宋体"/>
          <w:color w:val="auto"/>
          <w:szCs w:val="21"/>
          <w:u w:val="single"/>
        </w:rPr>
        <w:t>无。</w:t>
      </w:r>
    </w:p>
    <w:p w14:paraId="665D7883">
      <w:pPr>
        <w:pStyle w:val="6"/>
        <w:keepNext/>
        <w:keepLines/>
        <w:spacing w:beforeLines="50" w:beforeAutospacing="0" w:afterLines="50" w:afterAutospacing="0" w:line="360" w:lineRule="auto"/>
        <w:jc w:val="both"/>
        <w:rPr>
          <w:bCs w:val="0"/>
          <w:color w:val="auto"/>
          <w:kern w:val="2"/>
          <w:sz w:val="21"/>
          <w:szCs w:val="21"/>
        </w:rPr>
      </w:pPr>
      <w:bookmarkStart w:id="1599" w:name="_Toc532377361"/>
      <w:bookmarkStart w:id="1600" w:name="_Toc532375625"/>
      <w:bookmarkStart w:id="1601" w:name="_Toc351203640"/>
      <w:r>
        <w:rPr>
          <w:rFonts w:hint="eastAsia"/>
          <w:color w:val="auto"/>
          <w:kern w:val="2"/>
          <w:sz w:val="21"/>
          <w:szCs w:val="21"/>
        </w:rPr>
        <w:t>8. 材料与设备</w:t>
      </w:r>
      <w:bookmarkEnd w:id="1599"/>
      <w:bookmarkEnd w:id="1600"/>
      <w:bookmarkEnd w:id="1601"/>
    </w:p>
    <w:p w14:paraId="4E0F1AF9">
      <w:pPr>
        <w:pStyle w:val="7"/>
        <w:spacing w:before="0" w:beforeAutospacing="0" w:after="0" w:afterAutospacing="0" w:line="360" w:lineRule="auto"/>
        <w:ind w:firstLine="422" w:firstLineChars="200"/>
        <w:rPr>
          <w:color w:val="auto"/>
          <w:sz w:val="21"/>
          <w:szCs w:val="21"/>
        </w:rPr>
      </w:pPr>
      <w:bookmarkStart w:id="1602" w:name="_Toc532375626"/>
      <w:bookmarkStart w:id="1603" w:name="_Toc532377362"/>
      <w:r>
        <w:rPr>
          <w:rFonts w:hint="eastAsia"/>
          <w:color w:val="auto"/>
          <w:sz w:val="21"/>
          <w:szCs w:val="21"/>
        </w:rPr>
        <w:t>8.1发包人供应材料与工程设备</w:t>
      </w:r>
      <w:bookmarkEnd w:id="1602"/>
      <w:bookmarkEnd w:id="1603"/>
    </w:p>
    <w:p w14:paraId="33CC69C1">
      <w:pPr>
        <w:spacing w:line="360" w:lineRule="auto"/>
        <w:ind w:firstLine="420" w:firstLineChars="200"/>
        <w:jc w:val="left"/>
        <w:rPr>
          <w:rFonts w:ascii="宋体" w:hAnsi="宋体"/>
          <w:color w:val="auto"/>
          <w:szCs w:val="21"/>
        </w:rPr>
      </w:pPr>
      <w:r>
        <w:rPr>
          <w:rFonts w:hint="eastAsia" w:ascii="宋体" w:hAnsi="宋体"/>
          <w:color w:val="auto"/>
          <w:szCs w:val="21"/>
        </w:rPr>
        <w:t>材料的名称、规格、数量和价格：</w:t>
      </w:r>
      <w:r>
        <w:rPr>
          <w:rFonts w:hint="eastAsia" w:ascii="宋体" w:hAnsi="宋体"/>
          <w:color w:val="auto"/>
          <w:szCs w:val="21"/>
          <w:u w:val="single"/>
        </w:rPr>
        <w:t>发包人应提供甲供材料的明细表，结算时按经监理人、承包人共同确认的供应数量乘以采购时甲供材料暂定价格，在支付工程款时扣除</w:t>
      </w:r>
      <w:r>
        <w:rPr>
          <w:rFonts w:hint="eastAsia" w:ascii="宋体" w:hAnsi="宋体"/>
          <w:color w:val="auto"/>
          <w:szCs w:val="21"/>
        </w:rPr>
        <w:t>。</w:t>
      </w:r>
    </w:p>
    <w:p w14:paraId="14A8CBCF">
      <w:pPr>
        <w:spacing w:line="360" w:lineRule="auto"/>
        <w:ind w:firstLine="420" w:firstLineChars="200"/>
        <w:jc w:val="left"/>
        <w:rPr>
          <w:rFonts w:ascii="宋体" w:hAnsi="宋体"/>
          <w:color w:val="auto"/>
          <w:szCs w:val="21"/>
        </w:rPr>
      </w:pPr>
      <w:r>
        <w:rPr>
          <w:rFonts w:hint="eastAsia" w:ascii="宋体" w:hAnsi="宋体"/>
          <w:color w:val="auto"/>
          <w:szCs w:val="21"/>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color w:val="auto"/>
          <w:szCs w:val="21"/>
        </w:rPr>
        <w:t>。</w:t>
      </w:r>
    </w:p>
    <w:p w14:paraId="1CC96211">
      <w:pPr>
        <w:pStyle w:val="7"/>
        <w:spacing w:before="0" w:beforeAutospacing="0" w:after="0" w:afterAutospacing="0" w:line="360" w:lineRule="auto"/>
        <w:ind w:firstLine="422" w:firstLineChars="200"/>
        <w:rPr>
          <w:color w:val="auto"/>
          <w:sz w:val="21"/>
          <w:szCs w:val="21"/>
        </w:rPr>
      </w:pPr>
      <w:bookmarkStart w:id="1604" w:name="_Toc532375627"/>
      <w:bookmarkStart w:id="1605" w:name="_Toc351203554"/>
      <w:bookmarkStart w:id="1606" w:name="_Toc532377363"/>
      <w:r>
        <w:rPr>
          <w:rFonts w:hint="eastAsia"/>
          <w:color w:val="auto"/>
          <w:sz w:val="21"/>
          <w:szCs w:val="21"/>
        </w:rPr>
        <w:t>8</w:t>
      </w:r>
      <w:bookmarkStart w:id="1607" w:name="_Toc296346561"/>
      <w:bookmarkStart w:id="1608" w:name="_Toc296503060"/>
      <w:bookmarkStart w:id="1609" w:name="_Toc337558778"/>
      <w:r>
        <w:rPr>
          <w:rFonts w:hint="eastAsia"/>
          <w:color w:val="auto"/>
          <w:sz w:val="21"/>
          <w:szCs w:val="21"/>
        </w:rPr>
        <w:t>.2 承包人采购材料与工程设备</w:t>
      </w:r>
      <w:bookmarkEnd w:id="1604"/>
      <w:bookmarkEnd w:id="1605"/>
      <w:bookmarkEnd w:id="1606"/>
    </w:p>
    <w:bookmarkEnd w:id="1607"/>
    <w:bookmarkEnd w:id="1608"/>
    <w:bookmarkEnd w:id="1609"/>
    <w:p w14:paraId="12A41EDB">
      <w:pPr>
        <w:spacing w:line="360" w:lineRule="auto"/>
        <w:ind w:firstLine="420" w:firstLineChars="200"/>
        <w:jc w:val="left"/>
        <w:rPr>
          <w:rFonts w:ascii="宋体" w:hAnsi="宋体"/>
          <w:color w:val="auto"/>
          <w:szCs w:val="21"/>
        </w:rPr>
      </w:pPr>
      <w:r>
        <w:rPr>
          <w:rFonts w:hint="eastAsia" w:ascii="宋体" w:hAnsi="宋体"/>
          <w:color w:val="auto"/>
          <w:szCs w:val="21"/>
        </w:rPr>
        <w:t>8.2.1承包人负责采购、运输和保管的材料、工程设备：</w:t>
      </w:r>
      <w:r>
        <w:rPr>
          <w:rFonts w:hint="eastAsia" w:ascii="宋体" w:hAnsi="宋体"/>
          <w:color w:val="auto"/>
          <w:szCs w:val="21"/>
          <w:u w:val="single"/>
        </w:rPr>
        <w:t>由承包人自行采购。承包人采购材料设备必须经监理人和发包人批准，结算时由监理人和发包人按采购文件规定审核的数量和合同约定</w:t>
      </w:r>
      <w:r>
        <w:rPr>
          <w:rFonts w:ascii="宋体" w:hAnsi="宋体"/>
          <w:color w:val="auto"/>
          <w:szCs w:val="21"/>
          <w:u w:val="single"/>
        </w:rPr>
        <w:t>价格</w:t>
      </w:r>
      <w:r>
        <w:rPr>
          <w:rFonts w:hint="eastAsia" w:ascii="宋体" w:hAnsi="宋体"/>
          <w:color w:val="auto"/>
          <w:szCs w:val="21"/>
          <w:u w:val="single"/>
        </w:rPr>
        <w:t>计算</w:t>
      </w:r>
      <w:r>
        <w:rPr>
          <w:rFonts w:hint="eastAsia" w:ascii="宋体" w:hAnsi="宋体"/>
          <w:color w:val="auto"/>
          <w:szCs w:val="21"/>
        </w:rPr>
        <w:t>。</w:t>
      </w:r>
    </w:p>
    <w:p w14:paraId="0F3BAEC1">
      <w:pPr>
        <w:spacing w:line="360" w:lineRule="auto"/>
        <w:ind w:firstLine="420" w:firstLineChars="200"/>
        <w:jc w:val="left"/>
        <w:rPr>
          <w:rFonts w:ascii="宋体" w:hAnsi="宋体"/>
          <w:color w:val="auto"/>
          <w:szCs w:val="21"/>
        </w:rPr>
      </w:pPr>
      <w:r>
        <w:rPr>
          <w:rFonts w:hint="eastAsia" w:ascii="宋体" w:hAnsi="宋体"/>
          <w:color w:val="auto"/>
          <w:szCs w:val="21"/>
        </w:rPr>
        <w:t>8.2.2承包人报送监理人审批的时间：</w:t>
      </w:r>
      <w:r>
        <w:rPr>
          <w:rFonts w:hint="eastAsia" w:ascii="宋体" w:hAnsi="宋体"/>
          <w:color w:val="auto"/>
          <w:szCs w:val="21"/>
          <w:u w:val="single"/>
        </w:rPr>
        <w:t>按发包人及监理单位的相关规定执行</w:t>
      </w:r>
      <w:r>
        <w:rPr>
          <w:rFonts w:hint="eastAsia" w:ascii="宋体" w:hAnsi="宋体"/>
          <w:color w:val="auto"/>
          <w:szCs w:val="21"/>
        </w:rPr>
        <w:t>。</w:t>
      </w:r>
    </w:p>
    <w:p w14:paraId="323208C6">
      <w:pPr>
        <w:spacing w:line="360" w:lineRule="auto"/>
        <w:ind w:firstLine="420" w:firstLineChars="200"/>
        <w:jc w:val="left"/>
        <w:rPr>
          <w:rFonts w:ascii="宋体" w:hAnsi="宋体"/>
          <w:color w:val="auto"/>
          <w:szCs w:val="21"/>
        </w:rPr>
      </w:pPr>
      <w:r>
        <w:rPr>
          <w:rFonts w:hint="eastAsia" w:ascii="宋体" w:hAnsi="宋体"/>
          <w:color w:val="auto"/>
          <w:szCs w:val="21"/>
        </w:rPr>
        <w:t>8.2.3承包人选择的生产厂家或供应商满足下列条件：</w:t>
      </w:r>
    </w:p>
    <w:p w14:paraId="6F755C0B">
      <w:pPr>
        <w:spacing w:line="360" w:lineRule="auto"/>
        <w:ind w:firstLine="420" w:firstLineChars="200"/>
        <w:jc w:val="left"/>
        <w:rPr>
          <w:rFonts w:ascii="宋体" w:hAnsi="宋体"/>
          <w:color w:val="auto"/>
          <w:szCs w:val="21"/>
        </w:rPr>
      </w:pPr>
      <w:r>
        <w:rPr>
          <w:rFonts w:hint="eastAsia" w:ascii="宋体" w:hAnsi="宋体"/>
          <w:color w:val="auto"/>
          <w:szCs w:val="21"/>
        </w:rPr>
        <w:t>A.承包人选择的混凝土供应商应满足下列条件：</w:t>
      </w:r>
      <w:r>
        <w:rPr>
          <w:rFonts w:hint="eastAsia" w:ascii="宋体" w:hAnsi="宋体"/>
          <w:color w:val="auto"/>
          <w:szCs w:val="21"/>
          <w:u w:val="single"/>
        </w:rPr>
        <w:t xml:space="preserve">        </w:t>
      </w:r>
      <w:r>
        <w:rPr>
          <w:rFonts w:hint="eastAsia" w:ascii="宋体" w:hAnsi="宋体"/>
          <w:color w:val="auto"/>
          <w:szCs w:val="21"/>
        </w:rPr>
        <w:t>；</w:t>
      </w:r>
    </w:p>
    <w:p w14:paraId="7263EB83">
      <w:pPr>
        <w:spacing w:line="360" w:lineRule="auto"/>
        <w:ind w:firstLine="420" w:firstLineChars="200"/>
        <w:jc w:val="left"/>
        <w:rPr>
          <w:rFonts w:ascii="宋体" w:hAnsi="宋体"/>
          <w:color w:val="auto"/>
          <w:szCs w:val="21"/>
        </w:rPr>
      </w:pPr>
      <w:r>
        <w:rPr>
          <w:rFonts w:hint="eastAsia" w:ascii="宋体" w:hAnsi="宋体"/>
          <w:color w:val="auto"/>
          <w:szCs w:val="21"/>
        </w:rPr>
        <w:t>B.承包人选择的钢材供应商应满足下列条件：</w:t>
      </w:r>
      <w:r>
        <w:rPr>
          <w:rFonts w:hint="eastAsia" w:ascii="宋体" w:hAnsi="宋体"/>
          <w:color w:val="auto"/>
          <w:szCs w:val="21"/>
          <w:u w:val="single"/>
        </w:rPr>
        <w:t xml:space="preserve">        </w:t>
      </w:r>
      <w:r>
        <w:rPr>
          <w:rFonts w:hint="eastAsia" w:ascii="宋体" w:hAnsi="宋体"/>
          <w:color w:val="auto"/>
          <w:szCs w:val="21"/>
        </w:rPr>
        <w:t>；</w:t>
      </w:r>
    </w:p>
    <w:p w14:paraId="0E473275">
      <w:pPr>
        <w:spacing w:line="360" w:lineRule="auto"/>
        <w:ind w:firstLine="420" w:firstLineChars="200"/>
        <w:jc w:val="left"/>
        <w:rPr>
          <w:rFonts w:ascii="宋体" w:hAnsi="宋体"/>
          <w:color w:val="auto"/>
          <w:szCs w:val="21"/>
        </w:rPr>
      </w:pPr>
      <w:r>
        <w:rPr>
          <w:rFonts w:hint="eastAsia" w:ascii="宋体" w:hAnsi="宋体"/>
          <w:color w:val="auto"/>
          <w:szCs w:val="21"/>
        </w:rPr>
        <w:t>C.承包人选择的水泥供应商应满足下列条件：</w:t>
      </w:r>
      <w:r>
        <w:rPr>
          <w:rFonts w:hint="eastAsia" w:ascii="宋体" w:hAnsi="宋体"/>
          <w:color w:val="auto"/>
          <w:szCs w:val="21"/>
          <w:u w:val="single"/>
        </w:rPr>
        <w:t xml:space="preserve">        </w:t>
      </w:r>
      <w:r>
        <w:rPr>
          <w:rFonts w:hint="eastAsia" w:ascii="宋体" w:hAnsi="宋体"/>
          <w:color w:val="auto"/>
          <w:szCs w:val="21"/>
        </w:rPr>
        <w:t>；</w:t>
      </w:r>
    </w:p>
    <w:p w14:paraId="3694706E">
      <w:pPr>
        <w:spacing w:line="360" w:lineRule="auto"/>
        <w:ind w:firstLine="420" w:firstLineChars="200"/>
        <w:jc w:val="left"/>
        <w:rPr>
          <w:rFonts w:ascii="宋体" w:hAnsi="宋体"/>
          <w:color w:val="auto"/>
          <w:szCs w:val="21"/>
        </w:rPr>
      </w:pPr>
      <w:r>
        <w:rPr>
          <w:rFonts w:hint="eastAsia" w:ascii="宋体" w:hAnsi="宋体"/>
          <w:color w:val="auto"/>
          <w:szCs w:val="21"/>
        </w:rPr>
        <w:t>D.承包人采购的材料与设计或标准要求不符时，承包人应按发包人和监理人要求的时间运出施工场地，并重新采购符合要求的产品，并承担由此发生的费用，因此延误的工期不予顺延。</w:t>
      </w:r>
    </w:p>
    <w:p w14:paraId="5AFBDBC6">
      <w:pPr>
        <w:spacing w:line="360" w:lineRule="auto"/>
        <w:ind w:firstLine="420" w:firstLineChars="200"/>
        <w:jc w:val="left"/>
        <w:rPr>
          <w:rFonts w:ascii="宋体" w:hAnsi="宋体"/>
          <w:color w:val="auto"/>
          <w:szCs w:val="21"/>
        </w:rPr>
      </w:pPr>
      <w:r>
        <w:rPr>
          <w:rFonts w:hint="eastAsia" w:ascii="宋体" w:hAnsi="宋体"/>
          <w:color w:val="auto"/>
          <w:szCs w:val="21"/>
        </w:rPr>
        <w:t>E.承包人采购的材料在使用前，应按发包人和监理人的要求进行检验或试验，不合格的不得使用。</w:t>
      </w:r>
    </w:p>
    <w:p w14:paraId="6832C412">
      <w:pPr>
        <w:spacing w:line="360" w:lineRule="auto"/>
        <w:ind w:firstLine="420" w:firstLineChars="200"/>
        <w:jc w:val="left"/>
        <w:rPr>
          <w:rFonts w:ascii="宋体" w:hAnsi="宋体"/>
          <w:color w:val="auto"/>
          <w:szCs w:val="21"/>
        </w:rPr>
      </w:pPr>
      <w:r>
        <w:rPr>
          <w:rFonts w:hint="eastAsia" w:ascii="宋体" w:hAnsi="宋体"/>
          <w:color w:val="auto"/>
          <w:szCs w:val="21"/>
        </w:rPr>
        <w:t>F.</w:t>
      </w:r>
      <w:r>
        <w:rPr>
          <w:rFonts w:hint="eastAsia" w:ascii="宋体" w:hAnsi="宋体"/>
          <w:color w:val="auto"/>
          <w:szCs w:val="21"/>
          <w:u w:val="single"/>
        </w:rPr>
        <w:t xml:space="preserve">        </w:t>
      </w:r>
      <w:r>
        <w:rPr>
          <w:rFonts w:hint="eastAsia" w:ascii="宋体" w:hAnsi="宋体"/>
          <w:color w:val="auto"/>
          <w:szCs w:val="21"/>
        </w:rPr>
        <w:t>。</w:t>
      </w:r>
    </w:p>
    <w:p w14:paraId="77C1E243">
      <w:pPr>
        <w:pStyle w:val="7"/>
        <w:spacing w:before="0" w:beforeAutospacing="0" w:after="0" w:afterAutospacing="0" w:line="360" w:lineRule="auto"/>
        <w:ind w:firstLine="422" w:firstLineChars="200"/>
        <w:rPr>
          <w:color w:val="auto"/>
          <w:sz w:val="21"/>
          <w:szCs w:val="21"/>
        </w:rPr>
      </w:pPr>
      <w:bookmarkStart w:id="1610" w:name="_Toc532377364"/>
      <w:bookmarkStart w:id="1611" w:name="_Toc532375628"/>
      <w:r>
        <w:rPr>
          <w:rFonts w:hint="eastAsia"/>
          <w:color w:val="auto"/>
          <w:sz w:val="21"/>
          <w:szCs w:val="21"/>
        </w:rPr>
        <w:t>8</w:t>
      </w:r>
      <w:bookmarkStart w:id="1612" w:name="_Toc296944506"/>
      <w:bookmarkStart w:id="1613" w:name="_Toc292559372"/>
      <w:bookmarkStart w:id="1614" w:name="_Toc312678019"/>
      <w:bookmarkStart w:id="1615" w:name="_Toc297123527"/>
      <w:bookmarkStart w:id="1616" w:name="_Toc312677493"/>
      <w:bookmarkStart w:id="1617" w:name="_Toc296891207"/>
      <w:bookmarkStart w:id="1618" w:name="_Toc297120467"/>
      <w:bookmarkStart w:id="1619" w:name="_Toc303539136"/>
      <w:bookmarkStart w:id="1620" w:name="_Toc280868654"/>
      <w:bookmarkStart w:id="1621" w:name="_Toc297048353"/>
      <w:bookmarkStart w:id="1622" w:name="_Toc297216186"/>
      <w:bookmarkStart w:id="1623" w:name="_Toc304295556"/>
      <w:bookmarkStart w:id="1624" w:name="_Toc292559877"/>
      <w:bookmarkStart w:id="1625" w:name="_Toc296503167"/>
      <w:bookmarkStart w:id="1626" w:name="_Toc296347166"/>
      <w:bookmarkStart w:id="1627" w:name="_Toc300934979"/>
      <w:bookmarkStart w:id="1628" w:name="_Toc296346668"/>
      <w:bookmarkStart w:id="1629" w:name="_Toc296890995"/>
      <w:bookmarkStart w:id="1630" w:name="_Toc280868656"/>
      <w:bookmarkStart w:id="1631" w:name="_Toc267251424"/>
      <w:bookmarkStart w:id="1632" w:name="_Toc280868655"/>
      <w:r>
        <w:rPr>
          <w:rFonts w:hint="eastAsia"/>
          <w:color w:val="auto"/>
          <w:sz w:val="21"/>
          <w:szCs w:val="21"/>
        </w:rPr>
        <w:t>.4 材料与工程设备的保管与使用</w:t>
      </w:r>
      <w:bookmarkEnd w:id="1610"/>
      <w:bookmarkEnd w:id="1611"/>
    </w:p>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14:paraId="617047F2">
      <w:pPr>
        <w:spacing w:line="360" w:lineRule="auto"/>
        <w:ind w:firstLine="420" w:firstLineChars="200"/>
        <w:jc w:val="left"/>
        <w:rPr>
          <w:rFonts w:ascii="宋体" w:hAnsi="宋体"/>
          <w:color w:val="auto"/>
          <w:szCs w:val="21"/>
        </w:rPr>
      </w:pPr>
      <w:r>
        <w:rPr>
          <w:rFonts w:hint="eastAsia" w:ascii="宋体" w:hAnsi="宋体"/>
          <w:color w:val="auto"/>
          <w:szCs w:val="21"/>
        </w:rPr>
        <w:t>8</w:t>
      </w:r>
      <w:bookmarkStart w:id="1633" w:name="_Toc292559878"/>
      <w:bookmarkStart w:id="1634" w:name="_Toc292559373"/>
      <w:bookmarkStart w:id="1635" w:name="_Toc297048354"/>
      <w:bookmarkStart w:id="1636" w:name="_Toc296891208"/>
      <w:bookmarkStart w:id="1637" w:name="_Toc304295557"/>
      <w:bookmarkStart w:id="1638" w:name="_Toc303539137"/>
      <w:bookmarkStart w:id="1639" w:name="_Toc297216187"/>
      <w:bookmarkStart w:id="1640" w:name="_Toc296346669"/>
      <w:bookmarkStart w:id="1641" w:name="_Toc312677494"/>
      <w:bookmarkStart w:id="1642" w:name="_Toc300934980"/>
      <w:bookmarkStart w:id="1643" w:name="_Toc296944507"/>
      <w:bookmarkStart w:id="1644" w:name="_Toc296347167"/>
      <w:bookmarkStart w:id="1645" w:name="_Toc297123528"/>
      <w:bookmarkStart w:id="1646" w:name="_Toc312678020"/>
      <w:bookmarkStart w:id="1647" w:name="_Toc296890996"/>
      <w:bookmarkStart w:id="1648" w:name="_Toc318581173"/>
      <w:bookmarkStart w:id="1649" w:name="_Toc296503168"/>
      <w:bookmarkStart w:id="1650" w:name="_Toc297120468"/>
      <w:r>
        <w:rPr>
          <w:rFonts w:hint="eastAsia" w:ascii="宋体" w:hAnsi="宋体"/>
          <w:color w:val="auto"/>
          <w:szCs w:val="21"/>
        </w:rPr>
        <w:t>.4.1 发包人供应的材料设备的保管费用的承担：</w:t>
      </w:r>
      <w:r>
        <w:rPr>
          <w:rFonts w:hint="eastAsia" w:ascii="宋体" w:hAnsi="宋体"/>
          <w:color w:val="auto"/>
          <w:szCs w:val="21"/>
          <w:u w:val="single"/>
        </w:rPr>
        <w:t xml:space="preserve">           </w:t>
      </w:r>
      <w:r>
        <w:rPr>
          <w:rFonts w:hint="eastAsia" w:ascii="宋体" w:hAnsi="宋体"/>
          <w:color w:val="auto"/>
          <w:szCs w:val="21"/>
        </w:rPr>
        <w:t>。</w:t>
      </w:r>
      <w:bookmarkEnd w:id="1633"/>
      <w:bookmarkEnd w:id="1634"/>
    </w:p>
    <w:p w14:paraId="6D4E33BA">
      <w:pPr>
        <w:pStyle w:val="7"/>
        <w:spacing w:before="0" w:beforeAutospacing="0" w:after="0" w:afterAutospacing="0" w:line="360" w:lineRule="auto"/>
        <w:ind w:firstLine="422" w:firstLineChars="200"/>
        <w:rPr>
          <w:color w:val="auto"/>
          <w:sz w:val="21"/>
          <w:szCs w:val="21"/>
        </w:rPr>
      </w:pPr>
      <w:bookmarkStart w:id="1651" w:name="_Toc532375629"/>
      <w:bookmarkStart w:id="1652" w:name="_Toc532377365"/>
      <w:r>
        <w:rPr>
          <w:rFonts w:hint="eastAsia"/>
          <w:color w:val="auto"/>
          <w:sz w:val="21"/>
          <w:szCs w:val="21"/>
        </w:rPr>
        <w:t>8.6 样品</w:t>
      </w:r>
      <w:bookmarkEnd w:id="1651"/>
      <w:bookmarkEnd w:id="1652"/>
    </w:p>
    <w:p w14:paraId="45944F22">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8.6.1 样品的报送与封存</w:t>
      </w:r>
    </w:p>
    <w:p w14:paraId="33ADE4B6">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需要承包人报送样品的材料或工程设备，样品的种类、名称、规格、数量要求：</w:t>
      </w:r>
      <w:r>
        <w:rPr>
          <w:rFonts w:hint="eastAsia" w:ascii="宋体" w:hAnsi="宋体"/>
          <w:color w:val="auto"/>
          <w:szCs w:val="21"/>
          <w:u w:val="single"/>
        </w:rPr>
        <w:t xml:space="preserve">        </w:t>
      </w:r>
      <w:r>
        <w:rPr>
          <w:rFonts w:hint="eastAsia" w:ascii="宋体" w:hAnsi="宋体"/>
          <w:color w:val="auto"/>
          <w:szCs w:val="21"/>
        </w:rPr>
        <w:t>。</w:t>
      </w:r>
    </w:p>
    <w:p w14:paraId="5A334D10">
      <w:pPr>
        <w:pStyle w:val="7"/>
        <w:spacing w:before="0" w:beforeAutospacing="0" w:after="0" w:afterAutospacing="0" w:line="360" w:lineRule="auto"/>
        <w:ind w:firstLine="422" w:firstLineChars="200"/>
        <w:rPr>
          <w:color w:val="auto"/>
          <w:sz w:val="21"/>
          <w:szCs w:val="21"/>
        </w:rPr>
      </w:pPr>
      <w:bookmarkStart w:id="1653" w:name="_Toc532377366"/>
      <w:bookmarkStart w:id="1654" w:name="_Toc532375630"/>
      <w:r>
        <w:rPr>
          <w:rFonts w:hint="eastAsia"/>
          <w:color w:val="auto"/>
          <w:sz w:val="21"/>
          <w:szCs w:val="21"/>
        </w:rPr>
        <w:t>8.8 施工设备和临时设施</w:t>
      </w:r>
      <w:bookmarkEnd w:id="1653"/>
      <w:bookmarkEnd w:id="1654"/>
    </w:p>
    <w:p w14:paraId="6684E7A0">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8.8.1 承包人提供的施工设备和临时设施</w:t>
      </w:r>
    </w:p>
    <w:p w14:paraId="7AE9F8E4">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关于修建临时设施费用承担的约定：</w:t>
      </w:r>
      <w:r>
        <w:rPr>
          <w:rFonts w:hint="eastAsia" w:ascii="宋体" w:hAnsi="宋体"/>
          <w:color w:val="auto"/>
          <w:szCs w:val="21"/>
          <w:u w:val="single"/>
        </w:rPr>
        <w:t>由承包人承担</w:t>
      </w:r>
      <w:r>
        <w:rPr>
          <w:rFonts w:hint="eastAsia" w:ascii="宋体" w:hAnsi="宋体"/>
          <w:color w:val="auto"/>
          <w:szCs w:val="21"/>
        </w:rPr>
        <w:t>。</w:t>
      </w:r>
    </w:p>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14:paraId="085ADCFC">
      <w:pPr>
        <w:pStyle w:val="6"/>
        <w:keepNext/>
        <w:keepLines/>
        <w:spacing w:beforeLines="50" w:beforeAutospacing="0" w:afterLines="50" w:afterAutospacing="0" w:line="360" w:lineRule="auto"/>
        <w:jc w:val="both"/>
        <w:rPr>
          <w:bCs w:val="0"/>
          <w:color w:val="auto"/>
          <w:kern w:val="2"/>
          <w:sz w:val="21"/>
          <w:szCs w:val="21"/>
        </w:rPr>
      </w:pPr>
      <w:bookmarkStart w:id="1655" w:name="_Toc532377367"/>
      <w:bookmarkStart w:id="1656" w:name="_Toc532375631"/>
      <w:bookmarkStart w:id="1657" w:name="_Toc351203641"/>
      <w:r>
        <w:rPr>
          <w:rFonts w:hint="eastAsia"/>
          <w:color w:val="auto"/>
          <w:kern w:val="2"/>
          <w:sz w:val="21"/>
          <w:szCs w:val="21"/>
        </w:rPr>
        <w:t>9</w:t>
      </w:r>
      <w:bookmarkEnd w:id="1630"/>
      <w:bookmarkEnd w:id="1631"/>
      <w:bookmarkEnd w:id="1632"/>
      <w:bookmarkStart w:id="1658" w:name="_Toc312678021"/>
      <w:bookmarkStart w:id="1659" w:name="_Toc297123533"/>
      <w:bookmarkStart w:id="1660" w:name="_Toc303539139"/>
      <w:bookmarkStart w:id="1661" w:name="_Toc312677495"/>
      <w:bookmarkStart w:id="1662" w:name="_Toc300934982"/>
      <w:bookmarkStart w:id="1663" w:name="_Toc297216192"/>
      <w:bookmarkStart w:id="1664" w:name="_Toc304295559"/>
      <w:r>
        <w:rPr>
          <w:rFonts w:hint="eastAsia"/>
          <w:color w:val="auto"/>
          <w:kern w:val="2"/>
          <w:sz w:val="21"/>
          <w:szCs w:val="21"/>
        </w:rPr>
        <w:t>. 试验与检验</w:t>
      </w:r>
      <w:bookmarkEnd w:id="1655"/>
      <w:bookmarkEnd w:id="1656"/>
      <w:bookmarkEnd w:id="1657"/>
    </w:p>
    <w:bookmarkEnd w:id="1658"/>
    <w:bookmarkEnd w:id="1659"/>
    <w:bookmarkEnd w:id="1660"/>
    <w:bookmarkEnd w:id="1661"/>
    <w:bookmarkEnd w:id="1662"/>
    <w:bookmarkEnd w:id="1663"/>
    <w:bookmarkEnd w:id="1664"/>
    <w:p w14:paraId="0DF2D401">
      <w:pPr>
        <w:pStyle w:val="7"/>
        <w:spacing w:before="0" w:beforeAutospacing="0" w:after="0" w:afterAutospacing="0" w:line="360" w:lineRule="auto"/>
        <w:ind w:firstLine="422" w:firstLineChars="200"/>
        <w:rPr>
          <w:color w:val="auto"/>
          <w:sz w:val="21"/>
          <w:szCs w:val="21"/>
        </w:rPr>
      </w:pPr>
      <w:bookmarkStart w:id="1665" w:name="_Toc532375632"/>
      <w:bookmarkStart w:id="1666" w:name="_Toc532377368"/>
      <w:r>
        <w:rPr>
          <w:rFonts w:hint="eastAsia"/>
          <w:color w:val="auto"/>
          <w:sz w:val="21"/>
          <w:szCs w:val="21"/>
        </w:rPr>
        <w:t>9</w:t>
      </w:r>
      <w:bookmarkStart w:id="1667" w:name="_Toc300934983"/>
      <w:bookmarkStart w:id="1668" w:name="_Toc312678022"/>
      <w:bookmarkStart w:id="1669" w:name="_Toc312677496"/>
      <w:bookmarkStart w:id="1670" w:name="_Toc304295560"/>
      <w:bookmarkStart w:id="1671" w:name="_Toc297216193"/>
      <w:bookmarkStart w:id="1672" w:name="_Toc297123534"/>
      <w:bookmarkStart w:id="1673" w:name="_Toc303539140"/>
      <w:r>
        <w:rPr>
          <w:rFonts w:hint="eastAsia"/>
          <w:color w:val="auto"/>
          <w:sz w:val="21"/>
          <w:szCs w:val="21"/>
        </w:rPr>
        <w:t>.1 试验设备与试验人员</w:t>
      </w:r>
      <w:bookmarkEnd w:id="1665"/>
      <w:bookmarkEnd w:id="1666"/>
    </w:p>
    <w:bookmarkEnd w:id="1667"/>
    <w:bookmarkEnd w:id="1668"/>
    <w:bookmarkEnd w:id="1669"/>
    <w:bookmarkEnd w:id="1670"/>
    <w:bookmarkEnd w:id="1671"/>
    <w:bookmarkEnd w:id="1672"/>
    <w:bookmarkEnd w:id="1673"/>
    <w:p w14:paraId="4C5FF43B">
      <w:pPr>
        <w:spacing w:line="360" w:lineRule="auto"/>
        <w:ind w:firstLine="420" w:firstLineChars="200"/>
        <w:jc w:val="left"/>
        <w:rPr>
          <w:rFonts w:ascii="宋体" w:hAnsi="宋体"/>
          <w:color w:val="auto"/>
          <w:szCs w:val="21"/>
        </w:rPr>
      </w:pPr>
      <w:r>
        <w:rPr>
          <w:rFonts w:hint="eastAsia" w:ascii="宋体" w:hAnsi="宋体"/>
          <w:color w:val="auto"/>
          <w:szCs w:val="21"/>
        </w:rPr>
        <w:t>9</w:t>
      </w:r>
      <w:bookmarkStart w:id="1674" w:name="_Toc300934984"/>
      <w:bookmarkStart w:id="1675" w:name="_Toc303539141"/>
      <w:bookmarkStart w:id="1676" w:name="_Toc312678023"/>
      <w:bookmarkStart w:id="1677" w:name="_Toc312677497"/>
      <w:bookmarkStart w:id="1678" w:name="_Toc297123535"/>
      <w:bookmarkStart w:id="1679" w:name="_Toc297216194"/>
      <w:bookmarkStart w:id="1680" w:name="_Toc304295561"/>
      <w:bookmarkStart w:id="1681" w:name="_Toc318581174"/>
      <w:r>
        <w:rPr>
          <w:rFonts w:hint="eastAsia" w:ascii="宋体" w:hAnsi="宋体"/>
          <w:color w:val="auto"/>
          <w:szCs w:val="21"/>
        </w:rPr>
        <w:t>.1.2 试验设备</w:t>
      </w:r>
    </w:p>
    <w:p w14:paraId="3D487817">
      <w:pPr>
        <w:spacing w:line="360" w:lineRule="auto"/>
        <w:ind w:firstLine="420" w:firstLineChars="200"/>
        <w:jc w:val="left"/>
        <w:rPr>
          <w:rFonts w:ascii="宋体" w:hAnsi="宋体"/>
          <w:color w:val="auto"/>
          <w:szCs w:val="21"/>
        </w:rPr>
      </w:pPr>
      <w:r>
        <w:rPr>
          <w:rFonts w:hint="eastAsia" w:ascii="宋体" w:hAnsi="宋体"/>
          <w:color w:val="auto"/>
          <w:szCs w:val="21"/>
        </w:rPr>
        <w:t>施工现场需要配置的试验场所：</w:t>
      </w:r>
      <w:bookmarkEnd w:id="1674"/>
      <w:bookmarkEnd w:id="1675"/>
      <w:bookmarkEnd w:id="1676"/>
      <w:bookmarkEnd w:id="1677"/>
      <w:bookmarkEnd w:id="1678"/>
      <w:bookmarkEnd w:id="1679"/>
      <w:bookmarkEnd w:id="1680"/>
      <w:bookmarkStart w:id="1682" w:name="_Toc297123536"/>
      <w:bookmarkStart w:id="1683" w:name="_Toc304295562"/>
      <w:bookmarkStart w:id="1684" w:name="_Toc300934985"/>
      <w:bookmarkStart w:id="1685" w:name="_Toc312678024"/>
      <w:bookmarkStart w:id="1686" w:name="_Toc303539142"/>
      <w:bookmarkStart w:id="1687" w:name="_Toc312677498"/>
      <w:bookmarkStart w:id="1688" w:name="_Toc297216195"/>
      <w:r>
        <w:rPr>
          <w:rFonts w:hint="eastAsia" w:ascii="宋体" w:hAnsi="宋体"/>
          <w:color w:val="auto"/>
          <w:szCs w:val="21"/>
          <w:u w:val="single"/>
        </w:rPr>
        <w:t>满足工程施工的需要</w:t>
      </w:r>
      <w:r>
        <w:rPr>
          <w:rFonts w:hint="eastAsia" w:ascii="宋体" w:hAnsi="宋体"/>
          <w:color w:val="auto"/>
          <w:szCs w:val="21"/>
        </w:rPr>
        <w:t>。</w:t>
      </w:r>
    </w:p>
    <w:p w14:paraId="44D929A1">
      <w:pPr>
        <w:spacing w:line="360" w:lineRule="auto"/>
        <w:ind w:firstLine="420" w:firstLineChars="200"/>
        <w:jc w:val="left"/>
        <w:rPr>
          <w:rFonts w:ascii="宋体" w:hAnsi="宋体"/>
          <w:color w:val="auto"/>
          <w:szCs w:val="21"/>
        </w:rPr>
      </w:pPr>
      <w:r>
        <w:rPr>
          <w:rFonts w:hint="eastAsia" w:ascii="宋体" w:hAnsi="宋体"/>
          <w:color w:val="auto"/>
          <w:szCs w:val="21"/>
        </w:rPr>
        <w:t>施工现场需要配备的试验设备：</w:t>
      </w:r>
      <w:r>
        <w:rPr>
          <w:rFonts w:hint="eastAsia" w:ascii="宋体" w:hAnsi="宋体"/>
          <w:color w:val="auto"/>
          <w:szCs w:val="21"/>
          <w:u w:val="single"/>
        </w:rPr>
        <w:t>满足工程施工的需要</w:t>
      </w:r>
      <w:r>
        <w:rPr>
          <w:rFonts w:hint="eastAsia" w:ascii="宋体" w:hAnsi="宋体"/>
          <w:color w:val="auto"/>
          <w:szCs w:val="21"/>
        </w:rPr>
        <w:t>。</w:t>
      </w:r>
    </w:p>
    <w:p w14:paraId="46A58198">
      <w:pPr>
        <w:spacing w:line="360" w:lineRule="auto"/>
        <w:ind w:firstLine="420" w:firstLineChars="200"/>
        <w:jc w:val="left"/>
        <w:rPr>
          <w:rFonts w:ascii="宋体" w:hAnsi="宋体"/>
          <w:color w:val="auto"/>
          <w:szCs w:val="21"/>
        </w:rPr>
      </w:pPr>
      <w:r>
        <w:rPr>
          <w:rFonts w:hint="eastAsia" w:ascii="宋体" w:hAnsi="宋体"/>
          <w:color w:val="auto"/>
          <w:szCs w:val="21"/>
        </w:rPr>
        <w:t>施工现场需要具备的其他试验条件：</w:t>
      </w:r>
      <w:r>
        <w:rPr>
          <w:rFonts w:hint="eastAsia" w:ascii="宋体" w:hAnsi="宋体"/>
          <w:color w:val="auto"/>
          <w:szCs w:val="21"/>
          <w:u w:val="single"/>
        </w:rPr>
        <w:t xml:space="preserve">        </w:t>
      </w:r>
      <w:r>
        <w:rPr>
          <w:rFonts w:hint="eastAsia" w:ascii="宋体" w:hAnsi="宋体"/>
          <w:color w:val="auto"/>
          <w:szCs w:val="21"/>
        </w:rPr>
        <w:t>。</w:t>
      </w:r>
    </w:p>
    <w:p w14:paraId="28F7F2D3">
      <w:pPr>
        <w:pStyle w:val="7"/>
        <w:spacing w:before="0" w:beforeAutospacing="0" w:after="0" w:afterAutospacing="0" w:line="360" w:lineRule="auto"/>
        <w:ind w:firstLine="422" w:firstLineChars="200"/>
        <w:rPr>
          <w:color w:val="auto"/>
          <w:sz w:val="21"/>
          <w:szCs w:val="21"/>
        </w:rPr>
      </w:pPr>
      <w:bookmarkStart w:id="1689" w:name="_Toc532375633"/>
      <w:bookmarkStart w:id="1690" w:name="_Toc532377369"/>
      <w:r>
        <w:rPr>
          <w:rFonts w:hint="eastAsia"/>
          <w:color w:val="auto"/>
          <w:sz w:val="21"/>
          <w:szCs w:val="21"/>
        </w:rPr>
        <w:t>9.4 现场工艺试验</w:t>
      </w:r>
      <w:bookmarkEnd w:id="1689"/>
      <w:bookmarkEnd w:id="1690"/>
    </w:p>
    <w:p w14:paraId="7041BABB">
      <w:pPr>
        <w:spacing w:line="360" w:lineRule="auto"/>
        <w:ind w:firstLine="420" w:firstLineChars="200"/>
        <w:jc w:val="left"/>
        <w:rPr>
          <w:rFonts w:ascii="宋体" w:hAnsi="宋体"/>
          <w:color w:val="auto"/>
          <w:szCs w:val="21"/>
        </w:rPr>
      </w:pPr>
      <w:r>
        <w:rPr>
          <w:rFonts w:hint="eastAsia" w:ascii="宋体" w:hAnsi="宋体"/>
          <w:color w:val="auto"/>
          <w:szCs w:val="21"/>
        </w:rPr>
        <w:t>本款补充9.4.1～9.4.5项：</w:t>
      </w:r>
    </w:p>
    <w:bookmarkEnd w:id="1681"/>
    <w:bookmarkEnd w:id="1682"/>
    <w:bookmarkEnd w:id="1683"/>
    <w:bookmarkEnd w:id="1684"/>
    <w:bookmarkEnd w:id="1685"/>
    <w:bookmarkEnd w:id="1686"/>
    <w:bookmarkEnd w:id="1687"/>
    <w:bookmarkEnd w:id="1688"/>
    <w:p w14:paraId="7273C047">
      <w:pPr>
        <w:spacing w:line="360" w:lineRule="auto"/>
        <w:ind w:firstLine="420" w:firstLineChars="200"/>
        <w:jc w:val="left"/>
        <w:rPr>
          <w:rFonts w:ascii="宋体" w:hAnsi="宋体"/>
          <w:color w:val="auto"/>
          <w:szCs w:val="21"/>
        </w:rPr>
      </w:pPr>
      <w:r>
        <w:rPr>
          <w:rFonts w:hint="eastAsia" w:ascii="宋体" w:hAnsi="宋体"/>
          <w:color w:val="auto"/>
          <w:szCs w:val="21"/>
        </w:rPr>
        <w:t>9.4.1一般检验试验：</w:t>
      </w:r>
    </w:p>
    <w:p w14:paraId="2F0BCD17">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根据《建设工程质量检测管理办法》（住房和城乡建设部令第57号）、《住房城乡建设部办公厅关于实施&lt;建设工程质量检测管理办法&gt;&lt;建设工程质量检测机构资质标准&gt;有关问题的通知》（建办质〔2024〕36号）、《重庆市建设工程质量检测管理规定》（渝建发〔2024〕71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4EC065AB">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54733FCF">
      <w:pPr>
        <w:spacing w:line="360" w:lineRule="auto"/>
        <w:ind w:firstLine="420" w:firstLineChars="200"/>
        <w:jc w:val="left"/>
        <w:rPr>
          <w:rFonts w:ascii="宋体" w:hAnsi="宋体"/>
          <w:color w:val="auto"/>
          <w:szCs w:val="21"/>
        </w:rPr>
      </w:pPr>
      <w:r>
        <w:rPr>
          <w:rFonts w:hint="eastAsia" w:ascii="宋体" w:hAnsi="宋体"/>
          <w:color w:val="auto"/>
          <w:szCs w:val="21"/>
        </w:rPr>
        <w:t>9.4.2特殊检验试验：</w:t>
      </w:r>
    </w:p>
    <w:p w14:paraId="47601E34">
      <w:pPr>
        <w:spacing w:line="360" w:lineRule="auto"/>
        <w:ind w:firstLine="420" w:firstLineChars="200"/>
        <w:jc w:val="left"/>
        <w:rPr>
          <w:rFonts w:ascii="宋体" w:hAnsi="宋体"/>
          <w:color w:val="auto"/>
          <w:szCs w:val="21"/>
        </w:rPr>
      </w:pPr>
      <w:r>
        <w:rPr>
          <w:rFonts w:hint="eastAsia" w:ascii="宋体" w:hAnsi="宋体"/>
          <w:color w:val="auto"/>
          <w:szCs w:val="21"/>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053E8777">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发包人委托的第三方检测试验机构检测试验的试件所需的材料、取样、送检及相关配合工作由承包人负责完成并承担由此产生的所有相关费用。</w:t>
      </w:r>
    </w:p>
    <w:p w14:paraId="0CD43F7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（2）施工措施的检测、试验：因施工措施需要而做的相关检测、试验由承包人负责实施，其费用由承包人承担。</w:t>
      </w:r>
    </w:p>
    <w:p w14:paraId="7C1035FA">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9.4.3专项检测：</w:t>
      </w:r>
      <w:r>
        <w:rPr>
          <w:rFonts w:hint="eastAsia" w:ascii="宋体" w:hAnsi="宋体"/>
          <w:color w:val="auto"/>
          <w:szCs w:val="21"/>
          <w:u w:val="single"/>
        </w:rPr>
        <w:t xml:space="preserve">       </w:t>
      </w:r>
      <w:r>
        <w:rPr>
          <w:rFonts w:hint="eastAsia" w:ascii="宋体" w:hAnsi="宋体"/>
          <w:color w:val="auto"/>
          <w:szCs w:val="21"/>
        </w:rPr>
        <w:t>。</w:t>
      </w:r>
    </w:p>
    <w:p w14:paraId="3B2A2D98">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9.4.4若因承包人取样、制样、送检及相关配合不及时而导致工程的工期和费用增加，影响的工期不予延长，增加费用由承包人承担。</w:t>
      </w:r>
    </w:p>
    <w:p w14:paraId="1D37077D">
      <w:pPr>
        <w:tabs>
          <w:tab w:val="left" w:pos="711"/>
          <w:tab w:val="left" w:pos="2580"/>
        </w:tabs>
        <w:spacing w:line="360" w:lineRule="auto"/>
        <w:ind w:firstLine="420" w:firstLineChars="200"/>
        <w:jc w:val="left"/>
        <w:textAlignment w:val="baseline"/>
        <w:rPr>
          <w:rFonts w:ascii="宋体" w:hAnsi="宋体"/>
          <w:color w:val="auto"/>
          <w:szCs w:val="21"/>
          <w:u w:val="single"/>
        </w:rPr>
      </w:pPr>
      <w:r>
        <w:rPr>
          <w:rFonts w:hint="eastAsia" w:ascii="宋体" w:hAnsi="宋体"/>
          <w:color w:val="auto"/>
          <w:szCs w:val="21"/>
        </w:rPr>
        <w:t>9.4.5检测试验不合格的项目，其缺陷处理和复测费用由承包人承担，工期不予延长。</w:t>
      </w:r>
    </w:p>
    <w:bookmarkEnd w:id="1527"/>
    <w:bookmarkEnd w:id="1528"/>
    <w:bookmarkEnd w:id="1529"/>
    <w:bookmarkEnd w:id="1530"/>
    <w:bookmarkEnd w:id="1531"/>
    <w:bookmarkEnd w:id="1532"/>
    <w:bookmarkEnd w:id="1533"/>
    <w:bookmarkEnd w:id="1534"/>
    <w:bookmarkEnd w:id="1535"/>
    <w:bookmarkEnd w:id="1536"/>
    <w:bookmarkEnd w:id="1537"/>
    <w:bookmarkEnd w:id="1538"/>
    <w:bookmarkEnd w:id="1539"/>
    <w:p w14:paraId="5F7044A4">
      <w:pPr>
        <w:pStyle w:val="6"/>
        <w:keepNext/>
        <w:keepLines/>
        <w:spacing w:beforeLines="50" w:beforeAutospacing="0" w:afterLines="50" w:afterAutospacing="0" w:line="360" w:lineRule="auto"/>
        <w:jc w:val="both"/>
        <w:rPr>
          <w:bCs w:val="0"/>
          <w:color w:val="auto"/>
          <w:kern w:val="2"/>
          <w:sz w:val="21"/>
          <w:szCs w:val="21"/>
        </w:rPr>
      </w:pPr>
      <w:bookmarkStart w:id="1691" w:name="_Toc532377370"/>
      <w:bookmarkStart w:id="1692" w:name="_Toc532375634"/>
      <w:bookmarkStart w:id="1693" w:name="_Toc267251485"/>
      <w:bookmarkStart w:id="1694" w:name="_Toc267251486"/>
      <w:bookmarkStart w:id="1695" w:name="_Toc267251489"/>
      <w:bookmarkStart w:id="1696" w:name="_Toc267251482"/>
      <w:bookmarkStart w:id="1697" w:name="_Toc267251490"/>
      <w:bookmarkStart w:id="1698" w:name="_Toc267251484"/>
      <w:bookmarkStart w:id="1699" w:name="_Toc267251488"/>
      <w:bookmarkStart w:id="1700" w:name="_Hlk524298112"/>
      <w:bookmarkStart w:id="1701" w:name="_Toc267251499"/>
      <w:bookmarkStart w:id="1702" w:name="_Toc267251515"/>
      <w:bookmarkStart w:id="1703" w:name="_Toc267251508"/>
      <w:bookmarkStart w:id="1704" w:name="_Toc267251504"/>
      <w:bookmarkStart w:id="1705" w:name="_Toc267251496"/>
      <w:bookmarkStart w:id="1706" w:name="_Toc267251501"/>
      <w:bookmarkStart w:id="1707" w:name="_Toc267251510"/>
      <w:bookmarkStart w:id="1708" w:name="_Toc267251491"/>
      <w:bookmarkStart w:id="1709" w:name="_Toc267251498"/>
      <w:bookmarkStart w:id="1710" w:name="_Toc267251495"/>
      <w:bookmarkStart w:id="1711" w:name="_Toc267251511"/>
      <w:bookmarkStart w:id="1712" w:name="_Toc267251506"/>
      <w:bookmarkStart w:id="1713" w:name="_Toc267251503"/>
      <w:bookmarkStart w:id="1714" w:name="_Toc267251513"/>
      <w:bookmarkStart w:id="1715" w:name="_Toc267251493"/>
      <w:bookmarkStart w:id="1716" w:name="_Toc267251509"/>
      <w:bookmarkStart w:id="1717" w:name="_Toc267251497"/>
      <w:bookmarkStart w:id="1718" w:name="_Toc267251492"/>
      <w:bookmarkStart w:id="1719" w:name="_Toc267251494"/>
      <w:bookmarkStart w:id="1720" w:name="_Toc267251514"/>
      <w:bookmarkStart w:id="1721" w:name="_Toc267251502"/>
      <w:bookmarkStart w:id="1722" w:name="_Toc267251507"/>
      <w:r>
        <w:rPr>
          <w:rFonts w:hint="eastAsia"/>
          <w:color w:val="auto"/>
          <w:kern w:val="2"/>
          <w:sz w:val="21"/>
          <w:szCs w:val="21"/>
        </w:rPr>
        <w:t>1</w:t>
      </w:r>
      <w:bookmarkStart w:id="1723" w:name="_Toc296346694"/>
      <w:bookmarkStart w:id="1724" w:name="_Toc297216199"/>
      <w:bookmarkStart w:id="1725" w:name="_Toc292559398"/>
      <w:bookmarkStart w:id="1726" w:name="_Toc292559903"/>
      <w:bookmarkStart w:id="1727" w:name="_Toc297123540"/>
      <w:bookmarkStart w:id="1728" w:name="_Toc297120493"/>
      <w:bookmarkStart w:id="1729" w:name="_Toc300934989"/>
      <w:bookmarkStart w:id="1730" w:name="_Toc303539146"/>
      <w:bookmarkStart w:id="1731" w:name="_Toc297048379"/>
      <w:bookmarkStart w:id="1732" w:name="_Toc296503193"/>
      <w:bookmarkStart w:id="1733" w:name="_Toc296891233"/>
      <w:bookmarkStart w:id="1734" w:name="_Toc296944532"/>
      <w:bookmarkStart w:id="1735" w:name="_Toc296347192"/>
      <w:bookmarkStart w:id="1736" w:name="_Toc296891021"/>
      <w:bookmarkStart w:id="1737" w:name="_Toc304295566"/>
      <w:bookmarkStart w:id="1738" w:name="_Toc312678025"/>
      <w:bookmarkStart w:id="1739" w:name="_Toc312677499"/>
      <w:bookmarkStart w:id="1740" w:name="_Toc267251437"/>
      <w:bookmarkStart w:id="1741" w:name="_Toc267251439"/>
      <w:bookmarkStart w:id="1742" w:name="_Toc267251435"/>
      <w:bookmarkStart w:id="1743" w:name="_Toc267251433"/>
      <w:bookmarkStart w:id="1744" w:name="_Toc267251441"/>
      <w:bookmarkStart w:id="1745" w:name="_Toc267251440"/>
      <w:r>
        <w:rPr>
          <w:rFonts w:hint="eastAsia"/>
          <w:color w:val="auto"/>
          <w:kern w:val="2"/>
          <w:sz w:val="21"/>
          <w:szCs w:val="21"/>
        </w:rPr>
        <w:t>0. 变更</w:t>
      </w:r>
      <w:bookmarkEnd w:id="1691"/>
      <w:bookmarkEnd w:id="169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bookmarkEnd w:id="1738"/>
    <w:bookmarkEnd w:id="1739"/>
    <w:p w14:paraId="3492CF6F">
      <w:pPr>
        <w:pStyle w:val="7"/>
        <w:spacing w:before="0" w:beforeAutospacing="0" w:after="0" w:afterAutospacing="0" w:line="360" w:lineRule="auto"/>
        <w:ind w:firstLine="422" w:firstLineChars="200"/>
        <w:rPr>
          <w:color w:val="auto"/>
          <w:sz w:val="21"/>
          <w:szCs w:val="21"/>
        </w:rPr>
      </w:pPr>
      <w:bookmarkStart w:id="1746" w:name="_Toc532377371"/>
      <w:bookmarkStart w:id="1747" w:name="_Toc532375635"/>
      <w:r>
        <w:rPr>
          <w:rFonts w:hint="eastAsia"/>
          <w:color w:val="auto"/>
          <w:sz w:val="21"/>
          <w:szCs w:val="21"/>
        </w:rPr>
        <w:t>1</w:t>
      </w:r>
      <w:bookmarkStart w:id="1748" w:name="_Toc292559904"/>
      <w:bookmarkStart w:id="1749" w:name="_Toc303539147"/>
      <w:bookmarkStart w:id="1750" w:name="_Toc312678026"/>
      <w:bookmarkStart w:id="1751" w:name="_Toc296891234"/>
      <w:bookmarkStart w:id="1752" w:name="_Toc297123541"/>
      <w:bookmarkStart w:id="1753" w:name="_Toc297048380"/>
      <w:bookmarkStart w:id="1754" w:name="_Toc296347193"/>
      <w:bookmarkStart w:id="1755" w:name="_Toc292559399"/>
      <w:bookmarkStart w:id="1756" w:name="_Toc297120494"/>
      <w:bookmarkStart w:id="1757" w:name="_Toc312677500"/>
      <w:bookmarkStart w:id="1758" w:name="_Toc296891022"/>
      <w:bookmarkStart w:id="1759" w:name="_Toc304295567"/>
      <w:bookmarkStart w:id="1760" w:name="_Toc297216200"/>
      <w:bookmarkStart w:id="1761" w:name="_Toc296944533"/>
      <w:bookmarkStart w:id="1762" w:name="_Toc296503194"/>
      <w:bookmarkStart w:id="1763" w:name="_Toc296346695"/>
      <w:bookmarkStart w:id="1764" w:name="_Toc300934990"/>
      <w:r>
        <w:rPr>
          <w:rFonts w:hint="eastAsia"/>
          <w:color w:val="auto"/>
          <w:sz w:val="21"/>
          <w:szCs w:val="21"/>
        </w:rPr>
        <w:t>0.1变更的范围</w:t>
      </w:r>
      <w:bookmarkEnd w:id="1746"/>
      <w:bookmarkEnd w:id="1747"/>
    </w:p>
    <w:p w14:paraId="37F11DA0">
      <w:pPr>
        <w:spacing w:line="360" w:lineRule="auto"/>
        <w:ind w:firstLine="420" w:firstLineChars="200"/>
        <w:jc w:val="left"/>
        <w:rPr>
          <w:rFonts w:ascii="宋体" w:hAnsi="宋体"/>
          <w:color w:val="auto"/>
          <w:szCs w:val="21"/>
        </w:rPr>
      </w:pPr>
      <w:r>
        <w:rPr>
          <w:rFonts w:hint="eastAsia" w:ascii="宋体" w:hAnsi="宋体"/>
          <w:color w:val="auto"/>
          <w:szCs w:val="21"/>
        </w:rPr>
        <w:t>关于变更范围的约定：</w:t>
      </w:r>
    </w:p>
    <w:p w14:paraId="387D3938">
      <w:pPr>
        <w:spacing w:line="360" w:lineRule="auto"/>
        <w:ind w:firstLine="420" w:firstLineChars="200"/>
        <w:jc w:val="left"/>
        <w:rPr>
          <w:rFonts w:ascii="宋体" w:hAnsi="宋体"/>
          <w:color w:val="auto"/>
          <w:szCs w:val="21"/>
        </w:rPr>
      </w:pPr>
      <w:r>
        <w:rPr>
          <w:rFonts w:hint="eastAsia" w:ascii="宋体" w:hAnsi="宋体"/>
          <w:color w:val="auto"/>
          <w:szCs w:val="21"/>
        </w:rPr>
        <w:t>（1）增加或减少合同中任何工作，或追加额外的工作；</w:t>
      </w:r>
    </w:p>
    <w:p w14:paraId="0B7D2115">
      <w:pPr>
        <w:spacing w:line="360" w:lineRule="auto"/>
        <w:ind w:firstLine="420" w:firstLineChars="200"/>
        <w:jc w:val="left"/>
        <w:rPr>
          <w:rFonts w:ascii="宋体" w:hAnsi="宋体"/>
          <w:color w:val="auto"/>
          <w:szCs w:val="21"/>
        </w:rPr>
      </w:pPr>
      <w:r>
        <w:rPr>
          <w:rFonts w:hint="eastAsia" w:ascii="宋体" w:hAnsi="宋体"/>
          <w:color w:val="auto"/>
          <w:szCs w:val="21"/>
        </w:rPr>
        <w:t>（2）取消合同中任何工作；</w:t>
      </w:r>
    </w:p>
    <w:p w14:paraId="4F0D41D2">
      <w:pPr>
        <w:spacing w:line="360" w:lineRule="auto"/>
        <w:ind w:firstLine="420" w:firstLineChars="200"/>
        <w:jc w:val="left"/>
        <w:rPr>
          <w:rFonts w:ascii="宋体" w:hAnsi="宋体"/>
          <w:color w:val="auto"/>
          <w:szCs w:val="21"/>
        </w:rPr>
      </w:pPr>
      <w:r>
        <w:rPr>
          <w:rFonts w:hint="eastAsia" w:ascii="宋体" w:hAnsi="宋体"/>
          <w:color w:val="auto"/>
          <w:szCs w:val="21"/>
        </w:rPr>
        <w:t>（3）改变合同中任何工作的质量标准或其他特性；</w:t>
      </w:r>
    </w:p>
    <w:p w14:paraId="5D3995BB">
      <w:pPr>
        <w:spacing w:line="360" w:lineRule="auto"/>
        <w:ind w:firstLine="420" w:firstLineChars="200"/>
        <w:jc w:val="left"/>
        <w:rPr>
          <w:rFonts w:ascii="宋体" w:hAnsi="宋体"/>
          <w:color w:val="auto"/>
          <w:szCs w:val="21"/>
        </w:rPr>
      </w:pPr>
      <w:r>
        <w:rPr>
          <w:rFonts w:hint="eastAsia" w:ascii="宋体" w:hAnsi="宋体"/>
          <w:color w:val="auto"/>
          <w:szCs w:val="21"/>
        </w:rPr>
        <w:t>（4）改变工程的基线、标高、位置和尺寸；</w:t>
      </w:r>
    </w:p>
    <w:p w14:paraId="71D3F4C9">
      <w:pPr>
        <w:spacing w:line="360" w:lineRule="auto"/>
        <w:ind w:firstLine="420" w:firstLineChars="200"/>
        <w:jc w:val="left"/>
        <w:rPr>
          <w:rFonts w:ascii="宋体" w:hAnsi="宋体"/>
          <w:color w:val="auto"/>
          <w:szCs w:val="21"/>
        </w:rPr>
      </w:pPr>
      <w:r>
        <w:rPr>
          <w:rFonts w:hint="eastAsia" w:ascii="宋体" w:hAnsi="宋体"/>
          <w:color w:val="auto"/>
          <w:szCs w:val="21"/>
        </w:rPr>
        <w:t>（5）适用于工程的标准和（或）规范变化导致需要对工程进行改变，且该改变导致工期和（或）费用变化的；</w:t>
      </w:r>
    </w:p>
    <w:p w14:paraId="7AB93BB4">
      <w:pPr>
        <w:spacing w:line="360" w:lineRule="auto"/>
        <w:ind w:firstLine="420" w:firstLineChars="200"/>
        <w:jc w:val="left"/>
        <w:rPr>
          <w:rFonts w:ascii="宋体" w:hAnsi="宋体"/>
          <w:color w:val="auto"/>
          <w:szCs w:val="21"/>
        </w:rPr>
      </w:pPr>
      <w:r>
        <w:rPr>
          <w:rFonts w:hint="eastAsia" w:ascii="宋体" w:hAnsi="宋体"/>
          <w:color w:val="auto"/>
          <w:szCs w:val="21"/>
        </w:rPr>
        <w:t>（6）勘察设计变更；</w:t>
      </w:r>
    </w:p>
    <w:p w14:paraId="67658428">
      <w:pPr>
        <w:spacing w:line="360" w:lineRule="auto"/>
        <w:ind w:firstLine="420" w:firstLineChars="200"/>
        <w:jc w:val="left"/>
        <w:rPr>
          <w:rFonts w:ascii="宋体" w:hAnsi="宋体"/>
          <w:color w:val="auto"/>
          <w:szCs w:val="21"/>
        </w:rPr>
      </w:pPr>
      <w:r>
        <w:rPr>
          <w:rFonts w:hint="eastAsia" w:ascii="宋体" w:hAnsi="宋体"/>
          <w:color w:val="auto"/>
          <w:szCs w:val="21"/>
        </w:rPr>
        <w:t>（7）实施内容变更，包括因设计变更和非设计变更引起的实施地点、投资规模、结构型式、采购数量、服务内容等进行的调整，以及因此导致的合同价格、工期变更；</w:t>
      </w:r>
    </w:p>
    <w:p w14:paraId="04827EE5">
      <w:pPr>
        <w:spacing w:line="360" w:lineRule="auto"/>
        <w:ind w:firstLine="420" w:firstLineChars="200"/>
        <w:jc w:val="left"/>
        <w:rPr>
          <w:rFonts w:ascii="宋体" w:hAnsi="宋体"/>
          <w:color w:val="auto"/>
          <w:szCs w:val="21"/>
        </w:rPr>
      </w:pPr>
      <w:r>
        <w:rPr>
          <w:rFonts w:hint="eastAsia" w:ascii="宋体" w:hAnsi="宋体"/>
          <w:color w:val="auto"/>
          <w:szCs w:val="21"/>
        </w:rPr>
        <w:t>（8）项目管理人员变更；</w:t>
      </w:r>
    </w:p>
    <w:p w14:paraId="203657B5">
      <w:pPr>
        <w:spacing w:line="360" w:lineRule="auto"/>
        <w:ind w:firstLine="420" w:firstLineChars="200"/>
        <w:jc w:val="left"/>
        <w:rPr>
          <w:rFonts w:ascii="宋体" w:hAnsi="宋体"/>
          <w:color w:val="auto"/>
          <w:szCs w:val="21"/>
        </w:rPr>
      </w:pPr>
      <w:r>
        <w:rPr>
          <w:rFonts w:hint="eastAsia" w:ascii="宋体" w:hAnsi="宋体"/>
          <w:color w:val="auto"/>
          <w:szCs w:val="21"/>
        </w:rPr>
        <w:t>（9）因人工、原材料等价格变化导致的合同总价变更；</w:t>
      </w:r>
    </w:p>
    <w:p w14:paraId="5894F0CD">
      <w:pPr>
        <w:spacing w:line="360" w:lineRule="auto"/>
        <w:ind w:firstLine="420" w:firstLineChars="200"/>
        <w:jc w:val="left"/>
        <w:rPr>
          <w:rFonts w:ascii="宋体" w:hAnsi="宋体"/>
          <w:color w:val="auto"/>
          <w:szCs w:val="21"/>
        </w:rPr>
      </w:pPr>
      <w:r>
        <w:rPr>
          <w:rFonts w:hint="eastAsia" w:ascii="宋体" w:hAnsi="宋体"/>
          <w:color w:val="auto"/>
          <w:szCs w:val="21"/>
        </w:rPr>
        <w:t>（10）非实施内容变化导致的工期变更；</w:t>
      </w:r>
    </w:p>
    <w:p w14:paraId="731FD935">
      <w:pPr>
        <w:spacing w:line="360" w:lineRule="auto"/>
        <w:ind w:firstLine="420" w:firstLineChars="200"/>
        <w:jc w:val="left"/>
        <w:rPr>
          <w:rFonts w:ascii="宋体" w:hAnsi="宋体"/>
          <w:color w:val="auto"/>
          <w:szCs w:val="21"/>
        </w:rPr>
      </w:pPr>
      <w:r>
        <w:rPr>
          <w:rFonts w:hint="eastAsia" w:ascii="宋体" w:hAnsi="宋体"/>
          <w:color w:val="auto"/>
          <w:szCs w:val="21"/>
        </w:rPr>
        <w:t>（11）</w:t>
      </w:r>
      <w:r>
        <w:rPr>
          <w:rFonts w:hint="eastAsia" w:ascii="宋体" w:hAnsi="宋体"/>
          <w:color w:val="auto"/>
          <w:szCs w:val="21"/>
          <w:u w:val="single"/>
        </w:rPr>
        <w:t xml:space="preserve">        </w:t>
      </w:r>
      <w:r>
        <w:rPr>
          <w:rFonts w:hint="eastAsia" w:ascii="宋体" w:hAnsi="宋体"/>
          <w:color w:val="auto"/>
          <w:szCs w:val="21"/>
        </w:rPr>
        <w:t>。</w:t>
      </w:r>
    </w:p>
    <w:p w14:paraId="49C7D164">
      <w:pPr>
        <w:spacing w:line="360" w:lineRule="auto"/>
        <w:ind w:firstLine="420" w:firstLineChars="200"/>
        <w:jc w:val="left"/>
        <w:rPr>
          <w:rFonts w:ascii="宋体" w:hAnsi="宋体"/>
          <w:color w:val="auto"/>
          <w:szCs w:val="21"/>
        </w:rPr>
      </w:pPr>
      <w:r>
        <w:rPr>
          <w:rFonts w:hint="eastAsia" w:ascii="宋体" w:hAnsi="宋体"/>
          <w:color w:val="auto"/>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14BA7B52">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承包人对其提供的材料、工程设备、施工、无负荷试车、热负荷试车及图纸参数存在的缺陷，自费修正、调整和完善，不属于变更。</w:t>
      </w:r>
    </w:p>
    <w:p w14:paraId="7BDC82E9">
      <w:pPr>
        <w:pStyle w:val="7"/>
        <w:spacing w:before="0" w:beforeAutospacing="0" w:after="0" w:afterAutospacing="0" w:line="360" w:lineRule="auto"/>
        <w:ind w:firstLine="422" w:firstLineChars="200"/>
        <w:rPr>
          <w:color w:val="auto"/>
          <w:sz w:val="21"/>
          <w:szCs w:val="21"/>
        </w:rPr>
      </w:pPr>
      <w:bookmarkStart w:id="1765" w:name="_Toc532375636"/>
      <w:bookmarkStart w:id="1766" w:name="_Toc532377372"/>
      <w:bookmarkStart w:id="1767" w:name="_Toc351203569"/>
      <w:r>
        <w:rPr>
          <w:rFonts w:hint="eastAsia"/>
          <w:color w:val="auto"/>
          <w:sz w:val="21"/>
          <w:szCs w:val="21"/>
        </w:rPr>
        <w:t>1</w:t>
      </w:r>
      <w:bookmarkStart w:id="1768" w:name="_Toc296346586"/>
      <w:bookmarkStart w:id="1769" w:name="_Toc296503085"/>
      <w:bookmarkStart w:id="1770" w:name="_Toc337558789"/>
      <w:r>
        <w:rPr>
          <w:rFonts w:hint="eastAsia"/>
          <w:color w:val="auto"/>
          <w:sz w:val="21"/>
          <w:szCs w:val="21"/>
        </w:rPr>
        <w:t>0.2变更权</w:t>
      </w:r>
      <w:bookmarkEnd w:id="1765"/>
      <w:bookmarkEnd w:id="1766"/>
      <w:bookmarkEnd w:id="1767"/>
    </w:p>
    <w:bookmarkEnd w:id="1768"/>
    <w:bookmarkEnd w:id="1769"/>
    <w:bookmarkEnd w:id="1770"/>
    <w:p w14:paraId="213E62A2">
      <w:pPr>
        <w:spacing w:line="360" w:lineRule="auto"/>
        <w:ind w:firstLine="420" w:firstLineChars="200"/>
        <w:jc w:val="left"/>
        <w:rPr>
          <w:rFonts w:ascii="宋体" w:hAnsi="宋体"/>
          <w:color w:val="auto"/>
          <w:szCs w:val="21"/>
        </w:rPr>
      </w:pPr>
      <w:r>
        <w:rPr>
          <w:rFonts w:hint="eastAsia" w:ascii="宋体" w:hAnsi="宋体"/>
          <w:color w:val="auto"/>
          <w:szCs w:val="21"/>
        </w:rPr>
        <w:t>10.2.1发包人和监理人提出变更</w:t>
      </w:r>
    </w:p>
    <w:p w14:paraId="56E55EBC">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031F4DEC">
      <w:pPr>
        <w:spacing w:line="360" w:lineRule="auto"/>
        <w:ind w:firstLine="420" w:firstLineChars="200"/>
        <w:jc w:val="left"/>
        <w:rPr>
          <w:rFonts w:ascii="宋体" w:hAnsi="宋体"/>
          <w:color w:val="auto"/>
          <w:szCs w:val="21"/>
          <w:u w:val="single"/>
        </w:rPr>
      </w:pPr>
      <w:r>
        <w:rPr>
          <w:rFonts w:hint="eastAsia" w:ascii="宋体" w:hAnsi="宋体"/>
          <w:color w:val="auto"/>
          <w:szCs w:val="21"/>
        </w:rPr>
        <w:t>涉及设计变更的，应由设计人提供变更后的图纸和说明，交由发包人同意后由监理人以书面形式发出。如变更超过原设计标准或批准的建设规模时，由发包人及时办理规划、设计变更等审批手续。</w:t>
      </w:r>
    </w:p>
    <w:p w14:paraId="60EE04B3">
      <w:pPr>
        <w:spacing w:line="360" w:lineRule="auto"/>
        <w:ind w:firstLine="420" w:firstLineChars="200"/>
        <w:jc w:val="left"/>
        <w:rPr>
          <w:rFonts w:ascii="宋体" w:hAnsi="宋体"/>
          <w:color w:val="auto"/>
          <w:szCs w:val="21"/>
        </w:rPr>
      </w:pPr>
      <w:r>
        <w:rPr>
          <w:rFonts w:hint="eastAsia" w:ascii="宋体" w:hAnsi="宋体"/>
          <w:color w:val="auto"/>
          <w:szCs w:val="21"/>
        </w:rPr>
        <w:t>若出现重大设计变更，变更后的内容超出承包人资质或能力范围的，发包人将另行依法采购选择承包单位，无需征得承包人同意。</w:t>
      </w:r>
    </w:p>
    <w:p w14:paraId="3CEE84F2">
      <w:pPr>
        <w:spacing w:line="360" w:lineRule="auto"/>
        <w:ind w:firstLine="420" w:firstLineChars="200"/>
        <w:jc w:val="left"/>
        <w:rPr>
          <w:rFonts w:ascii="宋体" w:hAnsi="宋体"/>
          <w:color w:val="auto"/>
          <w:szCs w:val="21"/>
        </w:rPr>
      </w:pPr>
      <w:r>
        <w:rPr>
          <w:rFonts w:hint="eastAsia" w:ascii="宋体" w:hAnsi="宋体"/>
          <w:color w:val="auto"/>
          <w:szCs w:val="21"/>
        </w:rPr>
        <w:t>10.2.2 承包人提出变更建议</w:t>
      </w:r>
    </w:p>
    <w:p w14:paraId="293BBF1F">
      <w:pPr>
        <w:spacing w:line="360" w:lineRule="auto"/>
        <w:ind w:firstLine="420" w:firstLineChars="200"/>
        <w:jc w:val="left"/>
        <w:rPr>
          <w:rFonts w:ascii="宋体" w:hAnsi="宋体"/>
          <w:color w:val="auto"/>
          <w:szCs w:val="21"/>
        </w:rPr>
      </w:pPr>
      <w:r>
        <w:rPr>
          <w:rFonts w:hint="eastAsia" w:ascii="宋体" w:hAnsi="宋体"/>
          <w:color w:val="auto"/>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rPr>
        <w:t>。</w:t>
      </w:r>
    </w:p>
    <w:p w14:paraId="3098D801">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rPr>
        <w:t>如果发包人对承包人已实施的施工项目在发出重大设计变更之前要求承包人提出一份建议，那么，承包人应尽快提出：</w:t>
      </w:r>
    </w:p>
    <w:p w14:paraId="5AFAA767">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（1）对所提方案和（或）待做工作及其实施计划的说明</w:t>
      </w:r>
      <w:r>
        <w:rPr>
          <w:rFonts w:hint="eastAsia" w:ascii="宋体" w:hAnsi="宋体"/>
          <w:color w:val="auto"/>
          <w:szCs w:val="21"/>
        </w:rPr>
        <w:t>；</w:t>
      </w:r>
    </w:p>
    <w:p w14:paraId="5EC8AACC">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（2）承包人按照对工程进度计划进行必要修改的建议</w:t>
      </w:r>
      <w:r>
        <w:rPr>
          <w:rFonts w:hint="eastAsia" w:ascii="宋体" w:hAnsi="宋体"/>
          <w:color w:val="auto"/>
          <w:szCs w:val="21"/>
        </w:rPr>
        <w:t>；</w:t>
      </w:r>
    </w:p>
    <w:p w14:paraId="46221AFA">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（3）承包人发生较大返工损失增加费用的建议</w:t>
      </w:r>
      <w:r>
        <w:rPr>
          <w:rFonts w:hint="eastAsia" w:ascii="宋体" w:hAnsi="宋体"/>
          <w:color w:val="auto"/>
          <w:szCs w:val="21"/>
        </w:rPr>
        <w:t>。</w:t>
      </w:r>
    </w:p>
    <w:p w14:paraId="5C2603C2">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发包人在收到上述建议书后，应尽快给予批准、否决或提出意见</w:t>
      </w:r>
      <w:r>
        <w:rPr>
          <w:rFonts w:hint="eastAsia" w:ascii="宋体" w:hAnsi="宋体"/>
          <w:color w:val="auto"/>
          <w:szCs w:val="21"/>
        </w:rPr>
        <w:t>。</w:t>
      </w:r>
    </w:p>
    <w:p w14:paraId="3B192E80">
      <w:pPr>
        <w:pStyle w:val="7"/>
        <w:spacing w:before="0" w:beforeAutospacing="0" w:after="0" w:afterAutospacing="0" w:line="360" w:lineRule="auto"/>
        <w:ind w:firstLine="422" w:firstLineChars="200"/>
        <w:rPr>
          <w:color w:val="auto"/>
          <w:sz w:val="21"/>
          <w:szCs w:val="21"/>
        </w:rPr>
      </w:pPr>
      <w:bookmarkStart w:id="1771" w:name="_Toc532377373"/>
      <w:bookmarkStart w:id="1772" w:name="_Toc532375637"/>
      <w:bookmarkStart w:id="1773" w:name="_Toc351203570"/>
      <w:bookmarkStart w:id="1774" w:name="_Hlk528928195"/>
      <w:r>
        <w:rPr>
          <w:rFonts w:hint="eastAsia"/>
          <w:color w:val="auto"/>
          <w:sz w:val="21"/>
          <w:szCs w:val="21"/>
        </w:rPr>
        <w:t>1</w:t>
      </w:r>
      <w:bookmarkStart w:id="1775" w:name="_Toc296346587"/>
      <w:bookmarkStart w:id="1776" w:name="_Toc296503086"/>
      <w:bookmarkStart w:id="1777" w:name="_Toc337558790"/>
      <w:r>
        <w:rPr>
          <w:rFonts w:hint="eastAsia"/>
          <w:color w:val="auto"/>
          <w:sz w:val="21"/>
          <w:szCs w:val="21"/>
        </w:rPr>
        <w:t>0.3变更程序</w:t>
      </w:r>
      <w:bookmarkEnd w:id="1771"/>
      <w:bookmarkEnd w:id="1772"/>
    </w:p>
    <w:bookmarkEnd w:id="1775"/>
    <w:bookmarkEnd w:id="1776"/>
    <w:bookmarkEnd w:id="1777"/>
    <w:p w14:paraId="1229AFEC">
      <w:pPr>
        <w:autoSpaceDE w:val="0"/>
        <w:autoSpaceDN w:val="0"/>
        <w:spacing w:line="360" w:lineRule="auto"/>
        <w:ind w:firstLine="420" w:firstLineChars="200"/>
        <w:jc w:val="left"/>
        <w:rPr>
          <w:rFonts w:ascii="宋体" w:hAnsi="宋体"/>
          <w:color w:val="auto"/>
          <w:szCs w:val="21"/>
        </w:rPr>
      </w:pPr>
      <w:bookmarkStart w:id="1778" w:name="_Hlk524353972"/>
      <w:r>
        <w:rPr>
          <w:rFonts w:hint="eastAsia" w:ascii="宋体" w:hAnsi="宋体"/>
          <w:color w:val="auto"/>
          <w:szCs w:val="21"/>
        </w:rPr>
        <w:t>10.3.3 变更执行</w:t>
      </w:r>
    </w:p>
    <w:p w14:paraId="547FAD43">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一般设计变更：承包人收到监理人下达的变更指示后，应按照监理人下达的变更指示执行，并书面说明实施该变更指示对合同价格和工期的影响，按照第10.4.1项〔变更估价原则〕约定执行。</w:t>
      </w:r>
    </w:p>
    <w:p w14:paraId="3DD188DC">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重大设计变更：需经设计人、监理人和发包人三方签字认可并报相关行业部门审查同意后实施。</w:t>
      </w:r>
    </w:p>
    <w:p w14:paraId="1FBF2FD5">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10.3.3 项增加以下内容：</w:t>
      </w:r>
    </w:p>
    <w:p w14:paraId="105F7818">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6FEA369F">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项目的勘察设计、实施内容等作较大变更的，应当按照规定的程序报原审批部门审批；变更导致总投资超概的，应当报原投资概算核定部门核定。</w:t>
      </w:r>
    </w:p>
    <w:p w14:paraId="512403F7">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项目管理人员变更的，应当经发包人领导班子集体决策同意，并将变更信息推送给行业主管部门。变更后的项目管理人员应当符合采购文件和行业主管部门的相关规定。</w:t>
      </w:r>
    </w:p>
    <w:p w14:paraId="5FB2800B">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因人工、原材料市场价格发生大幅度变化导致的合同总价变更，由发包人与承包人按照合同进行变更，并将变更信息推送给行业主管部门。</w:t>
      </w:r>
    </w:p>
    <w:p w14:paraId="5DE346F7">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7277881B">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项目合同变更后，增加的实施内容达到依法必须采购的规模标准的，增加的部分应当依法通过采购选择承包单位。</w:t>
      </w:r>
    </w:p>
    <w:bookmarkEnd w:id="1773"/>
    <w:bookmarkEnd w:id="1774"/>
    <w:bookmarkEnd w:id="1778"/>
    <w:p w14:paraId="6F8B1E0E">
      <w:pPr>
        <w:pStyle w:val="7"/>
        <w:spacing w:before="0" w:beforeAutospacing="0" w:after="0" w:afterAutospacing="0" w:line="360" w:lineRule="auto"/>
        <w:ind w:firstLine="422" w:firstLineChars="200"/>
        <w:rPr>
          <w:color w:val="auto"/>
          <w:sz w:val="21"/>
          <w:szCs w:val="21"/>
        </w:rPr>
      </w:pPr>
      <w:bookmarkStart w:id="1779" w:name="_Toc532377374"/>
      <w:bookmarkStart w:id="1780" w:name="_Toc532375638"/>
      <w:r>
        <w:rPr>
          <w:rFonts w:hint="eastAsia"/>
          <w:color w:val="auto"/>
          <w:sz w:val="21"/>
          <w:szCs w:val="21"/>
        </w:rPr>
        <w:t>10.4 变更估价</w:t>
      </w:r>
      <w:bookmarkEnd w:id="1779"/>
      <w:bookmarkEnd w:id="1780"/>
    </w:p>
    <w:p w14:paraId="4DA4C7D1">
      <w:pPr>
        <w:spacing w:line="360" w:lineRule="auto"/>
        <w:ind w:firstLine="420" w:firstLineChars="200"/>
        <w:jc w:val="left"/>
        <w:rPr>
          <w:rFonts w:ascii="宋体" w:hAnsi="宋体"/>
          <w:color w:val="auto"/>
          <w:szCs w:val="21"/>
        </w:rPr>
      </w:pPr>
      <w:bookmarkStart w:id="1781" w:name="_Hlk524296629"/>
      <w:r>
        <w:rPr>
          <w:rFonts w:hint="eastAsia" w:ascii="宋体" w:hAnsi="宋体"/>
          <w:color w:val="auto"/>
          <w:szCs w:val="21"/>
        </w:rPr>
        <w:t>10.4.1 变更估价原则</w:t>
      </w:r>
    </w:p>
    <w:p w14:paraId="4571ACE5">
      <w:pPr>
        <w:pStyle w:val="2"/>
        <w:spacing w:after="0" w:line="360" w:lineRule="auto"/>
        <w:ind w:firstLine="420" w:firstLineChars="200"/>
        <w:jc w:val="left"/>
        <w:rPr>
          <w:rFonts w:ascii="宋体" w:hAnsi="宋体"/>
          <w:color w:val="auto"/>
          <w:szCs w:val="21"/>
          <w:u w:val="single"/>
        </w:rPr>
      </w:pPr>
      <w:r>
        <w:rPr>
          <w:rFonts w:hint="eastAsia" w:ascii="宋体" w:hAnsi="宋体"/>
          <w:color w:val="auto"/>
          <w:szCs w:val="21"/>
        </w:rPr>
        <w:t>当发生工程变更时，工程量按</w:t>
      </w:r>
      <w:r>
        <w:rPr>
          <w:rFonts w:hint="eastAsia" w:ascii="宋体" w:hAnsi="宋体"/>
          <w:color w:val="auto"/>
          <w:szCs w:val="21"/>
          <w:u w:val="single"/>
        </w:rPr>
        <w:t xml:space="preserve">        </w:t>
      </w:r>
      <w:r>
        <w:rPr>
          <w:rFonts w:hint="eastAsia" w:ascii="宋体" w:hAnsi="宋体"/>
          <w:color w:val="auto"/>
          <w:szCs w:val="21"/>
        </w:rPr>
        <w:t>规定的计算规则及已标价工程量清单规定的工程量计算规则计量，按以下办法计价：</w:t>
      </w:r>
      <w:bookmarkStart w:id="1782" w:name="_Hlk524770102"/>
    </w:p>
    <w:bookmarkEnd w:id="1782"/>
    <w:p w14:paraId="6B8BB992">
      <w:pPr>
        <w:spacing w:line="360" w:lineRule="auto"/>
        <w:ind w:firstLine="420" w:firstLineChars="200"/>
        <w:jc w:val="left"/>
        <w:rPr>
          <w:rFonts w:ascii="宋体" w:hAnsi="宋体"/>
          <w:color w:val="auto"/>
          <w:szCs w:val="21"/>
        </w:rPr>
      </w:pPr>
      <w:r>
        <w:rPr>
          <w:rFonts w:hint="eastAsia" w:ascii="宋体" w:hAnsi="宋体"/>
          <w:color w:val="auto"/>
          <w:szCs w:val="21"/>
        </w:rPr>
        <w:t>10.4.1.1已标价工程量清单中有相同项目的，按照相同项目单价计算；</w:t>
      </w:r>
    </w:p>
    <w:p w14:paraId="4C15937F">
      <w:pPr>
        <w:spacing w:line="360" w:lineRule="auto"/>
        <w:ind w:firstLine="420" w:firstLineChars="200"/>
        <w:jc w:val="left"/>
        <w:rPr>
          <w:rFonts w:ascii="宋体" w:hAnsi="宋体"/>
          <w:color w:val="auto"/>
          <w:szCs w:val="21"/>
        </w:rPr>
      </w:pPr>
      <w:r>
        <w:rPr>
          <w:rFonts w:hint="eastAsia" w:ascii="宋体" w:hAnsi="宋体"/>
          <w:color w:val="auto"/>
          <w:szCs w:val="21"/>
        </w:rPr>
        <w:t>10.4.1.2已标价工程量清单中有类似项目的，参考类似项目单价计算；</w:t>
      </w:r>
    </w:p>
    <w:p w14:paraId="26FADAF5">
      <w:pPr>
        <w:spacing w:line="360" w:lineRule="auto"/>
        <w:ind w:firstLine="420" w:firstLineChars="200"/>
        <w:jc w:val="left"/>
        <w:rPr>
          <w:rFonts w:ascii="宋体" w:hAnsi="宋体"/>
          <w:color w:val="auto"/>
          <w:szCs w:val="21"/>
        </w:rPr>
      </w:pPr>
      <w:r>
        <w:rPr>
          <w:rFonts w:hint="eastAsia" w:ascii="宋体" w:hAnsi="宋体"/>
          <w:color w:val="auto"/>
          <w:szCs w:val="21"/>
        </w:rPr>
        <w:t>10.4.1.3已标价工程量清单中无相同项目亦无类似项目的，按照以下原则执行：</w:t>
      </w:r>
    </w:p>
    <w:p w14:paraId="057A280C">
      <w:pPr>
        <w:spacing w:line="360" w:lineRule="auto"/>
        <w:ind w:firstLine="420" w:firstLineChars="200"/>
        <w:jc w:val="left"/>
        <w:rPr>
          <w:rFonts w:ascii="宋体" w:hAnsi="宋体"/>
          <w:color w:val="auto"/>
          <w:szCs w:val="21"/>
        </w:rPr>
      </w:pPr>
      <w:r>
        <w:rPr>
          <w:rFonts w:hint="eastAsia" w:ascii="宋体" w:hAnsi="宋体"/>
          <w:color w:val="auto"/>
          <w:szCs w:val="21"/>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color w:val="auto"/>
          <w:szCs w:val="21"/>
        </w:rPr>
        <w:t>。</w:t>
      </w:r>
    </w:p>
    <w:p w14:paraId="1EEE9409">
      <w:pPr>
        <w:spacing w:line="360" w:lineRule="auto"/>
        <w:ind w:firstLine="420" w:firstLineChars="200"/>
        <w:jc w:val="left"/>
        <w:rPr>
          <w:rFonts w:ascii="宋体" w:hAnsi="宋体"/>
          <w:color w:val="auto"/>
          <w:szCs w:val="21"/>
        </w:rPr>
      </w:pPr>
      <w:r>
        <w:rPr>
          <w:rFonts w:hint="eastAsia" w:ascii="宋体" w:hAnsi="宋体"/>
          <w:color w:val="auto"/>
          <w:szCs w:val="21"/>
        </w:rPr>
        <w:t>承包人报价浮动率按下列公式计算：承包人报价浮动率=（1-中标价/最高限价）×100%。</w:t>
      </w:r>
    </w:p>
    <w:p w14:paraId="5399BC66">
      <w:pPr>
        <w:spacing w:line="360" w:lineRule="auto"/>
        <w:ind w:firstLine="420" w:firstLineChars="200"/>
        <w:jc w:val="left"/>
        <w:rPr>
          <w:rFonts w:ascii="宋体" w:hAnsi="宋体"/>
          <w:color w:val="auto"/>
          <w:szCs w:val="21"/>
        </w:rPr>
      </w:pPr>
      <w:r>
        <w:rPr>
          <w:rFonts w:hint="eastAsia" w:ascii="宋体" w:hAnsi="宋体"/>
          <w:color w:val="auto"/>
          <w:szCs w:val="21"/>
        </w:rPr>
        <w:t>（1）人工单价：按开标当期《重庆工程造价信息》发布的项目所在地的人工单价执行。</w:t>
      </w:r>
    </w:p>
    <w:p w14:paraId="0FD007E3">
      <w:pPr>
        <w:spacing w:line="360" w:lineRule="auto"/>
        <w:ind w:firstLine="420" w:firstLineChars="200"/>
        <w:jc w:val="left"/>
        <w:rPr>
          <w:rFonts w:ascii="宋体" w:hAnsi="宋体"/>
          <w:color w:val="auto"/>
          <w:szCs w:val="21"/>
        </w:rPr>
      </w:pPr>
      <w:bookmarkStart w:id="1783" w:name="_Hlk529023896"/>
      <w:r>
        <w:rPr>
          <w:rFonts w:hint="eastAsia" w:ascii="宋体" w:hAnsi="宋体"/>
          <w:color w:val="auto"/>
          <w:szCs w:val="21"/>
        </w:rPr>
        <w:t>（2）材料单价：</w:t>
      </w:r>
    </w:p>
    <w:p w14:paraId="5CC3C407">
      <w:pPr>
        <w:spacing w:line="360" w:lineRule="auto"/>
        <w:ind w:firstLine="420" w:firstLineChars="200"/>
        <w:jc w:val="left"/>
        <w:rPr>
          <w:rFonts w:ascii="宋体" w:hAnsi="宋体"/>
          <w:color w:val="auto"/>
          <w:szCs w:val="21"/>
        </w:rPr>
      </w:pPr>
      <w:r>
        <w:rPr>
          <w:rFonts w:hint="eastAsia" w:ascii="宋体" w:hAnsi="宋体"/>
          <w:color w:val="auto"/>
          <w:szCs w:val="21"/>
        </w:rPr>
        <w:t>①按</w:t>
      </w:r>
      <w:bookmarkStart w:id="1784" w:name="_Hlk529023354"/>
      <w:r>
        <w:rPr>
          <w:rFonts w:hint="eastAsia" w:ascii="宋体" w:hAnsi="宋体"/>
          <w:color w:val="auto"/>
          <w:szCs w:val="21"/>
        </w:rPr>
        <w:t>开标当期《重庆工程造价信息》发布的项目所在地的信息价</w:t>
      </w:r>
      <w:bookmarkEnd w:id="1784"/>
      <w:r>
        <w:rPr>
          <w:rFonts w:hint="eastAsia" w:ascii="宋体" w:hAnsi="宋体"/>
          <w:color w:val="auto"/>
          <w:szCs w:val="21"/>
        </w:rPr>
        <w:t>执行；</w:t>
      </w:r>
    </w:p>
    <w:p w14:paraId="58A98B32">
      <w:pPr>
        <w:spacing w:line="360" w:lineRule="auto"/>
        <w:ind w:firstLine="420" w:firstLineChars="200"/>
        <w:jc w:val="left"/>
        <w:rPr>
          <w:rFonts w:ascii="宋体" w:hAnsi="宋体"/>
          <w:color w:val="auto"/>
          <w:szCs w:val="21"/>
        </w:rPr>
      </w:pPr>
      <w:r>
        <w:rPr>
          <w:rFonts w:hint="eastAsia" w:ascii="宋体" w:hAnsi="宋体"/>
          <w:color w:val="auto"/>
          <w:szCs w:val="21"/>
        </w:rPr>
        <w:t>②开标当期《重庆工程造价信息》中没有的，承包人投标报价中有的，按承包人投标报价中相同材料单价的最低值执行；</w:t>
      </w:r>
    </w:p>
    <w:p w14:paraId="40AA5731">
      <w:pPr>
        <w:spacing w:line="360" w:lineRule="auto"/>
        <w:ind w:firstLine="420" w:firstLineChars="200"/>
        <w:jc w:val="left"/>
        <w:rPr>
          <w:rFonts w:ascii="宋体" w:hAnsi="宋体"/>
          <w:color w:val="auto"/>
          <w:szCs w:val="21"/>
        </w:rPr>
      </w:pPr>
      <w:r>
        <w:rPr>
          <w:rFonts w:hint="eastAsia" w:ascii="宋体" w:hAnsi="宋体"/>
          <w:color w:val="auto"/>
          <w:szCs w:val="21"/>
        </w:rPr>
        <w:t>③开标当期《重庆工程造价信息》和承包人投标报价没有的，由承包人申报、监理人会同跟审单位、发包人根据市场行情认质核价确定。</w:t>
      </w:r>
    </w:p>
    <w:bookmarkEnd w:id="1783"/>
    <w:p w14:paraId="145B0C11">
      <w:pPr>
        <w:spacing w:line="360" w:lineRule="auto"/>
        <w:ind w:firstLine="420" w:firstLineChars="200"/>
        <w:jc w:val="left"/>
        <w:rPr>
          <w:rFonts w:ascii="宋体" w:hAnsi="宋体"/>
          <w:color w:val="auto"/>
          <w:szCs w:val="21"/>
        </w:rPr>
      </w:pPr>
      <w:r>
        <w:rPr>
          <w:rFonts w:hint="eastAsia" w:ascii="宋体" w:hAnsi="宋体"/>
          <w:color w:val="auto"/>
          <w:szCs w:val="21"/>
        </w:rPr>
        <w:t>（3）企业管理费和利润：按承包人投标报价中相同工程分类的费用标准执行（投标报价中费用标准高于《重庆市建设工程费用定额》（CQFYDE-2018）费用标准的，按《重庆市建设工程费用定额》（CQFYDE-2018）费用标准执行）。</w:t>
      </w:r>
    </w:p>
    <w:p w14:paraId="78AE0144">
      <w:pPr>
        <w:spacing w:line="360" w:lineRule="auto"/>
        <w:ind w:firstLine="420" w:firstLineChars="200"/>
        <w:jc w:val="left"/>
        <w:rPr>
          <w:rFonts w:ascii="宋体" w:hAnsi="宋体"/>
          <w:color w:val="auto"/>
          <w:szCs w:val="21"/>
        </w:rPr>
      </w:pPr>
      <w:r>
        <w:rPr>
          <w:rFonts w:hint="eastAsia" w:ascii="宋体" w:hAnsi="宋体"/>
          <w:color w:val="auto"/>
          <w:szCs w:val="21"/>
        </w:rPr>
        <w:t>（4）规费：按《重庆市建设工程费用定额》（CQFYDE-2018）费用标准进行计算。</w:t>
      </w:r>
    </w:p>
    <w:p w14:paraId="1120A9D6">
      <w:pPr>
        <w:spacing w:line="360" w:lineRule="auto"/>
        <w:ind w:firstLine="420" w:firstLineChars="200"/>
        <w:jc w:val="left"/>
        <w:rPr>
          <w:rFonts w:ascii="宋体" w:hAnsi="宋体"/>
          <w:color w:val="auto"/>
          <w:szCs w:val="21"/>
        </w:rPr>
      </w:pPr>
      <w:r>
        <w:rPr>
          <w:rFonts w:hint="eastAsia" w:ascii="宋体" w:hAnsi="宋体"/>
          <w:color w:val="auto"/>
          <w:szCs w:val="21"/>
        </w:rPr>
        <w:t>（5）税金：包含增值税、城市维护建设税、教育费附加、地方教育附加以及环境保护税。其中增值税按《重庆市建设工程费用定额》（CQFYDE-2018）规定及配套文件执行。</w:t>
      </w:r>
    </w:p>
    <w:p w14:paraId="251B4810">
      <w:pPr>
        <w:spacing w:line="360" w:lineRule="auto"/>
        <w:ind w:firstLine="420" w:firstLineChars="200"/>
        <w:jc w:val="left"/>
        <w:rPr>
          <w:rFonts w:ascii="宋体" w:hAnsi="宋体"/>
          <w:color w:val="auto"/>
          <w:szCs w:val="21"/>
          <w:u w:val="single"/>
        </w:rPr>
      </w:pPr>
      <w:r>
        <w:rPr>
          <w:rFonts w:hint="eastAsia" w:ascii="宋体" w:hAnsi="宋体"/>
          <w:color w:val="auto"/>
          <w:szCs w:val="21"/>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51B9538B">
      <w:pPr>
        <w:spacing w:line="360" w:lineRule="auto"/>
        <w:ind w:firstLine="420" w:firstLineChars="200"/>
        <w:jc w:val="left"/>
        <w:rPr>
          <w:rFonts w:ascii="宋体" w:hAnsi="宋体"/>
          <w:color w:val="auto"/>
          <w:szCs w:val="21"/>
        </w:rPr>
      </w:pPr>
      <w:r>
        <w:rPr>
          <w:rFonts w:hint="eastAsia" w:ascii="宋体" w:hAnsi="宋体"/>
          <w:color w:val="auto"/>
          <w:szCs w:val="21"/>
        </w:rPr>
        <w:t>本款补充10.4.3项：</w:t>
      </w:r>
    </w:p>
    <w:p w14:paraId="720E8EF7">
      <w:pPr>
        <w:spacing w:line="360" w:lineRule="auto"/>
        <w:ind w:firstLine="420" w:firstLineChars="200"/>
        <w:jc w:val="left"/>
        <w:rPr>
          <w:rFonts w:ascii="宋体" w:hAnsi="宋体"/>
          <w:color w:val="auto"/>
          <w:szCs w:val="21"/>
        </w:rPr>
      </w:pPr>
      <w:r>
        <w:rPr>
          <w:rFonts w:hint="eastAsia" w:ascii="宋体" w:hAnsi="宋体"/>
          <w:color w:val="auto"/>
          <w:szCs w:val="21"/>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29C58D2E">
      <w:pPr>
        <w:spacing w:line="360" w:lineRule="auto"/>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color w:val="auto"/>
          <w:szCs w:val="21"/>
          <w:u w:val="single"/>
        </w:rPr>
        <w:t>安全文明施工费应根据《重庆城乡建设委员会关于印发&lt;重庆市建设工程安全文明施工费计取及使用管理规定&gt;的通知》（渝建发〔2014〕25号）规定，安全文明施工费由安全施工费、文明施工费、环境保护费及临时设施费组成；</w:t>
      </w:r>
    </w:p>
    <w:p w14:paraId="2EF75488">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按照单价计算的措施项目费，应按照实际发生变化的措施项目，按照第10.4.1项〔变更估价原则〕约定执行</w:t>
      </w:r>
      <w:r>
        <w:rPr>
          <w:rFonts w:hint="eastAsia" w:ascii="宋体" w:hAnsi="宋体"/>
          <w:color w:val="auto"/>
          <w:szCs w:val="21"/>
        </w:rPr>
        <w:t>；</w:t>
      </w:r>
    </w:p>
    <w:p w14:paraId="32418E27">
      <w:pPr>
        <w:spacing w:line="360" w:lineRule="auto"/>
        <w:ind w:firstLine="420" w:firstLineChars="200"/>
        <w:jc w:val="left"/>
        <w:rPr>
          <w:rFonts w:ascii="宋体" w:hAnsi="宋体"/>
          <w:color w:val="auto"/>
          <w:szCs w:val="21"/>
        </w:rPr>
      </w:pPr>
      <w:r>
        <w:rPr>
          <w:rFonts w:hint="eastAsia" w:ascii="宋体" w:hAnsi="宋体"/>
          <w:color w:val="auto"/>
          <w:szCs w:val="21"/>
        </w:rPr>
        <w:t>（3）</w:t>
      </w:r>
      <w:r>
        <w:rPr>
          <w:rFonts w:hint="eastAsia" w:ascii="宋体" w:hAnsi="宋体"/>
          <w:color w:val="auto"/>
          <w:szCs w:val="21"/>
          <w:u w:val="single"/>
        </w:rPr>
        <w:t>按总价（或系数）计算的措施项目费，应按照实际发生变化的措施项目费按承包人报价浮动率下浮后的金额计算</w:t>
      </w:r>
      <w:r>
        <w:rPr>
          <w:rFonts w:hint="eastAsia" w:ascii="宋体" w:hAnsi="宋体"/>
          <w:color w:val="auto"/>
          <w:szCs w:val="21"/>
        </w:rPr>
        <w:t>；</w:t>
      </w:r>
    </w:p>
    <w:p w14:paraId="17ABD309">
      <w:pPr>
        <w:spacing w:line="360" w:lineRule="auto"/>
        <w:ind w:firstLine="420" w:firstLineChars="200"/>
        <w:jc w:val="left"/>
        <w:rPr>
          <w:rFonts w:ascii="宋体" w:hAnsi="宋体"/>
          <w:color w:val="auto"/>
          <w:szCs w:val="21"/>
          <w:u w:val="single"/>
        </w:rPr>
      </w:pPr>
      <w:r>
        <w:rPr>
          <w:rFonts w:hint="eastAsia" w:ascii="宋体" w:hAnsi="宋体"/>
          <w:color w:val="auto"/>
          <w:szCs w:val="21"/>
        </w:rPr>
        <w:t>（4）</w:t>
      </w:r>
      <w:r>
        <w:rPr>
          <w:rFonts w:hint="eastAsia" w:ascii="宋体" w:hAnsi="宋体"/>
          <w:color w:val="auto"/>
          <w:szCs w:val="21"/>
          <w:u w:val="single"/>
        </w:rPr>
        <w:t>如果承包人未事前将拟实施的方案提交给发包人确认，则应视为工程变更不引起措施项目费的调整或承包人放弃调整措施项目费的权利</w:t>
      </w:r>
      <w:r>
        <w:rPr>
          <w:rFonts w:hint="eastAsia" w:ascii="宋体" w:hAnsi="宋体"/>
          <w:color w:val="auto"/>
          <w:szCs w:val="21"/>
        </w:rPr>
        <w:t>。</w:t>
      </w:r>
    </w:p>
    <w:bookmarkEnd w:id="1781"/>
    <w:p w14:paraId="0AC5E6E5">
      <w:pPr>
        <w:pStyle w:val="7"/>
        <w:spacing w:before="0" w:beforeAutospacing="0" w:after="0" w:afterAutospacing="0" w:line="360" w:lineRule="auto"/>
        <w:ind w:firstLine="422" w:firstLineChars="200"/>
        <w:rPr>
          <w:color w:val="auto"/>
          <w:sz w:val="21"/>
          <w:szCs w:val="21"/>
        </w:rPr>
      </w:pPr>
      <w:bookmarkStart w:id="1785" w:name="_Toc532375639"/>
      <w:bookmarkStart w:id="1786" w:name="_Toc532377375"/>
      <w:r>
        <w:rPr>
          <w:rFonts w:hint="eastAsia"/>
          <w:color w:val="auto"/>
          <w:sz w:val="21"/>
          <w:szCs w:val="21"/>
        </w:rPr>
        <w:t>1</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Start w:id="1787" w:name="_Toc296346698"/>
      <w:bookmarkStart w:id="1788" w:name="_Toc297120497"/>
      <w:bookmarkStart w:id="1789" w:name="_Toc296944536"/>
      <w:bookmarkStart w:id="1790" w:name="_Toc297216203"/>
      <w:bookmarkStart w:id="1791" w:name="_Toc292559402"/>
      <w:bookmarkStart w:id="1792" w:name="_Toc297123544"/>
      <w:bookmarkStart w:id="1793" w:name="_Toc300934993"/>
      <w:bookmarkStart w:id="1794" w:name="_Toc296347196"/>
      <w:bookmarkStart w:id="1795" w:name="_Toc296891025"/>
      <w:bookmarkStart w:id="1796" w:name="_Toc296503197"/>
      <w:bookmarkStart w:id="1797" w:name="_Toc297048383"/>
      <w:bookmarkStart w:id="1798" w:name="_Toc296891237"/>
      <w:bookmarkStart w:id="1799" w:name="_Toc292559907"/>
      <w:bookmarkStart w:id="1800" w:name="_Toc303539150"/>
      <w:bookmarkStart w:id="1801" w:name="_Toc312677503"/>
      <w:bookmarkStart w:id="1802" w:name="_Toc304295570"/>
      <w:bookmarkStart w:id="1803" w:name="_Toc312678029"/>
      <w:r>
        <w:rPr>
          <w:rFonts w:hint="eastAsia"/>
          <w:color w:val="auto"/>
          <w:sz w:val="21"/>
          <w:szCs w:val="21"/>
        </w:rPr>
        <w:t>0.5承</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Start w:id="1804" w:name="_Toc292559408"/>
      <w:bookmarkStart w:id="1805" w:name="_Toc292559913"/>
      <w:bookmarkStart w:id="1806" w:name="_Toc297120503"/>
      <w:bookmarkStart w:id="1807" w:name="_Toc297048389"/>
      <w:bookmarkStart w:id="1808" w:name="_Toc296891031"/>
      <w:bookmarkStart w:id="1809" w:name="_Toc296503203"/>
      <w:bookmarkStart w:id="1810" w:name="_Toc297216204"/>
      <w:bookmarkStart w:id="1811" w:name="_Toc296346704"/>
      <w:bookmarkStart w:id="1812" w:name="_Toc296944542"/>
      <w:bookmarkStart w:id="1813" w:name="_Toc303539151"/>
      <w:bookmarkStart w:id="1814" w:name="_Toc296891243"/>
      <w:bookmarkStart w:id="1815" w:name="_Toc300934994"/>
      <w:bookmarkStart w:id="1816" w:name="_Toc296347202"/>
      <w:bookmarkStart w:id="1817" w:name="_Toc297123545"/>
      <w:r>
        <w:rPr>
          <w:rFonts w:hint="eastAsia"/>
          <w:color w:val="auto"/>
          <w:sz w:val="21"/>
          <w:szCs w:val="21"/>
        </w:rPr>
        <w:t>包人的合理化建议</w:t>
      </w:r>
      <w:bookmarkEnd w:id="1785"/>
      <w:bookmarkEnd w:id="1786"/>
    </w:p>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14:paraId="1541E66B">
      <w:pPr>
        <w:spacing w:line="360" w:lineRule="auto"/>
        <w:ind w:firstLine="420" w:firstLineChars="200"/>
        <w:jc w:val="left"/>
        <w:rPr>
          <w:rFonts w:ascii="宋体" w:hAnsi="宋体"/>
          <w:color w:val="auto"/>
          <w:szCs w:val="21"/>
        </w:rPr>
      </w:pPr>
      <w:r>
        <w:rPr>
          <w:rFonts w:hint="eastAsia" w:ascii="宋体" w:hAnsi="宋体"/>
          <w:color w:val="auto"/>
          <w:szCs w:val="21"/>
        </w:rPr>
        <w:t>承包人提出合理化建议的，应向监理人提交合理化建议说明，说明建议的内容和理由，以及实施该建议对合同价格和（或）工期和（或）工程经济效益的影响。</w:t>
      </w:r>
    </w:p>
    <w:p w14:paraId="23FC3108">
      <w:pPr>
        <w:spacing w:line="360" w:lineRule="auto"/>
        <w:ind w:firstLine="420" w:firstLineChars="200"/>
        <w:jc w:val="left"/>
        <w:rPr>
          <w:rFonts w:ascii="宋体" w:hAnsi="宋体"/>
          <w:color w:val="auto"/>
          <w:szCs w:val="21"/>
        </w:rPr>
      </w:pPr>
      <w:r>
        <w:rPr>
          <w:rFonts w:hint="eastAsia" w:ascii="宋体" w:hAnsi="宋体"/>
          <w:color w:val="auto"/>
          <w:szCs w:val="21"/>
        </w:rPr>
        <w:t>监理人审查承包人合理化建议的期限：</w:t>
      </w:r>
      <w:r>
        <w:rPr>
          <w:rFonts w:hint="eastAsia" w:ascii="宋体" w:hAnsi="宋体"/>
          <w:color w:val="auto"/>
          <w:szCs w:val="21"/>
          <w:u w:val="single"/>
        </w:rPr>
        <w:t>不超过14天</w:t>
      </w:r>
      <w:r>
        <w:rPr>
          <w:rFonts w:hint="eastAsia" w:ascii="宋体" w:hAnsi="宋体"/>
          <w:color w:val="auto"/>
          <w:szCs w:val="21"/>
        </w:rPr>
        <w:t>。</w:t>
      </w:r>
    </w:p>
    <w:p w14:paraId="4B00EDE0">
      <w:pPr>
        <w:spacing w:line="360" w:lineRule="auto"/>
        <w:ind w:firstLine="420" w:firstLineChars="200"/>
        <w:jc w:val="left"/>
        <w:rPr>
          <w:rFonts w:ascii="宋体" w:hAnsi="宋体"/>
          <w:color w:val="auto"/>
          <w:szCs w:val="21"/>
        </w:rPr>
      </w:pPr>
      <w:r>
        <w:rPr>
          <w:rFonts w:hint="eastAsia" w:ascii="宋体" w:hAnsi="宋体"/>
          <w:color w:val="auto"/>
          <w:szCs w:val="21"/>
        </w:rPr>
        <w:t>发包人审批承包人合理化建议的期限：</w:t>
      </w:r>
      <w:r>
        <w:rPr>
          <w:rFonts w:hint="eastAsia" w:ascii="宋体" w:hAnsi="宋体"/>
          <w:color w:val="auto"/>
          <w:szCs w:val="21"/>
          <w:u w:val="single"/>
        </w:rPr>
        <w:t>不超过14天</w:t>
      </w:r>
      <w:r>
        <w:rPr>
          <w:rFonts w:hint="eastAsia" w:ascii="宋体" w:hAnsi="宋体"/>
          <w:color w:val="auto"/>
          <w:szCs w:val="21"/>
        </w:rPr>
        <w:t>。</w:t>
      </w:r>
    </w:p>
    <w:p w14:paraId="2FACBD58">
      <w:pPr>
        <w:spacing w:line="360" w:lineRule="auto"/>
        <w:ind w:firstLine="420" w:firstLineChars="200"/>
        <w:jc w:val="left"/>
        <w:rPr>
          <w:rFonts w:ascii="宋体" w:hAnsi="宋体"/>
          <w:color w:val="auto"/>
          <w:szCs w:val="21"/>
          <w:u w:val="single"/>
        </w:rPr>
      </w:pPr>
      <w:r>
        <w:rPr>
          <w:rFonts w:hint="eastAsia" w:ascii="宋体" w:hAnsi="宋体"/>
          <w:color w:val="auto"/>
          <w:szCs w:val="21"/>
        </w:rPr>
        <w:t>承</w:t>
      </w:r>
      <w:bookmarkStart w:id="1818" w:name="_Toc318581175"/>
      <w:bookmarkStart w:id="1819" w:name="_Toc292559409"/>
      <w:bookmarkStart w:id="1820" w:name="_Toc292559914"/>
      <w:bookmarkStart w:id="1821" w:name="_Toc297120504"/>
      <w:bookmarkStart w:id="1822" w:name="_Toc297216205"/>
      <w:bookmarkStart w:id="1823" w:name="_Toc296891244"/>
      <w:bookmarkStart w:id="1824" w:name="_Toc297048390"/>
      <w:bookmarkStart w:id="1825" w:name="_Toc296346705"/>
      <w:bookmarkStart w:id="1826" w:name="_Toc304295571"/>
      <w:bookmarkStart w:id="1827" w:name="_Toc296891032"/>
      <w:bookmarkStart w:id="1828" w:name="_Toc296503204"/>
      <w:bookmarkStart w:id="1829" w:name="_Toc296944543"/>
      <w:bookmarkStart w:id="1830" w:name="_Toc296347203"/>
      <w:bookmarkStart w:id="1831" w:name="_Toc300934995"/>
      <w:bookmarkStart w:id="1832" w:name="_Toc297123546"/>
      <w:bookmarkStart w:id="1833" w:name="_Toc312678030"/>
      <w:bookmarkStart w:id="1834" w:name="_Toc312677504"/>
      <w:bookmarkStart w:id="1835" w:name="_Toc303539152"/>
      <w:r>
        <w:rPr>
          <w:rFonts w:hint="eastAsia" w:ascii="宋体" w:hAnsi="宋体"/>
          <w:color w:val="auto"/>
          <w:szCs w:val="21"/>
        </w:rPr>
        <w:t>包人提出的合理化建议降低了合同价格或缩短了工期或者提高了工程经济效益的奖励的方法和金额为：无。</w:t>
      </w:r>
    </w:p>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14:paraId="4761EA50">
      <w:pPr>
        <w:pStyle w:val="7"/>
        <w:spacing w:before="0" w:beforeAutospacing="0" w:after="0" w:afterAutospacing="0" w:line="360" w:lineRule="auto"/>
        <w:ind w:firstLine="422" w:firstLineChars="200"/>
        <w:rPr>
          <w:color w:val="auto"/>
          <w:sz w:val="21"/>
          <w:szCs w:val="21"/>
        </w:rPr>
      </w:pPr>
      <w:bookmarkStart w:id="1836" w:name="_Toc532377376"/>
      <w:bookmarkStart w:id="1837" w:name="_Toc532375640"/>
      <w:r>
        <w:rPr>
          <w:rFonts w:hint="eastAsia"/>
          <w:color w:val="auto"/>
          <w:sz w:val="21"/>
          <w:szCs w:val="21"/>
        </w:rPr>
        <w:t>1</w:t>
      </w:r>
      <w:bookmarkStart w:id="1838" w:name="_Toc297216207"/>
      <w:bookmarkStart w:id="1839" w:name="_Toc296346700"/>
      <w:bookmarkStart w:id="1840" w:name="_Toc296891027"/>
      <w:bookmarkStart w:id="1841" w:name="_Toc312678033"/>
      <w:bookmarkStart w:id="1842" w:name="_Toc312677507"/>
      <w:bookmarkStart w:id="1843" w:name="_Toc300934997"/>
      <w:bookmarkStart w:id="1844" w:name="_Toc296503199"/>
      <w:bookmarkStart w:id="1845" w:name="_Toc296944538"/>
      <w:bookmarkStart w:id="1846" w:name="_Toc304295574"/>
      <w:bookmarkStart w:id="1847" w:name="_Toc292559909"/>
      <w:bookmarkStart w:id="1848" w:name="_Toc297120499"/>
      <w:bookmarkStart w:id="1849" w:name="_Toc296891239"/>
      <w:bookmarkStart w:id="1850" w:name="_Toc297048385"/>
      <w:bookmarkStart w:id="1851" w:name="_Toc303539154"/>
      <w:bookmarkStart w:id="1852" w:name="_Toc297123548"/>
      <w:bookmarkStart w:id="1853" w:name="_Toc292559404"/>
      <w:bookmarkStart w:id="1854" w:name="_Toc296347198"/>
      <w:r>
        <w:rPr>
          <w:rFonts w:hint="eastAsia"/>
          <w:color w:val="auto"/>
          <w:sz w:val="21"/>
          <w:szCs w:val="21"/>
        </w:rPr>
        <w:t>0.7 暂估价</w:t>
      </w:r>
      <w:bookmarkEnd w:id="1836"/>
      <w:bookmarkEnd w:id="1837"/>
    </w:p>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14:paraId="14F5A98F">
      <w:pPr>
        <w:spacing w:line="360" w:lineRule="auto"/>
        <w:ind w:firstLine="420" w:firstLineChars="200"/>
        <w:jc w:val="left"/>
        <w:rPr>
          <w:rFonts w:ascii="宋体" w:hAnsi="宋体"/>
          <w:color w:val="auto"/>
          <w:szCs w:val="21"/>
        </w:rPr>
      </w:pPr>
      <w:r>
        <w:rPr>
          <w:rFonts w:hint="eastAsia" w:ascii="宋体" w:hAnsi="宋体"/>
          <w:color w:val="auto"/>
          <w:szCs w:val="21"/>
        </w:rPr>
        <w:t>专业工程暂估价：</w:t>
      </w:r>
      <w:r>
        <w:rPr>
          <w:rFonts w:hint="eastAsia" w:ascii="宋体" w:hAnsi="宋体"/>
          <w:color w:val="auto"/>
          <w:szCs w:val="21"/>
          <w:u w:val="single"/>
        </w:rPr>
        <w:t xml:space="preserve">        </w:t>
      </w:r>
      <w:r>
        <w:rPr>
          <w:rFonts w:hint="eastAsia" w:ascii="宋体" w:hAnsi="宋体"/>
          <w:color w:val="auto"/>
          <w:szCs w:val="21"/>
        </w:rPr>
        <w:t>万元。</w:t>
      </w:r>
    </w:p>
    <w:p w14:paraId="6E5496D8">
      <w:pPr>
        <w:spacing w:line="360" w:lineRule="auto"/>
        <w:ind w:firstLine="420" w:firstLineChars="200"/>
        <w:jc w:val="left"/>
        <w:rPr>
          <w:rFonts w:ascii="宋体" w:hAnsi="宋体"/>
          <w:color w:val="auto"/>
          <w:szCs w:val="21"/>
        </w:rPr>
      </w:pPr>
      <w:r>
        <w:rPr>
          <w:rFonts w:hint="eastAsia" w:ascii="宋体" w:hAnsi="宋体"/>
          <w:color w:val="auto"/>
          <w:szCs w:val="21"/>
        </w:rPr>
        <w:t>单项合同估算价在国家相关法律法规规定必须采购规模以下的，符合可以不采购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2536B6F7">
      <w:pPr>
        <w:spacing w:line="360" w:lineRule="auto"/>
        <w:ind w:firstLine="420" w:firstLineChars="200"/>
        <w:jc w:val="left"/>
        <w:rPr>
          <w:rFonts w:ascii="宋体" w:hAnsi="宋体"/>
          <w:color w:val="auto"/>
          <w:szCs w:val="21"/>
          <w:u w:val="single"/>
        </w:rPr>
      </w:pPr>
      <w:r>
        <w:rPr>
          <w:rFonts w:hint="eastAsia" w:ascii="宋体" w:hAnsi="宋体"/>
          <w:color w:val="auto"/>
          <w:szCs w:val="21"/>
        </w:rPr>
        <w:t>单项合同暂估价在国家相关法律法规规定必须采购规模以上的，需依法必须采购的，由承包人、发包人共同采购确定。</w:t>
      </w:r>
    </w:p>
    <w:p w14:paraId="4F2F6143">
      <w:pPr>
        <w:pStyle w:val="7"/>
        <w:spacing w:before="0" w:beforeAutospacing="0" w:after="0" w:afterAutospacing="0" w:line="360" w:lineRule="auto"/>
        <w:ind w:firstLine="422" w:firstLineChars="200"/>
        <w:rPr>
          <w:color w:val="auto"/>
          <w:sz w:val="21"/>
          <w:szCs w:val="21"/>
        </w:rPr>
      </w:pPr>
      <w:bookmarkStart w:id="1855" w:name="_Toc532377377"/>
      <w:bookmarkStart w:id="1856" w:name="_Toc532375641"/>
      <w:r>
        <w:rPr>
          <w:rFonts w:hint="eastAsia"/>
          <w:color w:val="auto"/>
          <w:sz w:val="21"/>
          <w:szCs w:val="21"/>
        </w:rPr>
        <w:t>10.8 暂列金额</w:t>
      </w:r>
      <w:bookmarkEnd w:id="1855"/>
      <w:bookmarkEnd w:id="1856"/>
    </w:p>
    <w:p w14:paraId="5804E969">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合同当事人关于暂列金额使用的约定：</w:t>
      </w:r>
      <w:r>
        <w:rPr>
          <w:rFonts w:hint="eastAsia" w:ascii="宋体" w:hAnsi="宋体"/>
          <w:color w:val="auto"/>
          <w:szCs w:val="21"/>
          <w:u w:val="single"/>
        </w:rPr>
        <w:t xml:space="preserve">        </w:t>
      </w:r>
      <w:r>
        <w:rPr>
          <w:rFonts w:hint="eastAsia" w:ascii="宋体" w:hAnsi="宋体"/>
          <w:color w:val="auto"/>
          <w:szCs w:val="21"/>
        </w:rPr>
        <w:t>。</w:t>
      </w:r>
    </w:p>
    <w:p w14:paraId="48FDF6AE">
      <w:pPr>
        <w:pStyle w:val="6"/>
        <w:keepNext/>
        <w:keepLines/>
        <w:spacing w:beforeLines="50" w:beforeAutospacing="0" w:afterLines="50" w:afterAutospacing="0" w:line="360" w:lineRule="auto"/>
        <w:jc w:val="both"/>
        <w:rPr>
          <w:bCs w:val="0"/>
          <w:color w:val="auto"/>
          <w:kern w:val="2"/>
          <w:sz w:val="21"/>
          <w:szCs w:val="21"/>
        </w:rPr>
      </w:pPr>
      <w:bookmarkStart w:id="1857" w:name="_Toc532377378"/>
      <w:bookmarkStart w:id="1858" w:name="_Toc532375642"/>
      <w:bookmarkStart w:id="1859" w:name="_Toc351203643"/>
      <w:r>
        <w:rPr>
          <w:rFonts w:hint="eastAsia"/>
          <w:color w:val="auto"/>
          <w:kern w:val="2"/>
          <w:sz w:val="21"/>
          <w:szCs w:val="21"/>
        </w:rPr>
        <w:t>11. 价格调整</w:t>
      </w:r>
      <w:bookmarkEnd w:id="1857"/>
      <w:bookmarkEnd w:id="1858"/>
      <w:bookmarkEnd w:id="1859"/>
    </w:p>
    <w:p w14:paraId="660AF634">
      <w:pPr>
        <w:pStyle w:val="7"/>
        <w:spacing w:before="0" w:beforeAutospacing="0" w:after="0" w:afterAutospacing="0" w:line="360" w:lineRule="auto"/>
        <w:ind w:firstLine="422" w:firstLineChars="200"/>
        <w:rPr>
          <w:color w:val="auto"/>
          <w:sz w:val="21"/>
          <w:szCs w:val="21"/>
        </w:rPr>
      </w:pPr>
      <w:bookmarkStart w:id="1860" w:name="_Toc532375643"/>
      <w:bookmarkStart w:id="1861" w:name="_Toc532377379"/>
      <w:bookmarkStart w:id="1862" w:name="_Toc297123550"/>
      <w:bookmarkStart w:id="1863" w:name="_Toc296503201"/>
      <w:bookmarkStart w:id="1864" w:name="_Toc312678039"/>
      <w:bookmarkStart w:id="1865" w:name="_Toc303539157"/>
      <w:bookmarkStart w:id="1866" w:name="_Toc292559911"/>
      <w:bookmarkStart w:id="1867" w:name="_Toc296891241"/>
      <w:bookmarkStart w:id="1868" w:name="_Toc297120501"/>
      <w:bookmarkStart w:id="1869" w:name="_Toc304295577"/>
      <w:bookmarkStart w:id="1870" w:name="_Toc297048387"/>
      <w:bookmarkStart w:id="1871" w:name="_Toc297216209"/>
      <w:bookmarkStart w:id="1872" w:name="_Toc296347200"/>
      <w:bookmarkStart w:id="1873" w:name="_Toc296346702"/>
      <w:bookmarkStart w:id="1874" w:name="_Toc296891029"/>
      <w:bookmarkStart w:id="1875" w:name="_Toc296944540"/>
      <w:bookmarkStart w:id="1876" w:name="_Toc292559406"/>
      <w:bookmarkStart w:id="1877" w:name="_Toc300935000"/>
      <w:r>
        <w:rPr>
          <w:rFonts w:hint="eastAsia"/>
          <w:color w:val="auto"/>
          <w:sz w:val="21"/>
          <w:szCs w:val="21"/>
        </w:rPr>
        <w:t>11.1 市场价格波动引起的调整</w:t>
      </w:r>
      <w:bookmarkEnd w:id="1860"/>
      <w:bookmarkEnd w:id="1861"/>
    </w:p>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14:paraId="518E4893">
      <w:pPr>
        <w:spacing w:line="360" w:lineRule="auto"/>
        <w:ind w:firstLine="420" w:firstLineChars="200"/>
        <w:jc w:val="left"/>
        <w:rPr>
          <w:rFonts w:ascii="宋体" w:hAnsi="宋体"/>
          <w:color w:val="auto"/>
          <w:szCs w:val="21"/>
          <w:u w:val="single"/>
        </w:rPr>
      </w:pPr>
      <w:bookmarkStart w:id="1878" w:name="_Toc467689641"/>
      <w:bookmarkStart w:id="1879" w:name="_Toc466913963"/>
      <w:bookmarkStart w:id="1880" w:name="_Toc466913513"/>
      <w:bookmarkStart w:id="1881" w:name="_Toc466911545"/>
      <w:r>
        <w:rPr>
          <w:rFonts w:hint="eastAsia" w:ascii="宋体" w:hAnsi="宋体"/>
          <w:color w:val="auto"/>
          <w:szCs w:val="21"/>
        </w:rPr>
        <w:t>市场价格波动是否调整合同价格的约定：</w:t>
      </w:r>
      <w:bookmarkEnd w:id="1740"/>
      <w:bookmarkEnd w:id="1741"/>
      <w:bookmarkEnd w:id="1742"/>
      <w:bookmarkEnd w:id="1743"/>
      <w:bookmarkEnd w:id="1744"/>
      <w:bookmarkEnd w:id="1745"/>
      <w:bookmarkEnd w:id="1878"/>
      <w:bookmarkEnd w:id="1879"/>
      <w:bookmarkEnd w:id="1880"/>
      <w:bookmarkEnd w:id="1881"/>
      <w:bookmarkStart w:id="1882" w:name="_Toc296891245"/>
      <w:bookmarkStart w:id="1883" w:name="_Toc296347204"/>
      <w:bookmarkStart w:id="1884" w:name="_Toc292559915"/>
      <w:bookmarkStart w:id="1885" w:name="_Toc297120505"/>
      <w:bookmarkStart w:id="1886" w:name="_Toc296503205"/>
      <w:bookmarkStart w:id="1887" w:name="_Toc296944544"/>
      <w:bookmarkStart w:id="1888" w:name="_Toc297048391"/>
      <w:bookmarkStart w:id="1889" w:name="_Toc292559410"/>
      <w:bookmarkStart w:id="1890" w:name="_Toc296346706"/>
      <w:bookmarkStart w:id="1891" w:name="_Toc296891033"/>
      <w:bookmarkStart w:id="1892" w:name="_Toc351203644"/>
      <w:bookmarkStart w:id="1893" w:name="_Toc312678040"/>
      <w:bookmarkStart w:id="1894" w:name="_Toc300935002"/>
      <w:bookmarkStart w:id="1895" w:name="_Toc297216211"/>
      <w:bookmarkStart w:id="1896" w:name="_Toc303539159"/>
      <w:bookmarkStart w:id="1897" w:name="_Toc304295579"/>
      <w:bookmarkStart w:id="1898" w:name="_Toc297123552"/>
      <w:r>
        <w:rPr>
          <w:rFonts w:hint="eastAsia" w:ascii="宋体" w:hAnsi="宋体" w:cs="宋体"/>
          <w:color w:val="auto"/>
          <w:kern w:val="0"/>
          <w:szCs w:val="21"/>
          <w:u w:val="single"/>
        </w:rPr>
        <w:t>本项目</w:t>
      </w:r>
      <w:r>
        <w:rPr>
          <w:rFonts w:hint="eastAsia" w:ascii="宋体" w:hAnsi="宋体" w:cs="宋体"/>
          <w:color w:val="auto"/>
          <w:szCs w:val="21"/>
          <w:u w:val="single"/>
        </w:rPr>
        <w:t>材料价格均不作调整</w:t>
      </w:r>
      <w:r>
        <w:rPr>
          <w:rFonts w:hint="eastAsia" w:ascii="宋体" w:hAnsi="宋体" w:cs="宋体"/>
          <w:color w:val="auto"/>
          <w:szCs w:val="21"/>
        </w:rPr>
        <w:t>。</w:t>
      </w:r>
    </w:p>
    <w:p w14:paraId="61283708">
      <w:pPr>
        <w:pStyle w:val="6"/>
        <w:keepNext/>
        <w:keepLines/>
        <w:spacing w:beforeLines="50" w:beforeAutospacing="0" w:afterLines="50" w:afterAutospacing="0" w:line="360" w:lineRule="auto"/>
        <w:jc w:val="both"/>
        <w:rPr>
          <w:bCs w:val="0"/>
          <w:color w:val="auto"/>
          <w:kern w:val="2"/>
          <w:sz w:val="21"/>
          <w:szCs w:val="21"/>
        </w:rPr>
      </w:pPr>
      <w:bookmarkStart w:id="1899" w:name="_Toc532375646"/>
      <w:bookmarkStart w:id="1900" w:name="_Toc532377382"/>
      <w:r>
        <w:rPr>
          <w:rFonts w:hint="eastAsia"/>
          <w:color w:val="auto"/>
          <w:kern w:val="2"/>
          <w:sz w:val="21"/>
          <w:szCs w:val="21"/>
        </w:rPr>
        <w:t xml:space="preserve">12. </w:t>
      </w:r>
      <w:bookmarkEnd w:id="1882"/>
      <w:bookmarkEnd w:id="1883"/>
      <w:bookmarkEnd w:id="1884"/>
      <w:bookmarkEnd w:id="1885"/>
      <w:bookmarkEnd w:id="1886"/>
      <w:bookmarkEnd w:id="1887"/>
      <w:bookmarkEnd w:id="1888"/>
      <w:bookmarkEnd w:id="1889"/>
      <w:bookmarkEnd w:id="1890"/>
      <w:bookmarkEnd w:id="1891"/>
      <w:r>
        <w:rPr>
          <w:rFonts w:hint="eastAsia"/>
          <w:color w:val="auto"/>
          <w:kern w:val="2"/>
          <w:sz w:val="21"/>
          <w:szCs w:val="21"/>
        </w:rPr>
        <w:t>合同价格、计量与支付</w:t>
      </w:r>
      <w:bookmarkEnd w:id="1892"/>
      <w:bookmarkEnd w:id="1899"/>
      <w:bookmarkEnd w:id="1900"/>
    </w:p>
    <w:bookmarkEnd w:id="1893"/>
    <w:bookmarkEnd w:id="1894"/>
    <w:bookmarkEnd w:id="1895"/>
    <w:bookmarkEnd w:id="1896"/>
    <w:bookmarkEnd w:id="1897"/>
    <w:bookmarkEnd w:id="1898"/>
    <w:p w14:paraId="0DE86A46">
      <w:pPr>
        <w:pStyle w:val="7"/>
        <w:spacing w:before="0" w:beforeAutospacing="0" w:after="0" w:afterAutospacing="0" w:line="360" w:lineRule="auto"/>
        <w:ind w:firstLine="422" w:firstLineChars="200"/>
        <w:rPr>
          <w:color w:val="auto"/>
          <w:sz w:val="21"/>
          <w:szCs w:val="21"/>
        </w:rPr>
      </w:pPr>
      <w:bookmarkStart w:id="1901" w:name="_Toc267251461"/>
      <w:bookmarkStart w:id="1902" w:name="_Toc292559916"/>
      <w:bookmarkStart w:id="1903" w:name="_Toc292559411"/>
      <w:bookmarkStart w:id="1904" w:name="_Toc297120506"/>
      <w:bookmarkStart w:id="1905" w:name="_Toc296891034"/>
      <w:bookmarkStart w:id="1906" w:name="_Toc296944545"/>
      <w:bookmarkStart w:id="1907" w:name="_Toc296346707"/>
      <w:bookmarkStart w:id="1908" w:name="_Toc296347205"/>
      <w:bookmarkStart w:id="1909" w:name="_Toc297048392"/>
      <w:bookmarkStart w:id="1910" w:name="_Toc296503206"/>
      <w:bookmarkStart w:id="1911" w:name="_Toc296891246"/>
      <w:bookmarkStart w:id="1912" w:name="_Toc532377383"/>
      <w:bookmarkStart w:id="1913" w:name="_Toc532375647"/>
      <w:bookmarkStart w:id="1914" w:name="_Toc303539160"/>
      <w:bookmarkStart w:id="1915" w:name="_Toc304295580"/>
      <w:bookmarkStart w:id="1916" w:name="_Toc312678041"/>
      <w:bookmarkStart w:id="1917" w:name="_Toc300935003"/>
      <w:bookmarkStart w:id="1918" w:name="_Toc297216212"/>
      <w:bookmarkStart w:id="1919" w:name="_Toc297123553"/>
      <w:r>
        <w:rPr>
          <w:rFonts w:hint="eastAsia"/>
          <w:color w:val="auto"/>
          <w:sz w:val="21"/>
          <w:szCs w:val="21"/>
        </w:rPr>
        <w:t>12.1 合</w:t>
      </w:r>
      <w:bookmarkEnd w:id="1901"/>
      <w:bookmarkEnd w:id="1902"/>
      <w:bookmarkEnd w:id="1903"/>
      <w:r>
        <w:rPr>
          <w:rFonts w:hint="eastAsia"/>
          <w:color w:val="auto"/>
          <w:sz w:val="21"/>
          <w:szCs w:val="21"/>
        </w:rPr>
        <w:t>同价</w:t>
      </w:r>
      <w:bookmarkEnd w:id="1904"/>
      <w:bookmarkEnd w:id="1905"/>
      <w:bookmarkEnd w:id="1906"/>
      <w:bookmarkEnd w:id="1907"/>
      <w:bookmarkEnd w:id="1908"/>
      <w:bookmarkEnd w:id="1909"/>
      <w:bookmarkEnd w:id="1910"/>
      <w:bookmarkEnd w:id="1911"/>
      <w:r>
        <w:rPr>
          <w:rFonts w:hint="eastAsia"/>
          <w:color w:val="auto"/>
          <w:sz w:val="21"/>
          <w:szCs w:val="21"/>
        </w:rPr>
        <w:t>格形式</w:t>
      </w:r>
      <w:bookmarkEnd w:id="1912"/>
      <w:bookmarkEnd w:id="1913"/>
    </w:p>
    <w:bookmarkEnd w:id="1914"/>
    <w:bookmarkEnd w:id="1915"/>
    <w:bookmarkEnd w:id="1916"/>
    <w:bookmarkEnd w:id="1917"/>
    <w:bookmarkEnd w:id="1918"/>
    <w:bookmarkEnd w:id="1919"/>
    <w:p w14:paraId="6B64716C">
      <w:pPr>
        <w:spacing w:line="360" w:lineRule="auto"/>
        <w:ind w:firstLine="420" w:firstLineChars="200"/>
        <w:jc w:val="left"/>
        <w:rPr>
          <w:rFonts w:ascii="宋体" w:hAnsi="宋体"/>
          <w:color w:val="auto"/>
          <w:szCs w:val="21"/>
        </w:rPr>
      </w:pPr>
      <w:r>
        <w:rPr>
          <w:rFonts w:hint="eastAsia" w:ascii="宋体" w:hAnsi="宋体"/>
          <w:color w:val="auto"/>
          <w:szCs w:val="21"/>
        </w:rPr>
        <w:t>1、单价合同。</w:t>
      </w:r>
    </w:p>
    <w:p w14:paraId="3031EF72">
      <w:pPr>
        <w:spacing w:line="360" w:lineRule="auto"/>
        <w:ind w:firstLine="420" w:firstLineChars="200"/>
        <w:jc w:val="left"/>
        <w:rPr>
          <w:rFonts w:ascii="宋体" w:hAnsi="宋体"/>
          <w:color w:val="auto"/>
          <w:szCs w:val="21"/>
          <w:u w:val="single"/>
        </w:rPr>
      </w:pPr>
      <w:r>
        <w:rPr>
          <w:rFonts w:hint="eastAsia" w:ascii="宋体" w:hAnsi="宋体"/>
          <w:color w:val="auto"/>
          <w:szCs w:val="21"/>
        </w:rPr>
        <w:t>综合单价包含的风险范围：</w:t>
      </w:r>
      <w:r>
        <w:rPr>
          <w:rFonts w:hint="eastAsia" w:ascii="宋体" w:hAnsi="宋体"/>
          <w:color w:val="auto"/>
          <w:szCs w:val="21"/>
          <w:u w:val="single"/>
        </w:rPr>
        <w:t>包括但不限于为实施和完成合同工程所需的人工费、材料费、施工机具使用费、企业管理费、利润、风险费、施工技术措施项目费、施工组织措施项目费及缺陷修复等费用，以及</w:t>
      </w:r>
      <w:bookmarkStart w:id="1920" w:name="_Hlk528508096"/>
      <w:r>
        <w:rPr>
          <w:rFonts w:hint="eastAsia" w:ascii="宋体" w:hAnsi="宋体"/>
          <w:color w:val="auto"/>
          <w:szCs w:val="21"/>
          <w:u w:val="single"/>
        </w:rPr>
        <w:t>第11.1款〔市场价格波动引起的调整〕约定范围内的市场价格波动风险、政策性文件规定的各项应有费用、</w:t>
      </w:r>
      <w:bookmarkEnd w:id="1920"/>
      <w:r>
        <w:rPr>
          <w:rFonts w:hint="eastAsia" w:ascii="宋体" w:hAnsi="宋体"/>
          <w:color w:val="auto"/>
          <w:szCs w:val="21"/>
          <w:u w:val="single"/>
        </w:rPr>
        <w:t>采购文件和合同明示或暗示的应由承包人承担的所有责任、义务和风险等所需的费用</w:t>
      </w:r>
      <w:r>
        <w:rPr>
          <w:rFonts w:hint="eastAsia" w:ascii="宋体" w:hAnsi="宋体"/>
          <w:color w:val="auto"/>
          <w:szCs w:val="21"/>
        </w:rPr>
        <w:t>。</w:t>
      </w:r>
    </w:p>
    <w:p w14:paraId="7FE66624">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风险费用的计算方法：</w:t>
      </w:r>
      <w:r>
        <w:rPr>
          <w:rFonts w:hint="eastAsia" w:ascii="宋体" w:hAnsi="宋体"/>
          <w:color w:val="auto"/>
          <w:szCs w:val="21"/>
          <w:u w:val="single"/>
        </w:rPr>
        <w:t>由承包人自行考虑并计入签约合同价格中，包干使用</w:t>
      </w:r>
      <w:r>
        <w:rPr>
          <w:rFonts w:hint="eastAsia" w:ascii="宋体" w:hAnsi="宋体"/>
          <w:color w:val="auto"/>
          <w:szCs w:val="21"/>
        </w:rPr>
        <w:t>。</w:t>
      </w:r>
    </w:p>
    <w:p w14:paraId="7FECA778">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风险范围以外合同价格的调整方法：</w:t>
      </w:r>
      <w:r>
        <w:rPr>
          <w:rFonts w:hint="eastAsia" w:ascii="宋体" w:hAnsi="宋体"/>
          <w:color w:val="auto"/>
          <w:szCs w:val="21"/>
          <w:u w:val="single"/>
        </w:rPr>
        <w:t>按照合同相关条款约定执行</w:t>
      </w:r>
      <w:r>
        <w:rPr>
          <w:rFonts w:hint="eastAsia" w:ascii="宋体" w:hAnsi="宋体"/>
          <w:color w:val="auto"/>
          <w:szCs w:val="21"/>
        </w:rPr>
        <w:t>。</w:t>
      </w:r>
    </w:p>
    <w:p w14:paraId="4C6E1784">
      <w:pPr>
        <w:spacing w:line="360" w:lineRule="auto"/>
        <w:ind w:firstLine="420" w:firstLineChars="200"/>
        <w:jc w:val="left"/>
        <w:rPr>
          <w:rFonts w:ascii="宋体" w:hAnsi="宋体"/>
          <w:color w:val="auto"/>
          <w:szCs w:val="21"/>
        </w:rPr>
      </w:pPr>
      <w:r>
        <w:rPr>
          <w:rFonts w:hint="eastAsia" w:ascii="宋体" w:hAnsi="宋体"/>
          <w:color w:val="auto"/>
          <w:szCs w:val="21"/>
        </w:rPr>
        <w:t>2、总价合同。</w:t>
      </w:r>
    </w:p>
    <w:p w14:paraId="730F51BF">
      <w:pPr>
        <w:spacing w:line="360" w:lineRule="auto"/>
        <w:ind w:firstLine="420" w:firstLineChars="200"/>
        <w:jc w:val="left"/>
        <w:rPr>
          <w:rFonts w:ascii="宋体" w:hAnsi="宋体"/>
          <w:color w:val="auto"/>
          <w:szCs w:val="21"/>
          <w:u w:val="single"/>
        </w:rPr>
      </w:pPr>
      <w:r>
        <w:rPr>
          <w:rFonts w:hint="eastAsia" w:ascii="宋体" w:hAnsi="宋体"/>
          <w:color w:val="auto"/>
          <w:szCs w:val="21"/>
        </w:rPr>
        <w:t>总价包含的风险范围：</w:t>
      </w:r>
      <w:r>
        <w:rPr>
          <w:rFonts w:hint="eastAsia" w:ascii="宋体" w:hAnsi="宋体"/>
          <w:color w:val="auto"/>
          <w:szCs w:val="21"/>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采购文件和合同明示或暗示的应由承包人承担的所有责任、义务和风险等所需的费用</w:t>
      </w:r>
      <w:r>
        <w:rPr>
          <w:rFonts w:hint="eastAsia" w:ascii="宋体" w:hAnsi="宋体"/>
          <w:color w:val="auto"/>
          <w:szCs w:val="21"/>
        </w:rPr>
        <w:t>。</w:t>
      </w:r>
    </w:p>
    <w:p w14:paraId="57491C89">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风险费用的计算方法：</w:t>
      </w:r>
      <w:r>
        <w:rPr>
          <w:rFonts w:hint="eastAsia" w:ascii="宋体" w:hAnsi="宋体"/>
          <w:color w:val="auto"/>
          <w:szCs w:val="21"/>
          <w:u w:val="single"/>
        </w:rPr>
        <w:t>由承包人自行考虑并计入签约合同价格中，包干使用</w:t>
      </w:r>
      <w:r>
        <w:rPr>
          <w:rFonts w:hint="eastAsia" w:ascii="宋体" w:hAnsi="宋体"/>
          <w:color w:val="auto"/>
          <w:szCs w:val="21"/>
        </w:rPr>
        <w:t>。</w:t>
      </w:r>
    </w:p>
    <w:p w14:paraId="2F8FAC7B">
      <w:pPr>
        <w:spacing w:line="360" w:lineRule="auto"/>
        <w:ind w:firstLine="420" w:firstLineChars="200"/>
        <w:jc w:val="left"/>
        <w:rPr>
          <w:rFonts w:ascii="宋体" w:hAnsi="宋体"/>
          <w:color w:val="auto"/>
          <w:szCs w:val="21"/>
        </w:rPr>
      </w:pPr>
      <w:r>
        <w:rPr>
          <w:rFonts w:hint="eastAsia" w:ascii="宋体" w:hAnsi="宋体"/>
          <w:color w:val="auto"/>
          <w:szCs w:val="21"/>
        </w:rPr>
        <w:t>风险范围以外合同价格的调整方法：</w:t>
      </w:r>
      <w:r>
        <w:rPr>
          <w:rFonts w:hint="eastAsia" w:ascii="宋体" w:hAnsi="宋体"/>
          <w:color w:val="auto"/>
          <w:szCs w:val="21"/>
          <w:u w:val="single"/>
        </w:rPr>
        <w:t>按照合同相关条款约定执行</w:t>
      </w:r>
      <w:r>
        <w:rPr>
          <w:rFonts w:hint="eastAsia" w:ascii="宋体" w:hAnsi="宋体"/>
          <w:color w:val="auto"/>
          <w:szCs w:val="21"/>
        </w:rPr>
        <w:t>。</w:t>
      </w:r>
    </w:p>
    <w:p w14:paraId="78CFE99E">
      <w:pPr>
        <w:spacing w:line="360" w:lineRule="auto"/>
        <w:ind w:firstLine="420" w:firstLineChars="200"/>
        <w:jc w:val="left"/>
        <w:rPr>
          <w:rFonts w:ascii="宋体" w:hAnsi="宋体"/>
          <w:color w:val="auto"/>
          <w:szCs w:val="21"/>
        </w:rPr>
      </w:pPr>
      <w:r>
        <w:rPr>
          <w:rFonts w:hint="eastAsia" w:ascii="宋体" w:hAnsi="宋体"/>
          <w:color w:val="auto"/>
          <w:szCs w:val="21"/>
        </w:rPr>
        <w:t>3、其他价格方式：</w:t>
      </w:r>
      <w:r>
        <w:rPr>
          <w:rFonts w:hint="eastAsia" w:ascii="宋体" w:hAnsi="宋体"/>
          <w:color w:val="auto"/>
          <w:szCs w:val="21"/>
          <w:u w:val="single"/>
        </w:rPr>
        <w:t>不采用</w:t>
      </w:r>
      <w:r>
        <w:rPr>
          <w:rFonts w:hint="eastAsia" w:ascii="宋体" w:hAnsi="宋体"/>
          <w:color w:val="auto"/>
          <w:szCs w:val="21"/>
        </w:rPr>
        <w:t>。</w:t>
      </w:r>
    </w:p>
    <w:p w14:paraId="50DE2252">
      <w:pPr>
        <w:pStyle w:val="7"/>
        <w:spacing w:before="0" w:beforeAutospacing="0" w:after="0" w:afterAutospacing="0" w:line="360" w:lineRule="auto"/>
        <w:ind w:firstLine="422" w:firstLineChars="200"/>
        <w:rPr>
          <w:color w:val="auto"/>
          <w:sz w:val="21"/>
          <w:szCs w:val="21"/>
        </w:rPr>
      </w:pPr>
      <w:bookmarkStart w:id="1921" w:name="_Toc532377384"/>
      <w:bookmarkStart w:id="1922" w:name="_Toc532375648"/>
      <w:bookmarkStart w:id="1923" w:name="_Toc304295581"/>
      <w:bookmarkStart w:id="1924" w:name="_Toc297123554"/>
      <w:bookmarkStart w:id="1925" w:name="_Toc297216213"/>
      <w:bookmarkStart w:id="1926" w:name="_Toc303539161"/>
      <w:bookmarkStart w:id="1927" w:name="_Toc300935004"/>
      <w:bookmarkStart w:id="1928" w:name="_Toc312678042"/>
      <w:bookmarkStart w:id="1929" w:name="_Toc292559917"/>
      <w:bookmarkStart w:id="1930" w:name="_Toc297048393"/>
      <w:bookmarkStart w:id="1931" w:name="_Toc296346708"/>
      <w:bookmarkStart w:id="1932" w:name="_Toc296503207"/>
      <w:bookmarkStart w:id="1933" w:name="_Toc296891247"/>
      <w:bookmarkStart w:id="1934" w:name="_Toc296891035"/>
      <w:bookmarkStart w:id="1935" w:name="_Toc297120507"/>
      <w:bookmarkStart w:id="1936" w:name="_Toc296347206"/>
      <w:bookmarkStart w:id="1937" w:name="_Toc292559412"/>
      <w:bookmarkStart w:id="1938" w:name="_Toc296944546"/>
      <w:r>
        <w:rPr>
          <w:rFonts w:hint="eastAsia"/>
          <w:color w:val="auto"/>
          <w:sz w:val="21"/>
          <w:szCs w:val="21"/>
        </w:rPr>
        <w:t>12.2 预付款</w:t>
      </w:r>
      <w:bookmarkEnd w:id="1921"/>
      <w:bookmarkEnd w:id="1922"/>
    </w:p>
    <w:bookmarkEnd w:id="1923"/>
    <w:bookmarkEnd w:id="1924"/>
    <w:bookmarkEnd w:id="1925"/>
    <w:bookmarkEnd w:id="1926"/>
    <w:bookmarkEnd w:id="1927"/>
    <w:bookmarkEnd w:id="1928"/>
    <w:p w14:paraId="3FC19173">
      <w:pPr>
        <w:spacing w:line="360" w:lineRule="auto"/>
        <w:ind w:firstLine="420" w:firstLineChars="200"/>
        <w:jc w:val="left"/>
        <w:rPr>
          <w:rFonts w:ascii="宋体" w:hAnsi="宋体"/>
          <w:color w:val="auto"/>
          <w:szCs w:val="21"/>
        </w:rPr>
      </w:pPr>
      <w:r>
        <w:rPr>
          <w:rFonts w:hint="eastAsia" w:ascii="宋体" w:hAnsi="宋体"/>
          <w:color w:val="auto"/>
          <w:szCs w:val="21"/>
        </w:rPr>
        <w:t>12.2.1 预付款的支付：无。</w:t>
      </w:r>
    </w:p>
    <w:bookmarkEnd w:id="1929"/>
    <w:bookmarkEnd w:id="1930"/>
    <w:bookmarkEnd w:id="1931"/>
    <w:bookmarkEnd w:id="1932"/>
    <w:bookmarkEnd w:id="1933"/>
    <w:bookmarkEnd w:id="1934"/>
    <w:bookmarkEnd w:id="1935"/>
    <w:bookmarkEnd w:id="1936"/>
    <w:bookmarkEnd w:id="1937"/>
    <w:bookmarkEnd w:id="1938"/>
    <w:p w14:paraId="0EF0244E">
      <w:pPr>
        <w:pStyle w:val="7"/>
        <w:spacing w:before="0" w:beforeAutospacing="0" w:after="0" w:afterAutospacing="0" w:line="360" w:lineRule="auto"/>
        <w:ind w:firstLine="422" w:firstLineChars="200"/>
        <w:rPr>
          <w:color w:val="auto"/>
          <w:sz w:val="21"/>
          <w:szCs w:val="21"/>
        </w:rPr>
      </w:pPr>
      <w:bookmarkStart w:id="1939" w:name="_Toc532377385"/>
      <w:bookmarkStart w:id="1940" w:name="_Toc532375649"/>
      <w:r>
        <w:rPr>
          <w:rFonts w:hint="eastAsia"/>
          <w:color w:val="auto"/>
          <w:sz w:val="21"/>
          <w:szCs w:val="21"/>
        </w:rPr>
        <w:t>12.3 计量</w:t>
      </w:r>
      <w:bookmarkEnd w:id="1939"/>
      <w:bookmarkEnd w:id="1940"/>
    </w:p>
    <w:p w14:paraId="35795700">
      <w:pPr>
        <w:spacing w:line="360" w:lineRule="auto"/>
        <w:ind w:firstLine="420" w:firstLineChars="200"/>
        <w:jc w:val="left"/>
        <w:rPr>
          <w:rFonts w:ascii="宋体" w:hAnsi="宋体"/>
          <w:color w:val="auto"/>
          <w:szCs w:val="21"/>
        </w:rPr>
      </w:pPr>
      <w:bookmarkStart w:id="1941" w:name="_Hlk528928260"/>
      <w:r>
        <w:rPr>
          <w:rFonts w:hint="eastAsia" w:ascii="宋体" w:hAnsi="宋体"/>
          <w:color w:val="auto"/>
          <w:szCs w:val="21"/>
        </w:rPr>
        <w:t>12.3.1 计量原则</w:t>
      </w:r>
    </w:p>
    <w:p w14:paraId="08AD5F45">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bookmarkEnd w:id="1941"/>
    <w:p w14:paraId="7AFFEEEC">
      <w:pPr>
        <w:spacing w:line="360" w:lineRule="auto"/>
        <w:ind w:firstLine="420" w:firstLineChars="200"/>
        <w:jc w:val="left"/>
        <w:rPr>
          <w:rFonts w:ascii="宋体" w:hAnsi="宋体"/>
          <w:color w:val="auto"/>
          <w:szCs w:val="21"/>
        </w:rPr>
      </w:pPr>
      <w:r>
        <w:rPr>
          <w:rFonts w:hint="eastAsia" w:ascii="宋体" w:hAnsi="宋体"/>
          <w:color w:val="auto"/>
          <w:szCs w:val="21"/>
        </w:rPr>
        <w:t>12.3.2 计量周期</w:t>
      </w:r>
    </w:p>
    <w:p w14:paraId="4E9ECE09">
      <w:pPr>
        <w:spacing w:line="360" w:lineRule="auto"/>
        <w:ind w:firstLine="420" w:firstLineChars="200"/>
        <w:jc w:val="left"/>
        <w:rPr>
          <w:rFonts w:ascii="宋体" w:hAnsi="宋体"/>
          <w:color w:val="auto"/>
          <w:szCs w:val="21"/>
        </w:rPr>
      </w:pPr>
      <w:r>
        <w:rPr>
          <w:rFonts w:hint="eastAsia" w:ascii="宋体" w:hAnsi="宋体"/>
          <w:color w:val="auto"/>
          <w:szCs w:val="21"/>
        </w:rPr>
        <w:t>关于计量周期的约定：</w:t>
      </w:r>
      <w:r>
        <w:rPr>
          <w:rFonts w:hint="eastAsia" w:ascii="宋体" w:hAnsi="宋体"/>
          <w:color w:val="auto"/>
          <w:szCs w:val="21"/>
          <w:u w:val="single"/>
        </w:rPr>
        <w:t>按月计量根据具体项目实际情况可以按月、按进度、按节点等形式计量，按进度、按节点计量的参考按月计量原则执行）</w:t>
      </w:r>
      <w:r>
        <w:rPr>
          <w:rFonts w:hint="eastAsia" w:ascii="宋体" w:hAnsi="宋体"/>
          <w:color w:val="auto"/>
          <w:szCs w:val="21"/>
        </w:rPr>
        <w:t>。</w:t>
      </w:r>
    </w:p>
    <w:p w14:paraId="66B32F12">
      <w:pPr>
        <w:spacing w:line="360" w:lineRule="auto"/>
        <w:ind w:firstLine="420" w:firstLineChars="200"/>
        <w:jc w:val="left"/>
        <w:rPr>
          <w:rFonts w:ascii="宋体" w:hAnsi="宋体"/>
          <w:color w:val="auto"/>
          <w:szCs w:val="21"/>
        </w:rPr>
      </w:pPr>
      <w:r>
        <w:rPr>
          <w:rFonts w:hint="eastAsia" w:ascii="宋体" w:hAnsi="宋体"/>
          <w:color w:val="auto"/>
          <w:szCs w:val="21"/>
        </w:rPr>
        <w:t>12.3.3 单价合同的计量</w:t>
      </w:r>
    </w:p>
    <w:p w14:paraId="5B46EE80">
      <w:pPr>
        <w:spacing w:line="360" w:lineRule="auto"/>
        <w:ind w:firstLine="420" w:firstLineChars="200"/>
        <w:jc w:val="left"/>
        <w:rPr>
          <w:rFonts w:ascii="宋体" w:hAnsi="宋体"/>
          <w:color w:val="auto"/>
          <w:szCs w:val="21"/>
        </w:rPr>
      </w:pPr>
      <w:r>
        <w:rPr>
          <w:rFonts w:hint="eastAsia" w:ascii="宋体" w:hAnsi="宋体"/>
          <w:color w:val="auto"/>
          <w:szCs w:val="21"/>
        </w:rPr>
        <w:t>关于单价合同计量的约定：</w:t>
      </w:r>
    </w:p>
    <w:p w14:paraId="39C680FE">
      <w:pPr>
        <w:spacing w:line="360" w:lineRule="auto"/>
        <w:ind w:firstLine="420" w:firstLineChars="200"/>
        <w:jc w:val="left"/>
        <w:rPr>
          <w:rFonts w:ascii="宋体" w:hAnsi="宋体"/>
          <w:color w:val="auto"/>
          <w:szCs w:val="21"/>
          <w:u w:val="single"/>
        </w:rPr>
      </w:pPr>
      <w:bookmarkStart w:id="1942" w:name="_Hlk528926162"/>
      <w:r>
        <w:rPr>
          <w:rFonts w:hint="eastAsia" w:ascii="宋体" w:hAnsi="宋体"/>
          <w:color w:val="auto"/>
          <w:szCs w:val="21"/>
          <w:u w:val="single"/>
        </w:rPr>
        <w:t>（1）承包人应于当月25日前向监理人报送上月已完成的工程量，并附进度付款申请单、已完成工程量报表和其他有关资料</w:t>
      </w:r>
      <w:r>
        <w:rPr>
          <w:rFonts w:hint="eastAsia" w:ascii="宋体" w:hAnsi="宋体"/>
          <w:color w:val="auto"/>
          <w:szCs w:val="21"/>
        </w:rPr>
        <w:t>。</w:t>
      </w:r>
    </w:p>
    <w:bookmarkEnd w:id="1942"/>
    <w:p w14:paraId="01E069D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（2）承包人未在已标价的工程量清单中填入单价和（或）总价的子目，视为该子目的费用已包含合同工程的其他子目的单价或总价中，不再另行计量支付</w:t>
      </w:r>
      <w:r>
        <w:rPr>
          <w:rFonts w:hint="eastAsia" w:ascii="宋体" w:hAnsi="宋体"/>
          <w:color w:val="auto"/>
          <w:szCs w:val="21"/>
        </w:rPr>
        <w:t>。</w:t>
      </w:r>
    </w:p>
    <w:p w14:paraId="1356AC0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color w:val="auto"/>
          <w:szCs w:val="21"/>
        </w:rPr>
        <w:t>。</w:t>
      </w:r>
    </w:p>
    <w:p w14:paraId="0050D656">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color w:val="auto"/>
          <w:szCs w:val="21"/>
        </w:rPr>
        <w:t>。</w:t>
      </w:r>
    </w:p>
    <w:p w14:paraId="11AA742E">
      <w:pPr>
        <w:spacing w:line="360" w:lineRule="auto"/>
        <w:ind w:firstLine="420" w:firstLineChars="200"/>
        <w:jc w:val="left"/>
        <w:rPr>
          <w:rFonts w:ascii="宋体" w:hAnsi="宋体"/>
          <w:color w:val="auto"/>
          <w:szCs w:val="21"/>
        </w:rPr>
      </w:pPr>
      <w:r>
        <w:rPr>
          <w:rFonts w:hint="eastAsia" w:ascii="宋体" w:hAnsi="宋体"/>
          <w:color w:val="auto"/>
          <w:szCs w:val="21"/>
        </w:rPr>
        <w:t>12.3.4 总价合同的计量</w:t>
      </w:r>
    </w:p>
    <w:p w14:paraId="20918D22">
      <w:pPr>
        <w:spacing w:line="360" w:lineRule="auto"/>
        <w:ind w:firstLine="420" w:firstLineChars="200"/>
        <w:jc w:val="left"/>
        <w:rPr>
          <w:rFonts w:ascii="宋体" w:hAnsi="宋体"/>
          <w:color w:val="auto"/>
          <w:szCs w:val="21"/>
        </w:rPr>
      </w:pPr>
      <w:r>
        <w:rPr>
          <w:rFonts w:hint="eastAsia" w:ascii="宋体" w:hAnsi="宋体"/>
          <w:color w:val="auto"/>
          <w:szCs w:val="21"/>
        </w:rPr>
        <w:t>关于总价合同计量的约定：</w:t>
      </w:r>
      <w:r>
        <w:rPr>
          <w:rFonts w:hint="eastAsia" w:ascii="宋体" w:hAnsi="宋体"/>
          <w:color w:val="auto"/>
          <w:szCs w:val="21"/>
          <w:u w:val="single"/>
        </w:rPr>
        <w:t>按形象进度比例支付</w:t>
      </w:r>
      <w:r>
        <w:rPr>
          <w:rFonts w:hint="eastAsia" w:ascii="宋体" w:hAnsi="宋体"/>
          <w:color w:val="auto"/>
          <w:szCs w:val="21"/>
        </w:rPr>
        <w:t>。</w:t>
      </w:r>
    </w:p>
    <w:p w14:paraId="0087449B">
      <w:pPr>
        <w:spacing w:line="360" w:lineRule="auto"/>
        <w:ind w:firstLine="420" w:firstLineChars="200"/>
        <w:jc w:val="left"/>
        <w:rPr>
          <w:rFonts w:ascii="宋体" w:hAnsi="宋体"/>
          <w:color w:val="auto"/>
          <w:szCs w:val="21"/>
        </w:rPr>
      </w:pPr>
      <w:r>
        <w:rPr>
          <w:rFonts w:hint="eastAsia" w:ascii="宋体" w:hAnsi="宋体"/>
          <w:color w:val="auto"/>
          <w:szCs w:val="21"/>
        </w:rPr>
        <w:t>12.3.5总价合同采用支付分解表计量支付的，是否适用第12.3.4项〔总价合同的计量〕约定进行计量：</w:t>
      </w:r>
      <w:r>
        <w:rPr>
          <w:rFonts w:hint="eastAsia" w:ascii="宋体" w:hAnsi="宋体"/>
          <w:color w:val="auto"/>
          <w:szCs w:val="21"/>
          <w:u w:val="single"/>
        </w:rPr>
        <w:t>适用</w:t>
      </w:r>
      <w:r>
        <w:rPr>
          <w:rFonts w:hint="eastAsia" w:ascii="宋体" w:hAnsi="宋体"/>
          <w:color w:val="auto"/>
          <w:szCs w:val="21"/>
        </w:rPr>
        <w:t>。</w:t>
      </w:r>
    </w:p>
    <w:p w14:paraId="440623BF">
      <w:pPr>
        <w:spacing w:line="360" w:lineRule="auto"/>
        <w:ind w:firstLine="420" w:firstLineChars="200"/>
        <w:jc w:val="left"/>
        <w:rPr>
          <w:rFonts w:ascii="宋体" w:hAnsi="宋体"/>
          <w:color w:val="auto"/>
          <w:szCs w:val="21"/>
        </w:rPr>
      </w:pPr>
      <w:r>
        <w:rPr>
          <w:rFonts w:hint="eastAsia" w:ascii="宋体" w:hAnsi="宋体"/>
          <w:color w:val="auto"/>
          <w:szCs w:val="21"/>
        </w:rPr>
        <w:t>12.3.6 其他价格形式合同的计量</w:t>
      </w:r>
    </w:p>
    <w:p w14:paraId="14FD9546">
      <w:pPr>
        <w:spacing w:line="360" w:lineRule="auto"/>
        <w:ind w:firstLine="420" w:firstLineChars="200"/>
        <w:jc w:val="left"/>
        <w:rPr>
          <w:rFonts w:ascii="宋体" w:hAnsi="宋体"/>
          <w:color w:val="auto"/>
          <w:szCs w:val="21"/>
        </w:rPr>
      </w:pPr>
      <w:r>
        <w:rPr>
          <w:rFonts w:hint="eastAsia" w:ascii="宋体" w:hAnsi="宋体"/>
          <w:color w:val="auto"/>
          <w:szCs w:val="21"/>
        </w:rPr>
        <w:t>其他价格形式的计量方式和程序：</w:t>
      </w:r>
      <w:r>
        <w:rPr>
          <w:rFonts w:hint="eastAsia" w:ascii="宋体" w:hAnsi="宋体"/>
          <w:color w:val="auto"/>
          <w:szCs w:val="21"/>
          <w:u w:val="single"/>
        </w:rPr>
        <w:t>不采用</w:t>
      </w:r>
      <w:r>
        <w:rPr>
          <w:rFonts w:hint="eastAsia" w:ascii="宋体" w:hAnsi="宋体"/>
          <w:color w:val="auto"/>
          <w:szCs w:val="21"/>
        </w:rPr>
        <w:t>。</w:t>
      </w:r>
    </w:p>
    <w:p w14:paraId="10695029">
      <w:pPr>
        <w:pStyle w:val="7"/>
        <w:spacing w:before="0" w:beforeAutospacing="0" w:after="0" w:afterAutospacing="0" w:line="360" w:lineRule="auto"/>
        <w:ind w:firstLine="422" w:firstLineChars="200"/>
        <w:rPr>
          <w:color w:val="auto"/>
          <w:sz w:val="21"/>
          <w:szCs w:val="21"/>
        </w:rPr>
      </w:pPr>
      <w:bookmarkStart w:id="1943" w:name="_Toc532375650"/>
      <w:bookmarkStart w:id="1944" w:name="_Toc532377386"/>
      <w:bookmarkStart w:id="1945" w:name="_Hlk528928289"/>
      <w:r>
        <w:rPr>
          <w:rFonts w:hint="eastAsia"/>
          <w:color w:val="auto"/>
          <w:sz w:val="21"/>
          <w:szCs w:val="21"/>
        </w:rPr>
        <w:t>12.4 工程进度款支付</w:t>
      </w:r>
      <w:bookmarkEnd w:id="1943"/>
      <w:bookmarkEnd w:id="1944"/>
    </w:p>
    <w:bookmarkEnd w:id="1945"/>
    <w:p w14:paraId="7A50D0D1">
      <w:pPr>
        <w:spacing w:line="360" w:lineRule="auto"/>
        <w:ind w:firstLine="420" w:firstLineChars="200"/>
        <w:jc w:val="left"/>
        <w:rPr>
          <w:rFonts w:ascii="宋体" w:hAnsi="宋体"/>
          <w:color w:val="auto"/>
          <w:szCs w:val="21"/>
        </w:rPr>
      </w:pPr>
      <w:r>
        <w:rPr>
          <w:rFonts w:hint="eastAsia" w:ascii="宋体" w:hAnsi="宋体"/>
          <w:color w:val="auto"/>
          <w:szCs w:val="21"/>
        </w:rPr>
        <w:t>12.4.1 付款周期</w:t>
      </w:r>
    </w:p>
    <w:p w14:paraId="5A5F759C">
      <w:pPr>
        <w:spacing w:line="360" w:lineRule="auto"/>
        <w:ind w:firstLine="420" w:firstLineChars="200"/>
        <w:jc w:val="left"/>
        <w:rPr>
          <w:rFonts w:ascii="宋体" w:hAnsi="宋体"/>
          <w:color w:val="auto"/>
          <w:szCs w:val="21"/>
        </w:rPr>
      </w:pPr>
      <w:r>
        <w:rPr>
          <w:rFonts w:hint="eastAsia" w:ascii="宋体" w:hAnsi="宋体"/>
          <w:color w:val="auto"/>
          <w:szCs w:val="21"/>
        </w:rPr>
        <w:t>关于付款周期的约定：</w:t>
      </w:r>
      <w:r>
        <w:rPr>
          <w:rFonts w:hint="eastAsia" w:ascii="宋体" w:hAnsi="宋体"/>
          <w:color w:val="auto"/>
          <w:szCs w:val="21"/>
          <w:u w:val="single"/>
        </w:rPr>
        <w:t>按月计量支付进度款（按进度、按节点计量支付进度款的参考按月计量支付进度款原则执行）</w:t>
      </w:r>
      <w:r>
        <w:rPr>
          <w:rFonts w:hint="eastAsia" w:ascii="宋体" w:hAnsi="宋体"/>
          <w:color w:val="auto"/>
          <w:szCs w:val="21"/>
        </w:rPr>
        <w:t>。</w:t>
      </w:r>
    </w:p>
    <w:p w14:paraId="3DB49DFC">
      <w:pPr>
        <w:spacing w:line="360" w:lineRule="auto"/>
        <w:ind w:firstLine="420" w:firstLineChars="200"/>
        <w:jc w:val="left"/>
        <w:rPr>
          <w:rFonts w:ascii="宋体" w:hAnsi="宋体"/>
          <w:color w:val="auto"/>
          <w:szCs w:val="21"/>
        </w:rPr>
      </w:pPr>
      <w:r>
        <w:rPr>
          <w:rFonts w:hint="eastAsia" w:ascii="宋体" w:hAnsi="宋体"/>
          <w:color w:val="auto"/>
          <w:szCs w:val="21"/>
        </w:rPr>
        <w:t>12.4.2 进度付款申请单的编制</w:t>
      </w:r>
    </w:p>
    <w:p w14:paraId="17650A5E">
      <w:pPr>
        <w:spacing w:line="360" w:lineRule="auto"/>
        <w:ind w:firstLine="420" w:firstLineChars="200"/>
        <w:jc w:val="left"/>
        <w:rPr>
          <w:rFonts w:ascii="宋体" w:hAnsi="宋体"/>
          <w:color w:val="auto"/>
          <w:szCs w:val="21"/>
        </w:rPr>
      </w:pPr>
      <w:r>
        <w:rPr>
          <w:rFonts w:hint="eastAsia" w:ascii="宋体" w:hAnsi="宋体"/>
          <w:color w:val="auto"/>
          <w:szCs w:val="21"/>
        </w:rPr>
        <w:t>进度付款申请单应包括下列内容：</w:t>
      </w:r>
    </w:p>
    <w:p w14:paraId="7478C9C7">
      <w:pPr>
        <w:spacing w:line="360" w:lineRule="auto"/>
        <w:ind w:firstLine="420" w:firstLineChars="200"/>
        <w:jc w:val="left"/>
        <w:rPr>
          <w:rFonts w:ascii="宋体" w:hAnsi="宋体"/>
          <w:color w:val="auto"/>
          <w:szCs w:val="21"/>
        </w:rPr>
      </w:pPr>
      <w:r>
        <w:rPr>
          <w:rFonts w:hint="eastAsia" w:ascii="宋体" w:hAnsi="宋体"/>
          <w:color w:val="auto"/>
          <w:szCs w:val="21"/>
          <w:u w:val="single"/>
        </w:rPr>
        <w:t>（1）截至本次付款周期已完成工作对应的金额</w:t>
      </w:r>
      <w:r>
        <w:rPr>
          <w:rFonts w:hint="eastAsia" w:ascii="宋体" w:hAnsi="宋体"/>
          <w:color w:val="auto"/>
          <w:szCs w:val="21"/>
        </w:rPr>
        <w:t>；</w:t>
      </w:r>
    </w:p>
    <w:p w14:paraId="6CD3434F">
      <w:pPr>
        <w:spacing w:line="360" w:lineRule="auto"/>
        <w:ind w:firstLine="420" w:firstLineChars="200"/>
        <w:jc w:val="left"/>
        <w:rPr>
          <w:rFonts w:ascii="宋体" w:hAnsi="宋体"/>
          <w:color w:val="auto"/>
          <w:szCs w:val="21"/>
        </w:rPr>
      </w:pPr>
      <w:r>
        <w:rPr>
          <w:rFonts w:hint="eastAsia" w:ascii="宋体" w:hAnsi="宋体"/>
          <w:color w:val="auto"/>
          <w:szCs w:val="21"/>
          <w:u w:val="single"/>
        </w:rPr>
        <w:t>（2）根据第10条〔变更〕应增加和扣减的已审定变更金额</w:t>
      </w:r>
      <w:r>
        <w:rPr>
          <w:rFonts w:hint="eastAsia" w:ascii="宋体" w:hAnsi="宋体"/>
          <w:color w:val="auto"/>
          <w:szCs w:val="21"/>
        </w:rPr>
        <w:t>；</w:t>
      </w:r>
    </w:p>
    <w:p w14:paraId="763F783F">
      <w:pPr>
        <w:spacing w:line="360" w:lineRule="auto"/>
        <w:ind w:firstLine="420" w:firstLineChars="200"/>
        <w:jc w:val="left"/>
        <w:rPr>
          <w:rFonts w:ascii="宋体" w:hAnsi="宋体"/>
          <w:color w:val="auto"/>
          <w:szCs w:val="21"/>
        </w:rPr>
      </w:pPr>
      <w:r>
        <w:rPr>
          <w:rFonts w:hint="eastAsia" w:ascii="宋体" w:hAnsi="宋体"/>
          <w:color w:val="auto"/>
          <w:szCs w:val="21"/>
          <w:u w:val="single"/>
        </w:rPr>
        <w:t>（3）根据第12.2款〔预付款〕约定应支付的预付款和扣减的返还预付款</w:t>
      </w:r>
      <w:r>
        <w:rPr>
          <w:rFonts w:hint="eastAsia" w:ascii="宋体" w:hAnsi="宋体"/>
          <w:color w:val="auto"/>
          <w:szCs w:val="21"/>
        </w:rPr>
        <w:t>；</w:t>
      </w:r>
    </w:p>
    <w:p w14:paraId="68BDFB27">
      <w:pPr>
        <w:spacing w:line="360" w:lineRule="auto"/>
        <w:ind w:firstLine="420" w:firstLineChars="200"/>
        <w:jc w:val="left"/>
        <w:rPr>
          <w:rFonts w:ascii="宋体" w:hAnsi="宋体"/>
          <w:color w:val="auto"/>
          <w:szCs w:val="21"/>
        </w:rPr>
      </w:pPr>
      <w:r>
        <w:rPr>
          <w:rFonts w:hint="eastAsia" w:ascii="宋体" w:hAnsi="宋体"/>
          <w:color w:val="auto"/>
          <w:szCs w:val="21"/>
          <w:u w:val="single"/>
        </w:rPr>
        <w:t>（4）根据第15.3款〔质量保证金〕约定应扣减的质量保证金</w:t>
      </w:r>
      <w:r>
        <w:rPr>
          <w:rFonts w:hint="eastAsia" w:ascii="宋体" w:hAnsi="宋体"/>
          <w:color w:val="auto"/>
          <w:szCs w:val="21"/>
        </w:rPr>
        <w:t>；</w:t>
      </w:r>
    </w:p>
    <w:p w14:paraId="707D2885">
      <w:pPr>
        <w:spacing w:line="360" w:lineRule="auto"/>
        <w:ind w:firstLine="420" w:firstLineChars="200"/>
        <w:jc w:val="left"/>
        <w:rPr>
          <w:rFonts w:ascii="宋体" w:hAnsi="宋体"/>
          <w:color w:val="auto"/>
          <w:szCs w:val="21"/>
        </w:rPr>
      </w:pPr>
      <w:r>
        <w:rPr>
          <w:rFonts w:hint="eastAsia" w:ascii="宋体" w:hAnsi="宋体"/>
          <w:color w:val="auto"/>
          <w:szCs w:val="21"/>
          <w:u w:val="single"/>
        </w:rPr>
        <w:t>（5）根据第19条〔索赔〕应增加和扣减的已审定索赔金额</w:t>
      </w:r>
      <w:r>
        <w:rPr>
          <w:rFonts w:hint="eastAsia" w:ascii="宋体" w:hAnsi="宋体"/>
          <w:color w:val="auto"/>
          <w:szCs w:val="21"/>
        </w:rPr>
        <w:t>；</w:t>
      </w:r>
    </w:p>
    <w:p w14:paraId="310F606B">
      <w:pPr>
        <w:spacing w:line="360" w:lineRule="auto"/>
        <w:ind w:firstLine="420" w:firstLineChars="200"/>
        <w:jc w:val="left"/>
        <w:rPr>
          <w:rFonts w:ascii="宋体" w:hAnsi="宋体"/>
          <w:color w:val="auto"/>
          <w:szCs w:val="21"/>
        </w:rPr>
      </w:pPr>
      <w:r>
        <w:rPr>
          <w:rFonts w:hint="eastAsia" w:ascii="宋体" w:hAnsi="宋体"/>
          <w:color w:val="auto"/>
          <w:szCs w:val="21"/>
          <w:u w:val="single"/>
        </w:rPr>
        <w:t>（6）根据第11条〔价格调整〕应增加和扣减的价格调整金额</w:t>
      </w:r>
      <w:r>
        <w:rPr>
          <w:rFonts w:hint="eastAsia" w:ascii="宋体" w:hAnsi="宋体"/>
          <w:color w:val="auto"/>
          <w:szCs w:val="21"/>
        </w:rPr>
        <w:t>；</w:t>
      </w:r>
    </w:p>
    <w:p w14:paraId="437E7B21">
      <w:pPr>
        <w:spacing w:line="360" w:lineRule="auto"/>
        <w:ind w:firstLine="420" w:firstLineChars="200"/>
        <w:jc w:val="left"/>
        <w:rPr>
          <w:rFonts w:ascii="宋体" w:hAnsi="宋体"/>
          <w:color w:val="auto"/>
          <w:szCs w:val="21"/>
        </w:rPr>
      </w:pPr>
      <w:r>
        <w:rPr>
          <w:rFonts w:hint="eastAsia" w:ascii="宋体" w:hAnsi="宋体"/>
          <w:color w:val="auto"/>
          <w:szCs w:val="21"/>
          <w:u w:val="single"/>
        </w:rPr>
        <w:t>（7）对已签发的进度款支付证书中出现错误的修正，应在本次进度付款中支付或扣除的金额</w:t>
      </w:r>
      <w:r>
        <w:rPr>
          <w:rFonts w:hint="eastAsia" w:ascii="宋体" w:hAnsi="宋体"/>
          <w:color w:val="auto"/>
          <w:szCs w:val="21"/>
        </w:rPr>
        <w:t>；</w:t>
      </w:r>
    </w:p>
    <w:p w14:paraId="2BB363A7">
      <w:pPr>
        <w:spacing w:line="360" w:lineRule="auto"/>
        <w:ind w:firstLine="420" w:firstLineChars="200"/>
        <w:jc w:val="left"/>
        <w:rPr>
          <w:rFonts w:ascii="宋体" w:hAnsi="宋体"/>
          <w:color w:val="auto"/>
          <w:szCs w:val="21"/>
        </w:rPr>
      </w:pPr>
      <w:r>
        <w:rPr>
          <w:rFonts w:hint="eastAsia" w:ascii="宋体" w:hAnsi="宋体"/>
          <w:color w:val="auto"/>
          <w:szCs w:val="21"/>
          <w:u w:val="single"/>
        </w:rPr>
        <w:t>（8）根据合同约定承包人应向发包人支付的违约金</w:t>
      </w:r>
      <w:r>
        <w:rPr>
          <w:rFonts w:hint="eastAsia" w:ascii="宋体" w:hAnsi="宋体"/>
          <w:color w:val="auto"/>
          <w:szCs w:val="21"/>
        </w:rPr>
        <w:t>；</w:t>
      </w:r>
    </w:p>
    <w:p w14:paraId="0B42A8F7">
      <w:pPr>
        <w:spacing w:line="360" w:lineRule="auto"/>
        <w:ind w:firstLine="420" w:firstLineChars="200"/>
        <w:jc w:val="left"/>
        <w:rPr>
          <w:rFonts w:ascii="宋体" w:hAnsi="宋体"/>
          <w:color w:val="auto"/>
          <w:szCs w:val="21"/>
        </w:rPr>
      </w:pPr>
      <w:r>
        <w:rPr>
          <w:rFonts w:hint="eastAsia" w:ascii="宋体" w:hAnsi="宋体"/>
          <w:color w:val="auto"/>
          <w:szCs w:val="21"/>
          <w:u w:val="single"/>
        </w:rPr>
        <w:t>（9）根据合同约定发包人应向承包人支付的违约金和（或）奖励</w:t>
      </w:r>
      <w:r>
        <w:rPr>
          <w:rFonts w:hint="eastAsia" w:ascii="宋体" w:hAnsi="宋体"/>
          <w:color w:val="auto"/>
          <w:szCs w:val="21"/>
        </w:rPr>
        <w:t>；</w:t>
      </w:r>
    </w:p>
    <w:p w14:paraId="39DB5F48">
      <w:pPr>
        <w:spacing w:line="360" w:lineRule="auto"/>
        <w:ind w:firstLine="420" w:firstLineChars="200"/>
        <w:jc w:val="left"/>
        <w:rPr>
          <w:rFonts w:ascii="宋体" w:hAnsi="宋体"/>
          <w:color w:val="auto"/>
          <w:szCs w:val="21"/>
        </w:rPr>
      </w:pPr>
      <w:r>
        <w:rPr>
          <w:rFonts w:hint="eastAsia" w:ascii="宋体" w:hAnsi="宋体"/>
          <w:color w:val="auto"/>
          <w:szCs w:val="21"/>
          <w:u w:val="single"/>
        </w:rPr>
        <w:t>（10）根据合同约定应增加和扣减的其他金额</w:t>
      </w:r>
      <w:r>
        <w:rPr>
          <w:rFonts w:hint="eastAsia" w:ascii="宋体" w:hAnsi="宋体"/>
          <w:color w:val="auto"/>
          <w:szCs w:val="21"/>
        </w:rPr>
        <w:t>；</w:t>
      </w:r>
    </w:p>
    <w:p w14:paraId="22A8DA5D">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（11）当月应支付的人工费（工资款）金额</w:t>
      </w:r>
      <w:r>
        <w:rPr>
          <w:rFonts w:hint="eastAsia" w:ascii="宋体" w:hAnsi="宋体"/>
          <w:color w:val="auto"/>
          <w:szCs w:val="21"/>
        </w:rPr>
        <w:t>。</w:t>
      </w:r>
    </w:p>
    <w:p w14:paraId="0AED5725">
      <w:pPr>
        <w:spacing w:line="360" w:lineRule="auto"/>
        <w:ind w:firstLine="420" w:firstLineChars="200"/>
        <w:jc w:val="left"/>
        <w:rPr>
          <w:rFonts w:ascii="宋体" w:hAnsi="宋体"/>
          <w:color w:val="auto"/>
          <w:szCs w:val="21"/>
        </w:rPr>
      </w:pPr>
      <w:r>
        <w:rPr>
          <w:rFonts w:hint="eastAsia" w:ascii="宋体" w:hAnsi="宋体"/>
          <w:color w:val="auto"/>
          <w:szCs w:val="21"/>
        </w:rPr>
        <w:t>12.4.3 进度付款申请单的提交</w:t>
      </w:r>
    </w:p>
    <w:p w14:paraId="1664594A">
      <w:pPr>
        <w:spacing w:line="360" w:lineRule="auto"/>
        <w:ind w:firstLine="420" w:firstLineChars="200"/>
        <w:jc w:val="left"/>
        <w:rPr>
          <w:rFonts w:ascii="宋体" w:hAnsi="宋体"/>
          <w:color w:val="auto"/>
          <w:szCs w:val="21"/>
          <w:u w:val="single"/>
        </w:rPr>
      </w:pPr>
      <w:r>
        <w:rPr>
          <w:rFonts w:hint="eastAsia" w:ascii="宋体" w:hAnsi="宋体"/>
          <w:color w:val="auto"/>
          <w:szCs w:val="21"/>
        </w:rPr>
        <w:t>（1）单价合同进度付款申请单提交的约定：</w:t>
      </w:r>
      <w:r>
        <w:rPr>
          <w:rFonts w:hint="eastAsia" w:ascii="宋体" w:hAnsi="宋体"/>
          <w:color w:val="auto"/>
          <w:szCs w:val="21"/>
          <w:u w:val="single"/>
        </w:rPr>
        <w:t>按照第12.3.3项〔单价合同的计量〕约定的时间按月向监理人提交，并附上已完成工程量报表、经审核的农民工工资发放的情况说明及有关资料。单价合同中的总价子目按工程形象进度分月计量后汇总列入当期进度付款申请单</w:t>
      </w:r>
      <w:r>
        <w:rPr>
          <w:rFonts w:hint="eastAsia" w:ascii="宋体" w:hAnsi="宋体"/>
          <w:color w:val="auto"/>
          <w:szCs w:val="21"/>
        </w:rPr>
        <w:t>。</w:t>
      </w:r>
    </w:p>
    <w:p w14:paraId="6ED50252">
      <w:pPr>
        <w:spacing w:line="360" w:lineRule="auto"/>
        <w:ind w:firstLine="420" w:firstLineChars="200"/>
        <w:jc w:val="left"/>
        <w:rPr>
          <w:rFonts w:ascii="宋体" w:hAnsi="宋体"/>
          <w:color w:val="auto"/>
          <w:szCs w:val="21"/>
          <w:u w:val="single"/>
        </w:rPr>
      </w:pPr>
      <w:r>
        <w:rPr>
          <w:rFonts w:hint="eastAsia" w:ascii="宋体" w:hAnsi="宋体"/>
          <w:color w:val="auto"/>
          <w:szCs w:val="21"/>
        </w:rPr>
        <w:t>（2）总价合同进度付款申请单提交的约定：</w:t>
      </w:r>
      <w:r>
        <w:rPr>
          <w:rFonts w:hint="eastAsia" w:ascii="宋体" w:hAnsi="宋体"/>
          <w:color w:val="auto"/>
          <w:szCs w:val="21"/>
          <w:u w:val="single"/>
        </w:rPr>
        <w:t>按照合同约定的形象进度的计量约定的时间向监理人提交，并附上已完成工程量报表、经审核的农民工工资发放的情况说明及有关资料</w:t>
      </w:r>
      <w:r>
        <w:rPr>
          <w:rFonts w:hint="eastAsia" w:ascii="宋体" w:hAnsi="宋体"/>
          <w:color w:val="auto"/>
          <w:szCs w:val="21"/>
        </w:rPr>
        <w:t>。</w:t>
      </w:r>
    </w:p>
    <w:p w14:paraId="57757399">
      <w:pPr>
        <w:spacing w:line="360" w:lineRule="auto"/>
        <w:ind w:firstLine="420" w:firstLineChars="200"/>
        <w:jc w:val="left"/>
        <w:rPr>
          <w:rFonts w:ascii="宋体" w:hAnsi="宋体"/>
          <w:color w:val="auto"/>
          <w:szCs w:val="21"/>
          <w:u w:val="single"/>
        </w:rPr>
      </w:pPr>
      <w:r>
        <w:rPr>
          <w:rFonts w:hint="eastAsia" w:ascii="宋体" w:hAnsi="宋体"/>
          <w:color w:val="auto"/>
          <w:szCs w:val="21"/>
        </w:rPr>
        <w:t>（3）其他价格形式合同进度付款申请单提交的约定：</w:t>
      </w:r>
      <w:r>
        <w:rPr>
          <w:rFonts w:hint="eastAsia" w:ascii="宋体" w:hAnsi="宋体"/>
          <w:color w:val="auto"/>
          <w:szCs w:val="21"/>
          <w:u w:val="single"/>
        </w:rPr>
        <w:t>不采用</w:t>
      </w:r>
      <w:r>
        <w:rPr>
          <w:rFonts w:hint="eastAsia" w:ascii="宋体" w:hAnsi="宋体"/>
          <w:color w:val="auto"/>
          <w:szCs w:val="21"/>
        </w:rPr>
        <w:t>。</w:t>
      </w:r>
    </w:p>
    <w:p w14:paraId="691A692D">
      <w:pPr>
        <w:spacing w:line="360" w:lineRule="auto"/>
        <w:ind w:firstLine="420" w:firstLineChars="200"/>
        <w:jc w:val="left"/>
        <w:rPr>
          <w:rFonts w:ascii="宋体" w:hAnsi="宋体"/>
          <w:color w:val="auto"/>
          <w:szCs w:val="21"/>
        </w:rPr>
      </w:pPr>
      <w:r>
        <w:rPr>
          <w:rFonts w:hint="eastAsia" w:ascii="宋体" w:hAnsi="宋体"/>
          <w:color w:val="auto"/>
          <w:szCs w:val="21"/>
        </w:rPr>
        <w:t>12.4.4 进度款审核和支付</w:t>
      </w:r>
    </w:p>
    <w:p w14:paraId="27C464A0">
      <w:pPr>
        <w:spacing w:line="360" w:lineRule="auto"/>
        <w:ind w:firstLine="420" w:firstLineChars="200"/>
        <w:jc w:val="left"/>
        <w:rPr>
          <w:rFonts w:ascii="宋体" w:hAnsi="宋体"/>
          <w:color w:val="auto"/>
          <w:szCs w:val="21"/>
          <w:u w:val="single"/>
        </w:rPr>
      </w:pPr>
      <w:r>
        <w:rPr>
          <w:rFonts w:hint="eastAsia" w:ascii="宋体" w:hAnsi="宋体"/>
          <w:color w:val="auto"/>
          <w:szCs w:val="21"/>
        </w:rPr>
        <w:t>（1）监理人审查并报送发包人的期限：</w:t>
      </w:r>
      <w:r>
        <w:rPr>
          <w:rFonts w:hint="eastAsia" w:ascii="宋体" w:hAnsi="宋体"/>
          <w:color w:val="auto"/>
          <w:szCs w:val="21"/>
          <w:u w:val="single"/>
        </w:rPr>
        <w:t>收到完整资料后7天内</w:t>
      </w:r>
      <w:r>
        <w:rPr>
          <w:rFonts w:hint="eastAsia" w:ascii="宋体" w:hAnsi="宋体"/>
          <w:color w:val="auto"/>
          <w:szCs w:val="21"/>
        </w:rPr>
        <w:t>。</w:t>
      </w:r>
    </w:p>
    <w:p w14:paraId="2FFE22D4">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发包人完成审批并签发进度款支付证书的期限：</w:t>
      </w:r>
      <w:r>
        <w:rPr>
          <w:rFonts w:hint="eastAsia" w:ascii="宋体" w:hAnsi="宋体"/>
          <w:color w:val="auto"/>
          <w:szCs w:val="21"/>
          <w:u w:val="single"/>
        </w:rPr>
        <w:t>发包人收到监理人报送资料后7天内完成审批并签发进度款支付证书</w:t>
      </w:r>
      <w:r>
        <w:rPr>
          <w:rFonts w:hint="eastAsia" w:ascii="宋体" w:hAnsi="宋体"/>
          <w:color w:val="auto"/>
          <w:szCs w:val="21"/>
        </w:rPr>
        <w:t>。</w:t>
      </w:r>
    </w:p>
    <w:p w14:paraId="34AED7EB">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监理人、跟审单位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1537BB0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发包人签发进度款支付证书或临时进度款支付证书，不表明发包人已同意、批准或接受了承包人完成的相应部分的工作。</w:t>
      </w:r>
    </w:p>
    <w:p w14:paraId="3A067916">
      <w:pPr>
        <w:spacing w:line="360" w:lineRule="auto"/>
        <w:ind w:firstLine="420" w:firstLineChars="200"/>
        <w:jc w:val="left"/>
        <w:rPr>
          <w:rFonts w:ascii="宋体" w:hAnsi="宋体"/>
          <w:color w:val="auto"/>
          <w:szCs w:val="21"/>
        </w:rPr>
      </w:pPr>
      <w:r>
        <w:rPr>
          <w:rFonts w:hint="eastAsia" w:ascii="宋体" w:hAnsi="宋体"/>
          <w:color w:val="auto"/>
          <w:szCs w:val="21"/>
        </w:rPr>
        <w:t>（2）进度款支付：</w:t>
      </w:r>
    </w:p>
    <w:p w14:paraId="43F58025">
      <w:pPr>
        <w:spacing w:line="360" w:lineRule="auto"/>
        <w:ind w:firstLine="420" w:firstLineChars="200"/>
        <w:jc w:val="left"/>
        <w:rPr>
          <w:color w:val="auto"/>
        </w:rPr>
      </w:pPr>
      <w:r>
        <w:rPr>
          <w:rFonts w:hint="eastAsia"/>
          <w:color w:val="auto"/>
        </w:rPr>
        <w:t xml:space="preserve">①安全文明施工费：安全文明施工费的拨付仍按《重庆市建设工程安全文明施工费计取及使用管理规定》(渝建发〔2014〕25号）执行。 </w:t>
      </w:r>
    </w:p>
    <w:p w14:paraId="232FAA3D">
      <w:pPr>
        <w:spacing w:line="360" w:lineRule="auto"/>
        <w:ind w:firstLine="420" w:firstLineChars="200"/>
        <w:jc w:val="left"/>
        <w:rPr>
          <w:color w:val="auto"/>
        </w:rPr>
      </w:pPr>
      <w:r>
        <w:rPr>
          <w:rFonts w:hint="eastAsia"/>
          <w:color w:val="auto"/>
        </w:rPr>
        <w:t>②</w:t>
      </w:r>
      <w:r>
        <w:rPr>
          <w:rFonts w:hint="eastAsia"/>
          <w:color w:val="auto"/>
          <w:lang w:eastAsia="zh-CN"/>
        </w:rPr>
        <w:t>每期</w:t>
      </w:r>
      <w:r>
        <w:rPr>
          <w:rFonts w:hint="eastAsia" w:ascii="宋体" w:hAnsi="宋体"/>
          <w:iCs/>
          <w:color w:val="auto"/>
          <w:kern w:val="0"/>
          <w:szCs w:val="21"/>
        </w:rPr>
        <w:t>工程竣工验收合格后，累计支付不超过合同建安工程费暂定总金额的80%；待工程竣工结算审计完成，并完成移交给相关管护单位后，支付至合同建安工程费结算金额的97%，其余3%为本工程质保金，工程质保金在缺陷责任期满后28日内无息付清。</w:t>
      </w:r>
      <w:r>
        <w:rPr>
          <w:rFonts w:hint="eastAsia"/>
          <w:color w:val="auto"/>
        </w:rPr>
        <w:t>（不计利息）</w:t>
      </w:r>
    </w:p>
    <w:p w14:paraId="2CBB2FCA">
      <w:pPr>
        <w:pStyle w:val="7"/>
        <w:spacing w:before="0" w:beforeAutospacing="0" w:after="0" w:afterAutospacing="0" w:line="360" w:lineRule="auto"/>
        <w:ind w:firstLine="422" w:firstLineChars="200"/>
        <w:rPr>
          <w:color w:val="auto"/>
          <w:sz w:val="21"/>
          <w:szCs w:val="21"/>
        </w:rPr>
      </w:pPr>
      <w:bookmarkStart w:id="1946" w:name="_Toc532377387"/>
      <w:bookmarkStart w:id="1947" w:name="_Toc351203585"/>
      <w:r>
        <w:rPr>
          <w:rFonts w:hint="eastAsia"/>
          <w:color w:val="auto"/>
          <w:sz w:val="21"/>
          <w:szCs w:val="21"/>
        </w:rPr>
        <w:t>12.5支付账户</w:t>
      </w:r>
      <w:bookmarkEnd w:id="1946"/>
      <w:bookmarkEnd w:id="1947"/>
    </w:p>
    <w:p w14:paraId="66FC2486">
      <w:pPr>
        <w:spacing w:line="360" w:lineRule="auto"/>
        <w:ind w:firstLine="420" w:firstLineChars="200"/>
        <w:jc w:val="left"/>
        <w:rPr>
          <w:rFonts w:ascii="宋体" w:hAnsi="宋体"/>
          <w:color w:val="auto"/>
          <w:szCs w:val="21"/>
        </w:rPr>
      </w:pPr>
      <w:r>
        <w:rPr>
          <w:rFonts w:hint="eastAsia" w:ascii="宋体" w:hAnsi="宋体"/>
          <w:color w:val="auto"/>
          <w:szCs w:val="21"/>
        </w:rPr>
        <w:t>发包人应将合同价款支付至如下承包人指定的开户银行及银行账户：</w:t>
      </w:r>
    </w:p>
    <w:p w14:paraId="6A5A882B">
      <w:pPr>
        <w:spacing w:line="360" w:lineRule="auto"/>
        <w:ind w:firstLine="420" w:firstLineChars="200"/>
        <w:jc w:val="left"/>
        <w:rPr>
          <w:rFonts w:ascii="宋体" w:hAnsi="宋体"/>
          <w:color w:val="auto"/>
          <w:kern w:val="0"/>
          <w:szCs w:val="21"/>
          <w:u w:val="single"/>
        </w:rPr>
      </w:pPr>
      <w:r>
        <w:rPr>
          <w:rFonts w:hint="eastAsia" w:ascii="宋体" w:hAnsi="宋体"/>
          <w:color w:val="auto"/>
          <w:kern w:val="0"/>
          <w:szCs w:val="21"/>
        </w:rPr>
        <w:t>收款单位名称：</w:t>
      </w:r>
      <w:r>
        <w:rPr>
          <w:rFonts w:ascii="宋体" w:hAnsi="宋体"/>
          <w:color w:val="auto"/>
          <w:kern w:val="0"/>
          <w:szCs w:val="21"/>
          <w:u w:val="single"/>
        </w:rPr>
        <w:t xml:space="preserve">                              </w:t>
      </w:r>
      <w:r>
        <w:rPr>
          <w:rFonts w:hint="eastAsia" w:ascii="宋体" w:hAnsi="宋体"/>
          <w:color w:val="auto"/>
          <w:kern w:val="0"/>
          <w:szCs w:val="21"/>
        </w:rPr>
        <w:t>；</w:t>
      </w:r>
    </w:p>
    <w:p w14:paraId="324D19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收款账号：</w:t>
      </w:r>
      <w:r>
        <w:rPr>
          <w:rFonts w:ascii="宋体" w:hAnsi="宋体"/>
          <w:color w:val="auto"/>
          <w:kern w:val="0"/>
          <w:szCs w:val="21"/>
          <w:u w:val="single"/>
        </w:rPr>
        <w:t xml:space="preserve">                                  </w:t>
      </w:r>
      <w:r>
        <w:rPr>
          <w:rFonts w:hint="eastAsia" w:ascii="宋体" w:hAnsi="宋体"/>
          <w:color w:val="auto"/>
          <w:kern w:val="0"/>
          <w:szCs w:val="21"/>
        </w:rPr>
        <w:t>；</w:t>
      </w:r>
    </w:p>
    <w:p w14:paraId="53D67F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收款开户银行：</w:t>
      </w:r>
      <w:r>
        <w:rPr>
          <w:rFonts w:ascii="宋体" w:hAnsi="宋体"/>
          <w:color w:val="auto"/>
          <w:kern w:val="0"/>
          <w:szCs w:val="21"/>
          <w:u w:val="single"/>
        </w:rPr>
        <w:t xml:space="preserve">                              </w:t>
      </w:r>
      <w:r>
        <w:rPr>
          <w:rFonts w:hint="eastAsia" w:ascii="宋体" w:hAnsi="宋体"/>
          <w:color w:val="auto"/>
          <w:kern w:val="0"/>
          <w:szCs w:val="21"/>
        </w:rPr>
        <w:t>。</w:t>
      </w:r>
    </w:p>
    <w:p w14:paraId="4AFF50C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发包人应将人工费（工资款）支付至如下承包人指定的农民工工资专用账户：</w:t>
      </w:r>
    </w:p>
    <w:p w14:paraId="45C1C9D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开户银行：</w:t>
      </w:r>
      <w:r>
        <w:rPr>
          <w:rFonts w:hint="eastAsia" w:ascii="宋体" w:hAnsi="宋体"/>
          <w:color w:val="auto"/>
          <w:kern w:val="0"/>
          <w:szCs w:val="21"/>
          <w:u w:val="single"/>
        </w:rPr>
        <w:t xml:space="preserve">                              </w:t>
      </w:r>
      <w:r>
        <w:rPr>
          <w:rFonts w:hint="eastAsia" w:ascii="宋体" w:hAnsi="宋体"/>
          <w:color w:val="auto"/>
          <w:kern w:val="0"/>
          <w:szCs w:val="21"/>
        </w:rPr>
        <w:t>；</w:t>
      </w:r>
    </w:p>
    <w:p w14:paraId="4069C8E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农民工工资专用账户名称：</w:t>
      </w:r>
      <w:r>
        <w:rPr>
          <w:rFonts w:hint="eastAsia" w:ascii="宋体" w:hAnsi="宋体"/>
          <w:color w:val="auto"/>
          <w:kern w:val="0"/>
          <w:szCs w:val="21"/>
          <w:u w:val="single"/>
        </w:rPr>
        <w:t xml:space="preserve">                              </w:t>
      </w:r>
      <w:r>
        <w:rPr>
          <w:rFonts w:hint="eastAsia" w:ascii="宋体" w:hAnsi="宋体"/>
          <w:color w:val="auto"/>
          <w:kern w:val="0"/>
          <w:szCs w:val="21"/>
        </w:rPr>
        <w:t>；</w:t>
      </w:r>
    </w:p>
    <w:p w14:paraId="1348A3E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农民工工资专用账户账号：</w:t>
      </w:r>
      <w:r>
        <w:rPr>
          <w:rFonts w:hint="eastAsia" w:ascii="宋体" w:hAnsi="宋体"/>
          <w:color w:val="auto"/>
          <w:kern w:val="0"/>
          <w:szCs w:val="21"/>
          <w:u w:val="single"/>
        </w:rPr>
        <w:t xml:space="preserve">                              </w:t>
      </w:r>
      <w:r>
        <w:rPr>
          <w:rFonts w:hint="eastAsia" w:ascii="宋体" w:hAnsi="宋体"/>
          <w:color w:val="auto"/>
          <w:kern w:val="0"/>
          <w:szCs w:val="21"/>
        </w:rPr>
        <w:t>。</w:t>
      </w:r>
    </w:p>
    <w:p w14:paraId="0E61BC37">
      <w:pPr>
        <w:pStyle w:val="6"/>
        <w:keepNext/>
        <w:keepLines/>
        <w:spacing w:beforeLines="50" w:beforeAutospacing="0" w:afterLines="50" w:afterAutospacing="0" w:line="360" w:lineRule="auto"/>
        <w:jc w:val="both"/>
        <w:rPr>
          <w:bCs w:val="0"/>
          <w:color w:val="auto"/>
          <w:kern w:val="2"/>
          <w:sz w:val="21"/>
          <w:szCs w:val="21"/>
        </w:rPr>
      </w:pPr>
      <w:bookmarkStart w:id="1948" w:name="_Toc351203645"/>
      <w:bookmarkStart w:id="1949" w:name="_Toc532375651"/>
      <w:bookmarkStart w:id="1950" w:name="_Toc532377388"/>
      <w:bookmarkStart w:id="1951" w:name="_Toc296891259"/>
      <w:bookmarkStart w:id="1952" w:name="_Toc296944558"/>
      <w:bookmarkStart w:id="1953" w:name="_Toc304295593"/>
      <w:bookmarkStart w:id="1954" w:name="_Toc300935015"/>
      <w:bookmarkStart w:id="1955" w:name="_Toc297216223"/>
      <w:bookmarkStart w:id="1956" w:name="_Toc297123564"/>
      <w:bookmarkStart w:id="1957" w:name="_Toc296346720"/>
      <w:bookmarkStart w:id="1958" w:name="_Toc296503219"/>
      <w:bookmarkStart w:id="1959" w:name="_Toc297120519"/>
      <w:bookmarkStart w:id="1960" w:name="_Toc296347218"/>
      <w:bookmarkStart w:id="1961" w:name="_Toc303539172"/>
      <w:bookmarkStart w:id="1962" w:name="_Toc292559424"/>
      <w:bookmarkStart w:id="1963" w:name="_Toc292559929"/>
      <w:bookmarkStart w:id="1964" w:name="_Toc296891047"/>
      <w:bookmarkStart w:id="1965" w:name="_Toc297048405"/>
      <w:bookmarkStart w:id="1966" w:name="_Toc312678053"/>
      <w:r>
        <w:rPr>
          <w:rFonts w:hint="eastAsia"/>
          <w:color w:val="auto"/>
          <w:kern w:val="2"/>
          <w:sz w:val="21"/>
          <w:szCs w:val="21"/>
        </w:rPr>
        <w:t>13. 验收和工程试车</w:t>
      </w:r>
      <w:bookmarkEnd w:id="1948"/>
      <w:bookmarkEnd w:id="1949"/>
      <w:bookmarkEnd w:id="1950"/>
    </w:p>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14:paraId="10763978">
      <w:pPr>
        <w:pStyle w:val="7"/>
        <w:spacing w:before="0" w:beforeAutospacing="0" w:after="0" w:afterAutospacing="0" w:line="360" w:lineRule="auto"/>
        <w:ind w:firstLine="422" w:firstLineChars="200"/>
        <w:rPr>
          <w:color w:val="auto"/>
          <w:sz w:val="21"/>
          <w:szCs w:val="21"/>
        </w:rPr>
      </w:pPr>
      <w:bookmarkStart w:id="1967" w:name="_Toc532375652"/>
      <w:bookmarkStart w:id="1968" w:name="_Toc532377389"/>
      <w:bookmarkStart w:id="1969" w:name="_Toc280868704"/>
      <w:bookmarkStart w:id="1970" w:name="_Toc280868705"/>
      <w:bookmarkStart w:id="1971" w:name="_Toc280868706"/>
      <w:bookmarkStart w:id="1972" w:name="_Toc280868707"/>
      <w:bookmarkStart w:id="1973" w:name="_Toc280868708"/>
      <w:bookmarkStart w:id="1974" w:name="_Toc267251472"/>
      <w:bookmarkStart w:id="1975" w:name="_Toc267251474"/>
      <w:bookmarkStart w:id="1976" w:name="_Toc267251473"/>
      <w:bookmarkStart w:id="1977" w:name="_Toc280868709"/>
      <w:bookmarkStart w:id="1978" w:name="_Toc267251470"/>
      <w:bookmarkStart w:id="1979" w:name="_Toc267251476"/>
      <w:bookmarkStart w:id="1980" w:name="_Toc267251475"/>
      <w:bookmarkStart w:id="1981" w:name="_Toc267251471"/>
      <w:r>
        <w:rPr>
          <w:rFonts w:hint="eastAsia"/>
          <w:color w:val="auto"/>
          <w:sz w:val="21"/>
          <w:szCs w:val="21"/>
        </w:rPr>
        <w:t>13.1 分部分项工程验收</w:t>
      </w:r>
      <w:bookmarkEnd w:id="1967"/>
      <w:bookmarkEnd w:id="1968"/>
    </w:p>
    <w:p w14:paraId="6D76295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13.1.2 监理人不能按时进行验收时，应提前</w:t>
      </w:r>
      <w:r>
        <w:rPr>
          <w:rFonts w:hint="eastAsia" w:ascii="宋体" w:hAnsi="宋体"/>
          <w:color w:val="auto"/>
          <w:szCs w:val="21"/>
          <w:u w:val="single"/>
        </w:rPr>
        <w:t>24</w:t>
      </w:r>
      <w:r>
        <w:rPr>
          <w:rFonts w:hint="eastAsia" w:ascii="宋体" w:hAnsi="宋体"/>
          <w:color w:val="auto"/>
          <w:szCs w:val="21"/>
        </w:rPr>
        <w:t>小时提交书面延期要求。</w:t>
      </w:r>
    </w:p>
    <w:p w14:paraId="68A2F9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关于延期最长不得超过：</w:t>
      </w:r>
      <w:r>
        <w:rPr>
          <w:rFonts w:hint="eastAsia" w:ascii="宋体" w:hAnsi="宋体"/>
          <w:color w:val="auto"/>
          <w:szCs w:val="21"/>
          <w:u w:val="single"/>
        </w:rPr>
        <w:t>48</w:t>
      </w:r>
      <w:r>
        <w:rPr>
          <w:rFonts w:hint="eastAsia" w:ascii="宋体" w:hAnsi="宋体"/>
          <w:color w:val="auto"/>
          <w:szCs w:val="21"/>
        </w:rPr>
        <w:t>小时。</w:t>
      </w:r>
    </w:p>
    <w:p w14:paraId="2937581B">
      <w:pPr>
        <w:pStyle w:val="7"/>
        <w:spacing w:before="0" w:beforeAutospacing="0" w:after="0" w:afterAutospacing="0" w:line="360" w:lineRule="auto"/>
        <w:ind w:firstLine="422" w:firstLineChars="200"/>
        <w:rPr>
          <w:color w:val="auto"/>
          <w:sz w:val="21"/>
          <w:szCs w:val="21"/>
        </w:rPr>
      </w:pPr>
      <w:bookmarkStart w:id="1982" w:name="_Toc532377390"/>
      <w:bookmarkStart w:id="1983" w:name="_Toc532375653"/>
      <w:bookmarkStart w:id="1984" w:name="_Toc292559933"/>
      <w:bookmarkStart w:id="1985" w:name="_Toc312678056"/>
      <w:bookmarkStart w:id="1986" w:name="_Toc303539173"/>
      <w:bookmarkStart w:id="1987" w:name="_Toc296503223"/>
      <w:bookmarkStart w:id="1988" w:name="_Toc296891263"/>
      <w:bookmarkStart w:id="1989" w:name="_Toc297048409"/>
      <w:bookmarkStart w:id="1990" w:name="_Toc297216224"/>
      <w:bookmarkStart w:id="1991" w:name="_Toc296891051"/>
      <w:bookmarkStart w:id="1992" w:name="_Toc297123565"/>
      <w:bookmarkStart w:id="1993" w:name="_Toc304295596"/>
      <w:bookmarkStart w:id="1994" w:name="_Toc292559428"/>
      <w:bookmarkStart w:id="1995" w:name="_Toc300935016"/>
      <w:bookmarkStart w:id="1996" w:name="_Toc296347222"/>
      <w:bookmarkStart w:id="1997" w:name="_Toc296346724"/>
      <w:bookmarkStart w:id="1998" w:name="_Toc297120523"/>
      <w:bookmarkStart w:id="1999" w:name="_Toc296944562"/>
      <w:r>
        <w:rPr>
          <w:rFonts w:hint="eastAsia"/>
          <w:color w:val="auto"/>
          <w:sz w:val="21"/>
          <w:szCs w:val="21"/>
        </w:rPr>
        <w:t>13.2 竣工验收</w:t>
      </w:r>
      <w:bookmarkEnd w:id="1982"/>
      <w:bookmarkEnd w:id="1983"/>
    </w:p>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14:paraId="45BDB6F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13.2.2竣工验收程序</w:t>
      </w:r>
    </w:p>
    <w:bookmarkEnd w:id="1969"/>
    <w:p w14:paraId="05A56C8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关于竣工验收程序的约定：工程完工且符合下列条件时，承包人可向发包人提供竣工报告，并要求验收：</w:t>
      </w:r>
    </w:p>
    <w:p w14:paraId="44FE074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（1）除发包人同意的甩项工作和缺陷修补工作外，合同范围内的全部工程以及有关工作，包括合同要求的试验、试运行以及检验均已完成，并符合合同要求；</w:t>
      </w:r>
    </w:p>
    <w:p w14:paraId="4C8C673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（2）已按合同约定编制了甩项工作和缺陷修补工作清单以及相应的施工计划；</w:t>
      </w:r>
    </w:p>
    <w:p w14:paraId="7CC3F43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（3）已按合同约定的内容和份数备齐竣工资料。</w:t>
      </w:r>
    </w:p>
    <w:p w14:paraId="3396CFB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 xml:space="preserve">        </w:t>
      </w:r>
      <w:r>
        <w:rPr>
          <w:rFonts w:hint="eastAsia" w:ascii="宋体" w:hAnsi="宋体"/>
          <w:color w:val="auto"/>
          <w:szCs w:val="21"/>
        </w:rPr>
        <w:t>。</w:t>
      </w:r>
    </w:p>
    <w:p w14:paraId="348BA06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工程竣工及竣工资料：</w:t>
      </w:r>
    </w:p>
    <w:p w14:paraId="51BE205F">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（1）发包人应在收到承包人竣工报告后14天内组织设计单位、监理单位、质监等其他部门进行验收，竣工日期以最后一次整改后通过竣工验收的时间为准</w:t>
      </w:r>
      <w:r>
        <w:rPr>
          <w:rFonts w:hint="eastAsia" w:ascii="宋体" w:hAnsi="宋体"/>
          <w:color w:val="auto"/>
          <w:szCs w:val="21"/>
        </w:rPr>
        <w:t>。</w:t>
      </w:r>
    </w:p>
    <w:p w14:paraId="3BC5AD0C">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color w:val="auto"/>
          <w:szCs w:val="21"/>
        </w:rPr>
        <w:t>。</w:t>
      </w:r>
    </w:p>
    <w:p w14:paraId="1F1BBCBD">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（3）承包人提供竣工资料的约定：</w:t>
      </w:r>
      <w:r>
        <w:rPr>
          <w:rFonts w:hint="eastAsia" w:ascii="宋体" w:hAnsi="宋体"/>
          <w:color w:val="auto"/>
          <w:szCs w:val="21"/>
          <w:u w:val="single"/>
        </w:rPr>
        <w:t>承包人提供纸质版竣工图三套，电子版竣工图二套（刻光盘）</w:t>
      </w:r>
      <w:r>
        <w:rPr>
          <w:rFonts w:hint="eastAsia" w:ascii="宋体" w:hAnsi="宋体"/>
          <w:color w:val="auto"/>
          <w:szCs w:val="21"/>
        </w:rPr>
        <w:t>。</w:t>
      </w:r>
    </w:p>
    <w:bookmarkEnd w:id="1970"/>
    <w:p w14:paraId="0D8275D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13.2.5 移交、接收全部与部分工程</w:t>
      </w:r>
    </w:p>
    <w:bookmarkEnd w:id="1971"/>
    <w:p w14:paraId="659779EF">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承包人向发包人移交工程的期限：</w:t>
      </w:r>
      <w:r>
        <w:rPr>
          <w:rFonts w:hint="eastAsia" w:ascii="宋体" w:hAnsi="宋体"/>
          <w:color w:val="auto"/>
          <w:szCs w:val="21"/>
          <w:u w:val="single"/>
        </w:rPr>
        <w:t>颁发工程接收证书后7天内完成工程的移交</w:t>
      </w:r>
      <w:r>
        <w:rPr>
          <w:rFonts w:hint="eastAsia" w:ascii="宋体" w:hAnsi="宋体"/>
          <w:color w:val="auto"/>
          <w:szCs w:val="21"/>
        </w:rPr>
        <w:t>。</w:t>
      </w:r>
    </w:p>
    <w:p w14:paraId="32017256">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发包人未按合同约定接收全部或部分工程的，违约金的计算方法为：发包人自应当接收工程之日起承担工程照管、成品保护、保管等与工程有关的各项费用。</w:t>
      </w:r>
    </w:p>
    <w:bookmarkEnd w:id="1972"/>
    <w:p w14:paraId="0D9C84D6">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因承包人自身原因未按时移交工程的，违约金的计算方法为：</w:t>
      </w:r>
      <w:r>
        <w:rPr>
          <w:rFonts w:hint="eastAsia" w:ascii="宋体" w:hAnsi="宋体"/>
          <w:color w:val="auto"/>
          <w:szCs w:val="21"/>
          <w:u w:val="single"/>
        </w:rPr>
        <w:t>承包人应承担工程照管、成品保护、保管等与工程有关的各项费用，并按经审定结算金额的0.5‰/天支付违约金</w:t>
      </w:r>
      <w:r>
        <w:rPr>
          <w:rFonts w:hint="eastAsia" w:ascii="宋体" w:hAnsi="宋体"/>
          <w:color w:val="auto"/>
          <w:szCs w:val="21"/>
        </w:rPr>
        <w:t>。</w:t>
      </w:r>
    </w:p>
    <w:p w14:paraId="67BD40A8">
      <w:pPr>
        <w:pStyle w:val="7"/>
        <w:spacing w:before="0" w:beforeAutospacing="0" w:after="0" w:afterAutospacing="0" w:line="360" w:lineRule="auto"/>
        <w:ind w:firstLine="422" w:firstLineChars="200"/>
        <w:rPr>
          <w:color w:val="auto"/>
          <w:sz w:val="21"/>
          <w:szCs w:val="21"/>
        </w:rPr>
      </w:pPr>
      <w:bookmarkStart w:id="2000" w:name="_Toc532375654"/>
      <w:bookmarkStart w:id="2001" w:name="_Toc532377391"/>
      <w:r>
        <w:rPr>
          <w:rFonts w:hint="eastAsia"/>
          <w:color w:val="auto"/>
          <w:sz w:val="21"/>
          <w:szCs w:val="21"/>
        </w:rPr>
        <w:t>13.3 工程试车</w:t>
      </w:r>
      <w:bookmarkEnd w:id="2000"/>
      <w:bookmarkEnd w:id="2001"/>
    </w:p>
    <w:p w14:paraId="2AD15BA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13.3.1 试车程序</w:t>
      </w:r>
    </w:p>
    <w:p w14:paraId="6D47B54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工程试车内容：</w:t>
      </w:r>
      <w:r>
        <w:rPr>
          <w:rFonts w:hint="eastAsia" w:ascii="宋体" w:hAnsi="宋体"/>
          <w:color w:val="auto"/>
          <w:szCs w:val="21"/>
          <w:u w:val="single"/>
        </w:rPr>
        <w:t>按通用合同条款执行</w:t>
      </w:r>
      <w:r>
        <w:rPr>
          <w:rFonts w:hint="eastAsia" w:ascii="宋体" w:hAnsi="宋体"/>
          <w:color w:val="auto"/>
          <w:szCs w:val="21"/>
        </w:rPr>
        <w:t>。</w:t>
      </w:r>
    </w:p>
    <w:p w14:paraId="07B01BD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（1）单机无负荷试车费用由</w:t>
      </w:r>
      <w:r>
        <w:rPr>
          <w:rFonts w:hint="eastAsia" w:ascii="宋体" w:hAnsi="宋体"/>
          <w:color w:val="auto"/>
          <w:szCs w:val="21"/>
          <w:u w:val="single"/>
        </w:rPr>
        <w:t>承包人</w:t>
      </w:r>
      <w:r>
        <w:rPr>
          <w:rFonts w:hint="eastAsia" w:ascii="宋体" w:hAnsi="宋体"/>
          <w:color w:val="auto"/>
          <w:szCs w:val="21"/>
        </w:rPr>
        <w:t>承担；</w:t>
      </w:r>
    </w:p>
    <w:p w14:paraId="4B527A1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（2）无负荷联动试车费用由</w:t>
      </w:r>
      <w:r>
        <w:rPr>
          <w:rFonts w:hint="eastAsia" w:ascii="宋体" w:hAnsi="宋体"/>
          <w:color w:val="auto"/>
          <w:szCs w:val="21"/>
          <w:u w:val="single"/>
        </w:rPr>
        <w:t>承包人</w:t>
      </w:r>
      <w:r>
        <w:rPr>
          <w:rFonts w:hint="eastAsia" w:ascii="宋体" w:hAnsi="宋体"/>
          <w:color w:val="auto"/>
          <w:szCs w:val="21"/>
        </w:rPr>
        <w:t>承担。</w:t>
      </w:r>
    </w:p>
    <w:p w14:paraId="5CBBA629">
      <w:pPr>
        <w:pStyle w:val="7"/>
        <w:spacing w:before="0" w:beforeAutospacing="0" w:after="0" w:afterAutospacing="0" w:line="360" w:lineRule="auto"/>
        <w:ind w:firstLine="422" w:firstLineChars="200"/>
        <w:rPr>
          <w:color w:val="auto"/>
          <w:sz w:val="21"/>
          <w:szCs w:val="21"/>
        </w:rPr>
      </w:pPr>
      <w:bookmarkStart w:id="2002" w:name="_Toc532375655"/>
      <w:bookmarkStart w:id="2003" w:name="_Toc532377392"/>
      <w:r>
        <w:rPr>
          <w:rFonts w:hint="eastAsia"/>
          <w:color w:val="auto"/>
          <w:sz w:val="21"/>
          <w:szCs w:val="21"/>
        </w:rPr>
        <w:t>13.6 竣工退场</w:t>
      </w:r>
      <w:bookmarkEnd w:id="2002"/>
      <w:bookmarkEnd w:id="2003"/>
    </w:p>
    <w:p w14:paraId="3019E01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13.6.1 竣工退场</w:t>
      </w:r>
    </w:p>
    <w:p w14:paraId="0326CCD3">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承包人完成竣工退场的期限：</w:t>
      </w:r>
      <w:r>
        <w:rPr>
          <w:rFonts w:hint="eastAsia" w:ascii="宋体" w:hAnsi="宋体"/>
          <w:color w:val="auto"/>
          <w:szCs w:val="21"/>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olor w:val="auto"/>
          <w:szCs w:val="21"/>
        </w:rPr>
        <w:t>。</w:t>
      </w:r>
    </w:p>
    <w:bookmarkEnd w:id="1973"/>
    <w:p w14:paraId="54D35994">
      <w:pPr>
        <w:pStyle w:val="6"/>
        <w:keepNext/>
        <w:keepLines/>
        <w:spacing w:beforeLines="50" w:beforeAutospacing="0" w:afterLines="50" w:afterAutospacing="0" w:line="360" w:lineRule="auto"/>
        <w:jc w:val="both"/>
        <w:rPr>
          <w:bCs w:val="0"/>
          <w:color w:val="auto"/>
          <w:kern w:val="2"/>
          <w:sz w:val="21"/>
          <w:szCs w:val="21"/>
        </w:rPr>
      </w:pPr>
      <w:bookmarkStart w:id="2004" w:name="_Toc351203646"/>
      <w:bookmarkStart w:id="2005" w:name="_Toc532377393"/>
      <w:bookmarkStart w:id="2006" w:name="_Toc532375656"/>
      <w:r>
        <w:rPr>
          <w:rFonts w:hint="eastAsia"/>
          <w:color w:val="auto"/>
          <w:kern w:val="2"/>
          <w:sz w:val="21"/>
          <w:szCs w:val="21"/>
        </w:rPr>
        <w:t>14. 竣工结算</w:t>
      </w:r>
      <w:bookmarkEnd w:id="2004"/>
      <w:bookmarkEnd w:id="2005"/>
      <w:bookmarkEnd w:id="2006"/>
    </w:p>
    <w:p w14:paraId="25F66402">
      <w:pPr>
        <w:pStyle w:val="7"/>
        <w:spacing w:before="0" w:beforeAutospacing="0" w:after="0" w:afterAutospacing="0" w:line="360" w:lineRule="auto"/>
        <w:ind w:firstLine="422" w:firstLineChars="200"/>
        <w:rPr>
          <w:color w:val="auto"/>
          <w:sz w:val="21"/>
          <w:szCs w:val="21"/>
        </w:rPr>
      </w:pPr>
      <w:bookmarkStart w:id="2007" w:name="_Toc532377394"/>
      <w:bookmarkStart w:id="2008" w:name="_Toc532375657"/>
      <w:r>
        <w:rPr>
          <w:rFonts w:hint="eastAsia"/>
          <w:color w:val="auto"/>
          <w:sz w:val="21"/>
          <w:szCs w:val="21"/>
        </w:rPr>
        <w:t>14.1 竣工结算申请</w:t>
      </w:r>
      <w:bookmarkEnd w:id="2007"/>
      <w:bookmarkEnd w:id="2008"/>
    </w:p>
    <w:p w14:paraId="427915AE">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承包人提交竣工结算申请单的期限：</w:t>
      </w:r>
      <w:r>
        <w:rPr>
          <w:rFonts w:hint="eastAsia" w:ascii="宋体" w:hAnsi="宋体"/>
          <w:color w:val="auto"/>
          <w:szCs w:val="21"/>
          <w:u w:val="single"/>
        </w:rPr>
        <w:t>承包人应在工程竣工验收合格且报送</w:t>
      </w:r>
      <w:r>
        <w:rPr>
          <w:rFonts w:ascii="宋体" w:hAnsi="宋体"/>
          <w:color w:val="auto"/>
          <w:szCs w:val="21"/>
          <w:u w:val="single"/>
        </w:rPr>
        <w:t>完整工程竣工资料</w:t>
      </w:r>
      <w:r>
        <w:rPr>
          <w:rFonts w:hint="eastAsia" w:ascii="宋体" w:hAnsi="宋体"/>
          <w:color w:val="auto"/>
          <w:szCs w:val="21"/>
          <w:u w:val="single"/>
        </w:rPr>
        <w:t>之日起28天内向监理人、发包人提交竣工结算申请单，并向发包人报送完整的工程竣工资料及经监理人初审确认的完整的竣工结算资料</w:t>
      </w:r>
      <w:bookmarkStart w:id="2009" w:name="_Hlk524297994"/>
      <w:r>
        <w:rPr>
          <w:rFonts w:hint="eastAsia" w:ascii="宋体" w:hAnsi="宋体"/>
          <w:color w:val="auto"/>
          <w:szCs w:val="21"/>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1B5BA4A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竣工结算申请单包括但不限于以下内容：</w:t>
      </w:r>
    </w:p>
    <w:p w14:paraId="258BF98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（1）竣工结算合同价格；</w:t>
      </w:r>
    </w:p>
    <w:p w14:paraId="3107F96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（2）变更增减金额；</w:t>
      </w:r>
    </w:p>
    <w:p w14:paraId="12A1141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（3）现场签证增减金额；</w:t>
      </w:r>
    </w:p>
    <w:p w14:paraId="6F037BB4">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（4）索赔增减金额；</w:t>
      </w:r>
    </w:p>
    <w:p w14:paraId="5AA0EFC4">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（5）奖励、罚金及违约金；</w:t>
      </w:r>
    </w:p>
    <w:p w14:paraId="0FAB29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（6）发包人已支付承包人的款项；</w:t>
      </w:r>
    </w:p>
    <w:p w14:paraId="114F832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（7）应扣留的质量保证金；</w:t>
      </w:r>
    </w:p>
    <w:p w14:paraId="4B68746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（8）发包人应支付承包人的合同价款。</w:t>
      </w:r>
      <w:bookmarkEnd w:id="2009"/>
    </w:p>
    <w:p w14:paraId="41C5189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（9）</w:t>
      </w:r>
      <w:r>
        <w:rPr>
          <w:rFonts w:hint="eastAsia" w:ascii="宋体" w:hAnsi="宋体"/>
          <w:color w:val="auto"/>
          <w:szCs w:val="21"/>
          <w:u w:val="single"/>
        </w:rPr>
        <w:t xml:space="preserve">        </w:t>
      </w:r>
      <w:r>
        <w:rPr>
          <w:rFonts w:hint="eastAsia" w:ascii="宋体" w:hAnsi="宋体"/>
          <w:color w:val="auto"/>
          <w:szCs w:val="21"/>
        </w:rPr>
        <w:t>。</w:t>
      </w:r>
    </w:p>
    <w:p w14:paraId="08282444">
      <w:pPr>
        <w:pStyle w:val="7"/>
        <w:spacing w:before="0" w:beforeAutospacing="0" w:after="0" w:afterAutospacing="0" w:line="360" w:lineRule="auto"/>
        <w:ind w:firstLine="422" w:firstLineChars="200"/>
        <w:rPr>
          <w:color w:val="auto"/>
          <w:sz w:val="21"/>
          <w:szCs w:val="21"/>
        </w:rPr>
      </w:pPr>
      <w:bookmarkStart w:id="2010" w:name="_Toc532377395"/>
      <w:bookmarkStart w:id="2011" w:name="_Toc532375658"/>
      <w:r>
        <w:rPr>
          <w:rFonts w:hint="eastAsia"/>
          <w:color w:val="auto"/>
          <w:sz w:val="21"/>
          <w:szCs w:val="21"/>
        </w:rPr>
        <w:t>14.2 竣工结算审核</w:t>
      </w:r>
      <w:bookmarkEnd w:id="2010"/>
      <w:bookmarkEnd w:id="2011"/>
    </w:p>
    <w:p w14:paraId="06D908B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 竣工结算办法</w:t>
      </w:r>
    </w:p>
    <w:p w14:paraId="5A6811E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14.2.1.1计量原则</w:t>
      </w:r>
    </w:p>
    <w:p w14:paraId="7C2EF8D9">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按照第12.3.1项〔计量原则〕约定执行。</w:t>
      </w:r>
    </w:p>
    <w:p w14:paraId="00EB1DC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14.2.1.2计价原则</w:t>
      </w:r>
    </w:p>
    <w:p w14:paraId="09B7A97E">
      <w:pPr>
        <w:tabs>
          <w:tab w:val="left" w:pos="711"/>
          <w:tab w:val="left" w:pos="2580"/>
        </w:tabs>
        <w:spacing w:line="360" w:lineRule="auto"/>
        <w:ind w:right="105" w:rightChars="50" w:firstLine="420" w:firstLineChars="200"/>
        <w:jc w:val="left"/>
        <w:textAlignment w:val="baseline"/>
        <w:rPr>
          <w:color w:val="auto"/>
          <w:u w:val="single"/>
        </w:rPr>
      </w:pPr>
      <w:r>
        <w:rPr>
          <w:rFonts w:hint="eastAsia"/>
          <w:color w:val="auto"/>
          <w:u w:val="single"/>
        </w:rPr>
        <w:t xml:space="preserve">各部分的结算原则如下： </w:t>
      </w:r>
    </w:p>
    <w:p w14:paraId="09CE2D53">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结算价=∑中标全费用清单综合单价×子项工程量+工程量清单新增或变更等引起的增（减）子项结算价，子项工程量按《重庆市建设工程工程量计算规则》(CQJLGZ－2013)规定的计量规则、招标工程量清单项目特征描述中描述的计量规则并结合本合同相关约定计算的实际合格工程量。结算价不得超过本项目最高限价。</w:t>
      </w:r>
    </w:p>
    <w:p w14:paraId="7D012D30">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全费用清单综合单价中的安全文明施工费、规费、税金</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时均视为已按照本市相关部门的规定计取。结算时中标全费用清单综合单价一律不做调整。</w:t>
      </w:r>
    </w:p>
    <w:p w14:paraId="6B2A9926">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设计变更及调整、施工过程中出现新增项目（含采购范围以外的项目）价款结算办法：工程设计变更确定后，设计变更涉及工程价款调整的，工程施工中出现新增项目，由中标人在该变更、新增项目启动前14天内向监理单位、采购人提出，经采购人、监理单位审核同意后调整合同价款。调整方法如下：</w:t>
      </w:r>
    </w:p>
    <w:p w14:paraId="5B57194C">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A．工程内容与</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报价的工程量清单中有相同的子项或类似子项，则按</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时的相同子项或类似子项的综合单价执行（类似子项的综合单价由采购人审定, 最终办理结算以采购人结算内审结果为准，若经相关部门结（决）算审查，采购人有权对工程结算内审价款进行调整。）；</w:t>
      </w:r>
    </w:p>
    <w:p w14:paraId="0105F7BF">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B．工程内容如有与工程量清单不同的子项按《建设工程工程量清单计价规范》（GB50500-2013）及相关技术规范、要求编制工程量清单，同时结合《重庆市市政工程计价定额》、《重庆市安装工程计价定额》、《重庆市建设工程费用定额》、《混凝土及砂浆配合比表、施工机械台班定额》及相关配套文件套价，套价原则：</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报价与限价下浮比例进行总价同比例下浮，并报采购人审核，其中（人工、材料价格：按</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价格；</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书中没有的人工、材料价格以采购人认质核定的价格为准）。工程量为依据《市政工程工程量计算规范》（GB50857-2013）以及《重庆市建设工程工程量计算规则》（CQJLGZ－2013）约定的计量规则计算的实际合格工程量。</w:t>
      </w:r>
    </w:p>
    <w:p w14:paraId="6691DC9A">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本工程结算以审核结果为准，若需相关部门结（决）算审查的，采购人将对工程结算审核价款进行调整，最后价格以调整后的为准。审计依据包括本合同以及政府审计相关法律法规及规范性文件。</w:t>
      </w:r>
    </w:p>
    <w:p w14:paraId="5A3759FD">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据实结算后不得超过限价，超过限价部分不予结算。</w:t>
      </w:r>
    </w:p>
    <w:p w14:paraId="0030FEEF">
      <w:pPr>
        <w:spacing w:line="360" w:lineRule="auto"/>
        <w:ind w:firstLine="422" w:firstLineChars="200"/>
        <w:jc w:val="left"/>
        <w:rPr>
          <w:rFonts w:ascii="宋体" w:hAnsi="宋体"/>
          <w:b/>
          <w:bCs/>
          <w:color w:val="auto"/>
          <w:szCs w:val="21"/>
        </w:rPr>
      </w:pPr>
      <w:r>
        <w:rPr>
          <w:rFonts w:hint="eastAsia" w:ascii="宋体" w:hAnsi="宋体"/>
          <w:b/>
          <w:bCs/>
          <w:color w:val="auto"/>
          <w:szCs w:val="21"/>
        </w:rPr>
        <w:t>14.3审减效益费：</w:t>
      </w:r>
    </w:p>
    <w:p w14:paraId="0A2BFB0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委托方只支付基本审计费，所有审减金额的效益费由投标人支付；按规定应由施工单位支付审减效益费的，中标人须根据其审减金额按附表中相关规定计算。</w:t>
      </w:r>
    </w:p>
    <w:p w14:paraId="3A5B9820">
      <w:pPr>
        <w:spacing w:line="360" w:lineRule="auto"/>
        <w:ind w:firstLine="420" w:firstLineChars="200"/>
        <w:jc w:val="left"/>
        <w:rPr>
          <w:rFonts w:hint="eastAsia" w:ascii="宋体" w:hAnsi="宋体"/>
          <w:color w:val="auto"/>
          <w:kern w:val="0"/>
          <w:szCs w:val="21"/>
        </w:rPr>
      </w:pPr>
      <w:r>
        <w:rPr>
          <w:rFonts w:hint="eastAsia" w:ascii="宋体" w:hAnsi="宋体"/>
          <w:color w:val="auto"/>
          <w:kern w:val="0"/>
          <w:szCs w:val="21"/>
        </w:rPr>
        <w:t>在集团或国家审计机构、财政评审机构的二次审计中，发包人审核结算金额与国家审计机构、财政评审机构审核结算金额相比，审减率在5%以上（含5%）时，承包人同样需支付审减金额的效益费，审减效益费按渝价〔2013〕428号文件附表中相关规定计算，结算审核审减效益费计取基数为本项目的审减额，该审减额应抵消审增金额，审减效益费按照累进制计取，且不按工程类别调整系数。</w:t>
      </w:r>
    </w:p>
    <w:p w14:paraId="195FAE1B">
      <w:pPr>
        <w:spacing w:line="360" w:lineRule="auto"/>
        <w:ind w:firstLine="420" w:firstLineChars="200"/>
        <w:jc w:val="left"/>
        <w:rPr>
          <w:rFonts w:hint="eastAsia" w:ascii="宋体" w:hAnsi="宋体"/>
          <w:color w:val="auto"/>
          <w:kern w:val="0"/>
          <w:szCs w:val="21"/>
          <w:lang w:val="en-US" w:eastAsia="zh-CN"/>
        </w:rPr>
      </w:pPr>
      <w:r>
        <w:rPr>
          <w:rFonts w:hint="eastAsia" w:ascii="宋体" w:hAnsi="宋体"/>
          <w:color w:val="auto"/>
          <w:kern w:val="0"/>
          <w:szCs w:val="21"/>
          <w:lang w:val="en-US" w:eastAsia="zh-CN"/>
        </w:rPr>
        <w:t>其他要求：弃土场回填过程中应符合业主相关管理规定。严禁私自接收外来渣土。若经发现违者罚款10万元每车每次。累计3次业主有权解除合同并追究相关责任。</w:t>
      </w:r>
    </w:p>
    <w:p w14:paraId="4EF16A72">
      <w:pPr>
        <w:pStyle w:val="2"/>
        <w:rPr>
          <w:rFonts w:hint="default"/>
          <w:lang w:val="en-US" w:eastAsia="zh-CN"/>
        </w:rPr>
      </w:pPr>
      <w:r>
        <w:rPr>
          <w:rFonts w:hint="eastAsia" w:ascii="宋体" w:hAnsi="宋体"/>
          <w:color w:val="auto"/>
          <w:kern w:val="0"/>
          <w:szCs w:val="21"/>
          <w:lang w:val="en-US" w:eastAsia="zh-CN"/>
        </w:rPr>
        <w:t xml:space="preserve">    特别说明：</w:t>
      </w:r>
      <w:r>
        <w:rPr>
          <w:rFonts w:hint="eastAsia" w:ascii="宋体" w:hAnsi="宋体" w:eastAsia="宋体" w:cs="Times New Roman"/>
          <w:color w:val="auto"/>
          <w:kern w:val="0"/>
          <w:sz w:val="21"/>
          <w:szCs w:val="21"/>
          <w:lang w:val="en-US" w:eastAsia="zh-CN" w:bidi="ar-SA"/>
        </w:rPr>
        <w:t>本项目先行实施一期工程，再行实施二期工程。一期二期工作内容业主单位有权根据项目实际情况调整相关的建设内容及建设进度，投标人不得因为建设内容及进度的变化提出索赔，相关风险及多次进场费用综合考虑在投标报价中。</w:t>
      </w:r>
    </w:p>
    <w:p w14:paraId="3D88530D">
      <w:pPr>
        <w:pStyle w:val="7"/>
        <w:spacing w:before="0" w:beforeAutospacing="0" w:after="0" w:afterAutospacing="0" w:line="360" w:lineRule="auto"/>
        <w:ind w:firstLine="422" w:firstLineChars="200"/>
        <w:rPr>
          <w:color w:val="auto"/>
          <w:sz w:val="21"/>
          <w:szCs w:val="21"/>
        </w:rPr>
      </w:pPr>
      <w:bookmarkStart w:id="2012" w:name="_Toc532377396"/>
      <w:bookmarkStart w:id="2013" w:name="_Toc532375659"/>
      <w:r>
        <w:rPr>
          <w:rFonts w:hint="eastAsia"/>
          <w:color w:val="auto"/>
          <w:sz w:val="21"/>
          <w:szCs w:val="21"/>
        </w:rPr>
        <w:t>14.4 最终结清</w:t>
      </w:r>
      <w:bookmarkEnd w:id="2012"/>
      <w:bookmarkEnd w:id="2013"/>
    </w:p>
    <w:p w14:paraId="01B66D0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14.4.1 最终结清申请单</w:t>
      </w:r>
    </w:p>
    <w:p w14:paraId="34E0936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承包人提交最终结清申请单的份数：</w:t>
      </w:r>
      <w:r>
        <w:rPr>
          <w:rFonts w:hint="eastAsia" w:ascii="宋体" w:hAnsi="宋体"/>
          <w:color w:val="auto"/>
          <w:szCs w:val="21"/>
          <w:u w:val="single"/>
        </w:rPr>
        <w:t>3份</w:t>
      </w:r>
      <w:r>
        <w:rPr>
          <w:rFonts w:hint="eastAsia" w:ascii="宋体" w:hAnsi="宋体"/>
          <w:color w:val="auto"/>
          <w:szCs w:val="21"/>
        </w:rPr>
        <w:t>。</w:t>
      </w:r>
    </w:p>
    <w:p w14:paraId="1AF2D8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承包人提交最终结算申请单的期限：</w:t>
      </w:r>
      <w:r>
        <w:rPr>
          <w:rFonts w:hint="eastAsia" w:ascii="宋体" w:hAnsi="宋体"/>
          <w:color w:val="auto"/>
          <w:szCs w:val="21"/>
          <w:u w:val="single"/>
        </w:rPr>
        <w:t>缺陷责任期终止证书颁发后14天内</w:t>
      </w:r>
      <w:r>
        <w:rPr>
          <w:rFonts w:hint="eastAsia" w:ascii="宋体" w:hAnsi="宋体"/>
          <w:color w:val="auto"/>
          <w:szCs w:val="21"/>
        </w:rPr>
        <w:t>。</w:t>
      </w:r>
    </w:p>
    <w:p w14:paraId="190F0DB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14.4.2 最终结清证书和支付</w:t>
      </w:r>
    </w:p>
    <w:p w14:paraId="3D08A6C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（1）发包人完成最终结清申请单的审批并颁发最终结清证书的期限：</w:t>
      </w:r>
      <w:r>
        <w:rPr>
          <w:rFonts w:hint="eastAsia" w:ascii="宋体" w:hAnsi="宋体"/>
          <w:color w:val="auto"/>
          <w:szCs w:val="21"/>
          <w:u w:val="single"/>
        </w:rPr>
        <w:t>发包人收到完整资料后14天内完成审批并颁发最终结清证书</w:t>
      </w:r>
      <w:r>
        <w:rPr>
          <w:rFonts w:hint="eastAsia" w:ascii="宋体" w:hAnsi="宋体"/>
          <w:color w:val="auto"/>
          <w:szCs w:val="21"/>
        </w:rPr>
        <w:t>。</w:t>
      </w:r>
    </w:p>
    <w:p w14:paraId="70D132C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（2）发包人完成支付的期限：</w:t>
      </w:r>
      <w:r>
        <w:rPr>
          <w:rFonts w:hint="eastAsia" w:ascii="宋体" w:hAnsi="宋体"/>
          <w:color w:val="auto"/>
          <w:szCs w:val="21"/>
          <w:u w:val="single"/>
        </w:rPr>
        <w:t>颁发最终结清证书的14天内</w:t>
      </w:r>
      <w:r>
        <w:rPr>
          <w:rFonts w:hint="eastAsia" w:ascii="宋体" w:hAnsi="宋体"/>
          <w:color w:val="auto"/>
          <w:szCs w:val="21"/>
        </w:rPr>
        <w:t>。</w:t>
      </w:r>
    </w:p>
    <w:p w14:paraId="59DE3E4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本条补充14.5款：</w:t>
      </w:r>
    </w:p>
    <w:bookmarkEnd w:id="1974"/>
    <w:bookmarkEnd w:id="1975"/>
    <w:bookmarkEnd w:id="1976"/>
    <w:bookmarkEnd w:id="1977"/>
    <w:bookmarkEnd w:id="1978"/>
    <w:bookmarkEnd w:id="1979"/>
    <w:bookmarkEnd w:id="1980"/>
    <w:bookmarkEnd w:id="1981"/>
    <w:p w14:paraId="1A9DBD84">
      <w:pPr>
        <w:pStyle w:val="7"/>
        <w:spacing w:before="0" w:beforeAutospacing="0" w:after="0" w:afterAutospacing="0" w:line="360" w:lineRule="auto"/>
        <w:ind w:firstLine="422" w:firstLineChars="200"/>
        <w:rPr>
          <w:color w:val="auto"/>
          <w:sz w:val="21"/>
          <w:szCs w:val="21"/>
        </w:rPr>
      </w:pPr>
      <w:bookmarkStart w:id="2014" w:name="_Toc532375660"/>
      <w:bookmarkStart w:id="2015" w:name="_Toc532377397"/>
      <w:r>
        <w:rPr>
          <w:rFonts w:hint="eastAsia"/>
          <w:color w:val="auto"/>
          <w:sz w:val="21"/>
          <w:szCs w:val="21"/>
        </w:rPr>
        <w:t>14.5 逾期办理或不配合办理竣工结算的处理</w:t>
      </w:r>
      <w:bookmarkEnd w:id="2014"/>
      <w:bookmarkEnd w:id="2015"/>
    </w:p>
    <w:p w14:paraId="287E5B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有下列情形之一的，视为承包人放弃与发包人共同办理竣工结算的权利，发包人有权会同跟审单位、监理人根据有效资料共同确定竣工结算金额。</w:t>
      </w:r>
    </w:p>
    <w:p w14:paraId="2B78427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（1）承包人逾期未报送竣工结算资料，亦未获得发包人批准延期报送，经发包人两</w:t>
      </w:r>
      <w:bookmarkStart w:id="2016" w:name="_Hlk529133622"/>
      <w:r>
        <w:rPr>
          <w:rFonts w:hint="eastAsia" w:ascii="宋体" w:hAnsi="宋体"/>
          <w:color w:val="auto"/>
          <w:szCs w:val="21"/>
        </w:rPr>
        <w:t>次书面催告仍未在限期内报送的</w:t>
      </w:r>
      <w:bookmarkEnd w:id="2016"/>
      <w:r>
        <w:rPr>
          <w:rFonts w:hint="eastAsia" w:ascii="宋体" w:hAnsi="宋体"/>
          <w:color w:val="auto"/>
          <w:szCs w:val="21"/>
        </w:rPr>
        <w:t>；</w:t>
      </w:r>
    </w:p>
    <w:p w14:paraId="27DDE25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51C981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（3）承包人不配合发包人、跟审单位、监理人、发包人委托的工程造价咨询服务单位办理竣工结算的，经发包人两次书面函告仍未改正的。</w:t>
      </w:r>
    </w:p>
    <w:p w14:paraId="4EBF502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 xml:space="preserve">    /    </w:t>
      </w:r>
      <w:r>
        <w:rPr>
          <w:rFonts w:hint="eastAsia" w:ascii="宋体" w:hAnsi="宋体"/>
          <w:color w:val="auto"/>
          <w:szCs w:val="21"/>
        </w:rPr>
        <w:t>。</w:t>
      </w:r>
    </w:p>
    <w:p w14:paraId="299B7D87">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color w:val="auto"/>
          <w:szCs w:val="21"/>
        </w:rPr>
        <w:t>。</w:t>
      </w:r>
    </w:p>
    <w:bookmarkEnd w:id="1693"/>
    <w:bookmarkEnd w:id="1694"/>
    <w:bookmarkEnd w:id="1695"/>
    <w:bookmarkEnd w:id="1696"/>
    <w:bookmarkEnd w:id="1697"/>
    <w:bookmarkEnd w:id="1698"/>
    <w:bookmarkEnd w:id="1699"/>
    <w:bookmarkEnd w:id="1700"/>
    <w:p w14:paraId="601F26DF">
      <w:pPr>
        <w:pStyle w:val="6"/>
        <w:keepNext/>
        <w:keepLines/>
        <w:spacing w:beforeLines="50" w:beforeAutospacing="0" w:afterLines="50" w:afterAutospacing="0" w:line="360" w:lineRule="auto"/>
        <w:jc w:val="both"/>
        <w:rPr>
          <w:bCs w:val="0"/>
          <w:color w:val="auto"/>
          <w:kern w:val="2"/>
          <w:sz w:val="21"/>
          <w:szCs w:val="21"/>
        </w:rPr>
      </w:pPr>
      <w:bookmarkStart w:id="2017" w:name="_Toc532375661"/>
      <w:bookmarkStart w:id="2018" w:name="_Toc532377398"/>
      <w:bookmarkStart w:id="2019" w:name="_Toc351203647"/>
      <w:bookmarkStart w:id="2020" w:name="_Toc267251483"/>
      <w:bookmarkStart w:id="2021" w:name="_Toc280868717"/>
      <w:bookmarkStart w:id="2022" w:name="_Toc280868718"/>
      <w:r>
        <w:rPr>
          <w:rFonts w:hint="eastAsia"/>
          <w:color w:val="auto"/>
          <w:kern w:val="2"/>
          <w:sz w:val="21"/>
          <w:szCs w:val="21"/>
        </w:rPr>
        <w:t>15. 缺陷责任期与保修</w:t>
      </w:r>
      <w:bookmarkEnd w:id="2017"/>
      <w:bookmarkEnd w:id="2018"/>
      <w:bookmarkEnd w:id="2019"/>
    </w:p>
    <w:bookmarkEnd w:id="2020"/>
    <w:p w14:paraId="11FD75AE">
      <w:pPr>
        <w:pStyle w:val="7"/>
        <w:spacing w:before="0" w:beforeAutospacing="0" w:after="0" w:afterAutospacing="0" w:line="360" w:lineRule="auto"/>
        <w:ind w:firstLine="422" w:firstLineChars="200"/>
        <w:rPr>
          <w:color w:val="auto"/>
          <w:sz w:val="21"/>
          <w:szCs w:val="21"/>
        </w:rPr>
      </w:pPr>
      <w:bookmarkStart w:id="2023" w:name="_Toc532377399"/>
      <w:bookmarkStart w:id="2024" w:name="_Toc532375662"/>
      <w:r>
        <w:rPr>
          <w:rFonts w:hint="eastAsia"/>
          <w:color w:val="auto"/>
          <w:sz w:val="21"/>
          <w:szCs w:val="21"/>
        </w:rPr>
        <w:t>15.3 质量保证金</w:t>
      </w:r>
      <w:bookmarkEnd w:id="2023"/>
      <w:bookmarkEnd w:id="2024"/>
    </w:p>
    <w:p w14:paraId="420AE09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15.3.1 承包人提供质量保证金的方式</w:t>
      </w:r>
    </w:p>
    <w:p w14:paraId="6EB20AB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质量保证金采用以下第</w:t>
      </w:r>
      <w:r>
        <w:rPr>
          <w:rFonts w:hint="eastAsia" w:ascii="宋体" w:hAnsi="宋体"/>
          <w:color w:val="auto"/>
          <w:szCs w:val="21"/>
          <w:u w:val="single"/>
        </w:rPr>
        <w:t>（2）</w:t>
      </w:r>
      <w:r>
        <w:rPr>
          <w:rFonts w:hint="eastAsia" w:ascii="宋体" w:hAnsi="宋体"/>
          <w:color w:val="auto"/>
          <w:szCs w:val="21"/>
        </w:rPr>
        <w:t>种方式：</w:t>
      </w:r>
    </w:p>
    <w:p w14:paraId="386F9D9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（1）质量保证金保函</w:t>
      </w:r>
    </w:p>
    <w:p w14:paraId="31FC04AF">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1）按采购文件载明的格式或发包人认可的格式向发包人提交不可撤销的见索即付银行保函</w:t>
      </w:r>
      <w:r>
        <w:rPr>
          <w:rFonts w:hint="eastAsia" w:ascii="宋体" w:hAnsi="宋体"/>
          <w:color w:val="auto"/>
          <w:szCs w:val="21"/>
        </w:rPr>
        <w:t>；</w:t>
      </w:r>
    </w:p>
    <w:p w14:paraId="5CB3ACA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2）出具保函的银行级别：</w:t>
      </w:r>
      <w:r>
        <w:rPr>
          <w:rFonts w:hint="eastAsia" w:ascii="宋体" w:hAnsi="宋体"/>
          <w:color w:val="auto"/>
          <w:szCs w:val="21"/>
          <w:u w:val="single"/>
        </w:rPr>
        <w:t>地市级及以上国家政策性银行或股份制商业银行的支行或其上级银行</w:t>
      </w:r>
      <w:r>
        <w:rPr>
          <w:rFonts w:hint="eastAsia" w:ascii="宋体" w:hAnsi="宋体"/>
          <w:color w:val="auto"/>
          <w:szCs w:val="21"/>
        </w:rPr>
        <w:t>；</w:t>
      </w:r>
    </w:p>
    <w:p w14:paraId="3423EEF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3）保函金额为：</w:t>
      </w:r>
      <w:r>
        <w:rPr>
          <w:rFonts w:hint="eastAsia" w:ascii="宋体" w:hAnsi="宋体"/>
          <w:color w:val="auto"/>
          <w:szCs w:val="21"/>
          <w:u w:val="single"/>
        </w:rPr>
        <w:t xml:space="preserve">    </w:t>
      </w:r>
      <w:r>
        <w:rPr>
          <w:rFonts w:hint="eastAsia" w:ascii="宋体" w:hAnsi="宋体"/>
          <w:color w:val="auto"/>
          <w:szCs w:val="21"/>
        </w:rPr>
        <w:t>。</w:t>
      </w:r>
    </w:p>
    <w:p w14:paraId="6448B33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4）提交时间：</w:t>
      </w:r>
      <w:r>
        <w:rPr>
          <w:rFonts w:hint="eastAsia" w:ascii="宋体" w:hAnsi="宋体"/>
          <w:color w:val="auto"/>
          <w:szCs w:val="21"/>
          <w:u w:val="single"/>
        </w:rPr>
        <w:t>工程竣工验收合格后14天内</w:t>
      </w:r>
      <w:r>
        <w:rPr>
          <w:rFonts w:hint="eastAsia" w:ascii="宋体" w:hAnsi="宋体"/>
          <w:color w:val="auto"/>
          <w:szCs w:val="21"/>
        </w:rPr>
        <w:t>。</w:t>
      </w:r>
    </w:p>
    <w:p w14:paraId="0EFC35F5">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color w:val="auto"/>
          <w:szCs w:val="21"/>
        </w:rPr>
        <w:t>。</w:t>
      </w:r>
    </w:p>
    <w:p w14:paraId="1214F4C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（2）竣工结算价的</w:t>
      </w:r>
      <w:r>
        <w:rPr>
          <w:rFonts w:hint="eastAsia" w:ascii="宋体" w:hAnsi="宋体"/>
          <w:color w:val="auto"/>
          <w:szCs w:val="21"/>
          <w:u w:val="single"/>
        </w:rPr>
        <w:t xml:space="preserve"> 3% </w:t>
      </w:r>
      <w:r>
        <w:rPr>
          <w:rFonts w:hint="eastAsia" w:ascii="宋体" w:hAnsi="宋体"/>
          <w:color w:val="auto"/>
          <w:szCs w:val="21"/>
        </w:rPr>
        <w:t>；</w:t>
      </w:r>
    </w:p>
    <w:p w14:paraId="2930E6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（3）其他方式：</w:t>
      </w:r>
      <w:r>
        <w:rPr>
          <w:rFonts w:hint="eastAsia" w:ascii="宋体" w:hAnsi="宋体"/>
          <w:color w:val="auto"/>
          <w:szCs w:val="21"/>
          <w:u w:val="single"/>
        </w:rPr>
        <w:t xml:space="preserve"> / </w:t>
      </w:r>
      <w:r>
        <w:rPr>
          <w:rFonts w:hint="eastAsia" w:ascii="宋体" w:hAnsi="宋体"/>
          <w:color w:val="auto"/>
          <w:szCs w:val="21"/>
        </w:rPr>
        <w:t>。</w:t>
      </w:r>
    </w:p>
    <w:p w14:paraId="297C58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15.3.2 质量保证金的扣留</w:t>
      </w:r>
    </w:p>
    <w:p w14:paraId="1D0DB24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质量保证金的扣留采取以下第</w:t>
      </w:r>
      <w:r>
        <w:rPr>
          <w:rFonts w:hint="eastAsia" w:ascii="宋体" w:hAnsi="宋体"/>
          <w:color w:val="auto"/>
          <w:szCs w:val="21"/>
          <w:u w:val="single"/>
        </w:rPr>
        <w:t xml:space="preserve"> （2） </w:t>
      </w:r>
      <w:r>
        <w:rPr>
          <w:rFonts w:hint="eastAsia" w:ascii="宋体" w:hAnsi="宋体"/>
          <w:color w:val="auto"/>
          <w:szCs w:val="21"/>
        </w:rPr>
        <w:t>种方式：</w:t>
      </w:r>
    </w:p>
    <w:p w14:paraId="5530AF5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（1）在支付工程进度款时逐次扣留，在此情形下，质量保证金的计算基数不包括预付款的支付、扣回以及价格调整的金额；</w:t>
      </w:r>
    </w:p>
    <w:p w14:paraId="3E6B09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（2）工程竣工结算时一次性扣留质量保证金；</w:t>
      </w:r>
    </w:p>
    <w:p w14:paraId="38380CC6">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w:t>
      </w:r>
      <w:r>
        <w:rPr>
          <w:rFonts w:hint="eastAsia" w:ascii="宋体" w:hAnsi="宋体"/>
          <w:color w:val="auto"/>
          <w:szCs w:val="21"/>
          <w:u w:val="single"/>
        </w:rPr>
        <w:t xml:space="preserve">其他扣留方式：        </w:t>
      </w:r>
      <w:r>
        <w:rPr>
          <w:rFonts w:hint="eastAsia" w:ascii="宋体" w:hAnsi="宋体"/>
          <w:color w:val="auto"/>
          <w:szCs w:val="21"/>
        </w:rPr>
        <w:t>。</w:t>
      </w:r>
    </w:p>
    <w:p w14:paraId="7428AE5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15.3.3质量保证金的退还</w:t>
      </w:r>
    </w:p>
    <w:p w14:paraId="4AF34F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（1）在发包人颁发缺陷责任期终止证书之日起14天内退还。</w:t>
      </w:r>
    </w:p>
    <w:p w14:paraId="2FB202C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（2）缺陷责任期内，承包人认真履行合同约定的责任，到期后，承包人可向发包人申请返还质量保证金。</w:t>
      </w:r>
    </w:p>
    <w:p w14:paraId="54023D4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（3）质量保证金是否支付利息采取以下</w:t>
      </w:r>
      <w:r>
        <w:rPr>
          <w:rFonts w:hint="eastAsia" w:ascii="宋体" w:hAnsi="宋体"/>
          <w:color w:val="auto"/>
          <w:szCs w:val="21"/>
          <w:u w:val="single"/>
        </w:rPr>
        <w:t>第②种</w:t>
      </w:r>
      <w:r>
        <w:rPr>
          <w:rFonts w:hint="eastAsia" w:ascii="宋体" w:hAnsi="宋体"/>
          <w:color w:val="auto"/>
          <w:szCs w:val="21"/>
        </w:rPr>
        <w:t>方式：</w:t>
      </w:r>
    </w:p>
    <w:p w14:paraId="7E23AEB5">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①按照中国人民银行/年/月公布的5年期贷款市场报价利率支付利息</w:t>
      </w:r>
      <w:r>
        <w:rPr>
          <w:rFonts w:hint="eastAsia" w:ascii="宋体" w:hAnsi="宋体"/>
          <w:color w:val="auto"/>
          <w:szCs w:val="21"/>
        </w:rPr>
        <w:t>。</w:t>
      </w:r>
    </w:p>
    <w:p w14:paraId="7D4218C4">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②不采用</w:t>
      </w:r>
      <w:r>
        <w:rPr>
          <w:rFonts w:hint="eastAsia" w:ascii="宋体" w:hAnsi="宋体"/>
          <w:color w:val="auto"/>
          <w:szCs w:val="21"/>
        </w:rPr>
        <w:t>。</w:t>
      </w:r>
    </w:p>
    <w:p w14:paraId="57947FC9">
      <w:pPr>
        <w:pStyle w:val="7"/>
        <w:spacing w:before="0" w:beforeAutospacing="0" w:after="0" w:afterAutospacing="0" w:line="360" w:lineRule="auto"/>
        <w:ind w:firstLine="422" w:firstLineChars="200"/>
        <w:rPr>
          <w:color w:val="auto"/>
          <w:sz w:val="21"/>
          <w:szCs w:val="21"/>
        </w:rPr>
      </w:pPr>
      <w:bookmarkStart w:id="2025" w:name="_Toc532375663"/>
      <w:bookmarkStart w:id="2026" w:name="_Toc532377400"/>
      <w:r>
        <w:rPr>
          <w:rFonts w:hint="eastAsia"/>
          <w:color w:val="auto"/>
          <w:sz w:val="21"/>
          <w:szCs w:val="21"/>
        </w:rPr>
        <w:t>15.4 保修</w:t>
      </w:r>
      <w:bookmarkEnd w:id="2025"/>
      <w:bookmarkEnd w:id="2026"/>
    </w:p>
    <w:p w14:paraId="3DB31F4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15.4.1 保修责任</w:t>
      </w:r>
    </w:p>
    <w:p w14:paraId="16599F2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工程保修期为：</w:t>
      </w:r>
      <w:bookmarkStart w:id="2027" w:name="_Hlk524381274"/>
      <w:r>
        <w:rPr>
          <w:rFonts w:hint="eastAsia" w:ascii="宋体" w:hAnsi="宋体"/>
          <w:color w:val="auto"/>
          <w:szCs w:val="21"/>
        </w:rPr>
        <w:t>按照附件1《工程质量保修书》的规定执行。</w:t>
      </w:r>
      <w:bookmarkEnd w:id="2027"/>
    </w:p>
    <w:p w14:paraId="054575A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15.4.3 修复通知</w:t>
      </w:r>
    </w:p>
    <w:p w14:paraId="511279A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承包人收到保修通知并到达工程现场的合理时间：</w:t>
      </w:r>
      <w:r>
        <w:rPr>
          <w:rFonts w:hint="eastAsia" w:ascii="宋体" w:hAnsi="宋体"/>
          <w:color w:val="auto"/>
          <w:szCs w:val="21"/>
          <w:u w:val="single"/>
        </w:rPr>
        <w:t xml:space="preserve">  小时内，最长不能超过  小时</w:t>
      </w:r>
      <w:r>
        <w:rPr>
          <w:rFonts w:hint="eastAsia" w:ascii="宋体" w:hAnsi="宋体"/>
          <w:color w:val="auto"/>
          <w:szCs w:val="21"/>
        </w:rPr>
        <w:t>。</w:t>
      </w:r>
    </w:p>
    <w:p w14:paraId="1C41C26E">
      <w:pPr>
        <w:pStyle w:val="6"/>
        <w:keepNext/>
        <w:keepLines/>
        <w:spacing w:beforeLines="50" w:beforeAutospacing="0" w:afterLines="50" w:afterAutospacing="0" w:line="360" w:lineRule="auto"/>
        <w:jc w:val="both"/>
        <w:rPr>
          <w:bCs w:val="0"/>
          <w:color w:val="auto"/>
          <w:kern w:val="2"/>
          <w:sz w:val="21"/>
          <w:szCs w:val="21"/>
        </w:rPr>
      </w:pPr>
      <w:bookmarkStart w:id="2028" w:name="_Toc532377401"/>
      <w:bookmarkStart w:id="2029" w:name="_Toc532375664"/>
      <w:bookmarkStart w:id="2030" w:name="_Toc351203648"/>
      <w:r>
        <w:rPr>
          <w:rFonts w:hint="eastAsia"/>
          <w:color w:val="auto"/>
          <w:kern w:val="2"/>
          <w:sz w:val="21"/>
          <w:szCs w:val="21"/>
        </w:rPr>
        <w:t>16. 违约</w:t>
      </w:r>
      <w:bookmarkEnd w:id="2028"/>
      <w:bookmarkEnd w:id="2029"/>
      <w:bookmarkEnd w:id="2030"/>
    </w:p>
    <w:p w14:paraId="4B721FD0">
      <w:pPr>
        <w:pStyle w:val="7"/>
        <w:spacing w:before="0" w:beforeAutospacing="0" w:after="0" w:afterAutospacing="0" w:line="360" w:lineRule="auto"/>
        <w:ind w:firstLine="422" w:firstLineChars="200"/>
        <w:rPr>
          <w:color w:val="auto"/>
          <w:sz w:val="21"/>
          <w:szCs w:val="21"/>
        </w:rPr>
      </w:pPr>
      <w:bookmarkStart w:id="2031" w:name="_Toc532377402"/>
      <w:r>
        <w:rPr>
          <w:rFonts w:hint="eastAsia"/>
          <w:color w:val="auto"/>
          <w:sz w:val="21"/>
          <w:szCs w:val="21"/>
        </w:rPr>
        <w:t>16.1 发包人违约</w:t>
      </w:r>
      <w:bookmarkEnd w:id="2031"/>
    </w:p>
    <w:p w14:paraId="0FDE461B">
      <w:pPr>
        <w:spacing w:line="360" w:lineRule="auto"/>
        <w:ind w:firstLine="420" w:firstLineChars="200"/>
        <w:rPr>
          <w:rFonts w:ascii="宋体" w:hAnsi="宋体"/>
          <w:color w:val="auto"/>
          <w:szCs w:val="21"/>
        </w:rPr>
      </w:pPr>
      <w:r>
        <w:rPr>
          <w:rFonts w:hint="eastAsia" w:ascii="宋体" w:hAnsi="宋体"/>
          <w:color w:val="auto"/>
          <w:szCs w:val="21"/>
        </w:rPr>
        <w:t>16.1.1 发包人违约的情形</w:t>
      </w:r>
    </w:p>
    <w:p w14:paraId="71BB8111">
      <w:pPr>
        <w:spacing w:line="360" w:lineRule="auto"/>
        <w:ind w:firstLine="420" w:firstLineChars="200"/>
        <w:rPr>
          <w:rFonts w:ascii="宋体" w:hAnsi="宋体"/>
          <w:color w:val="auto"/>
          <w:szCs w:val="21"/>
        </w:rPr>
      </w:pPr>
      <w:r>
        <w:rPr>
          <w:rFonts w:hint="eastAsia" w:ascii="宋体" w:hAnsi="宋体" w:cs="Microsoft Sans Serif"/>
          <w:color w:val="auto"/>
          <w:kern w:val="0"/>
          <w:szCs w:val="21"/>
        </w:rPr>
        <w:t>除通用合同条款约定外，发包人违约的其他情形：</w:t>
      </w:r>
    </w:p>
    <w:p w14:paraId="7DE3E8D4">
      <w:pPr>
        <w:spacing w:line="360" w:lineRule="auto"/>
        <w:ind w:firstLine="420" w:firstLineChars="200"/>
        <w:rPr>
          <w:rFonts w:ascii="宋体" w:hAnsi="宋体"/>
          <w:color w:val="auto"/>
          <w:szCs w:val="21"/>
        </w:rPr>
      </w:pPr>
      <w:r>
        <w:rPr>
          <w:rFonts w:hint="eastAsia" w:ascii="宋体" w:hAnsi="宋体" w:cs="Microsoft Sans Serif"/>
          <w:color w:val="auto"/>
          <w:kern w:val="0"/>
          <w:szCs w:val="21"/>
        </w:rPr>
        <w:t>（1）根据专用合同条款7.5.1项因发包人原因导致工期延误的；</w:t>
      </w:r>
    </w:p>
    <w:p w14:paraId="48186E09">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（2）因发包人原因未能及时办理完毕合同约定的许可、批准或备案的；</w:t>
      </w:r>
    </w:p>
    <w:p w14:paraId="31A3EAD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（3）因监理人未能按合同约定发出指示、指示延误或发出了错误指示而导致承包人费用增加和（或）工期延误的；</w:t>
      </w:r>
    </w:p>
    <w:p w14:paraId="0C3C20A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（4）根据5.3.3发包人或监理人要求重新检查的，经检查证明工程质量符合合同要求的，并由此产生增加的费用和（或）延误的工期的；</w:t>
      </w:r>
    </w:p>
    <w:p w14:paraId="0C814EE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（5）因发包人原因造成工程质量未达到合同约定标准的；</w:t>
      </w:r>
    </w:p>
    <w:p w14:paraId="74D465C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（6）由于发包人原因对承包人造成的人员人身伤亡和财产损失的；</w:t>
      </w:r>
    </w:p>
    <w:p w14:paraId="26078913">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（7）因发包人原因导致工程无法按期办理竣工验收或竣工结算的；</w:t>
      </w:r>
    </w:p>
    <w:p w14:paraId="59264AC0">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（8）发包人无正当理由未按约定退还履约担保、低价风险担保、预付款担保或质量保证金的；</w:t>
      </w:r>
    </w:p>
    <w:p w14:paraId="600233FF">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（9）发包人不当提取履约担保、低价风险担保或质量保证金的；</w:t>
      </w:r>
    </w:p>
    <w:p w14:paraId="710EA335">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（10）发包人未按合同约定接收全部或部分工作的；</w:t>
      </w:r>
    </w:p>
    <w:p w14:paraId="2691EE82">
      <w:pPr>
        <w:pStyle w:val="107"/>
        <w:spacing w:line="360" w:lineRule="auto"/>
        <w:jc w:val="left"/>
        <w:rPr>
          <w:rFonts w:ascii="宋体" w:hAnsi="宋体" w:cs="Microsoft Sans Serif"/>
          <w:color w:val="auto"/>
          <w:kern w:val="0"/>
          <w:sz w:val="21"/>
          <w:szCs w:val="21"/>
          <w:u w:val="single"/>
        </w:rPr>
      </w:pPr>
      <w:r>
        <w:rPr>
          <w:rFonts w:hint="eastAsia" w:ascii="宋体" w:hAnsi="宋体" w:cs="Microsoft Sans Serif"/>
          <w:color w:val="auto"/>
          <w:kern w:val="0"/>
          <w:sz w:val="21"/>
          <w:szCs w:val="21"/>
        </w:rPr>
        <w:t>（11）发包人未按合同约定办理保险的；</w:t>
      </w:r>
    </w:p>
    <w:p w14:paraId="0FDAD880">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u w:val="single"/>
        </w:rPr>
        <w:t xml:space="preserve">（12）其他：        </w:t>
      </w:r>
      <w:r>
        <w:rPr>
          <w:rFonts w:hint="eastAsia" w:ascii="宋体" w:hAnsi="宋体" w:cs="Microsoft Sans Serif"/>
          <w:color w:val="auto"/>
          <w:kern w:val="0"/>
          <w:szCs w:val="21"/>
        </w:rPr>
        <w:t>。</w:t>
      </w:r>
    </w:p>
    <w:p w14:paraId="689A98E9">
      <w:pPr>
        <w:pStyle w:val="107"/>
        <w:spacing w:line="360" w:lineRule="auto"/>
        <w:rPr>
          <w:rFonts w:ascii="宋体" w:hAnsi="宋体"/>
          <w:color w:val="auto"/>
          <w:sz w:val="21"/>
          <w:szCs w:val="21"/>
        </w:rPr>
      </w:pPr>
      <w:r>
        <w:rPr>
          <w:rFonts w:hint="eastAsia" w:ascii="宋体" w:hAnsi="宋体"/>
          <w:color w:val="auto"/>
          <w:sz w:val="21"/>
          <w:szCs w:val="21"/>
        </w:rPr>
        <w:t>16.1.2发包人违约的责任</w:t>
      </w:r>
    </w:p>
    <w:p w14:paraId="4D2A6E4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（1）因发包人原因未能及时办理完毕前述许可、批准或备案的违约责任：由发包人承担由此增加的费用和（或）顺延工期，并支付合理利润，具体索赔程序按照第19条〔索赔〕约定执行。</w:t>
      </w:r>
    </w:p>
    <w:p w14:paraId="3A85E30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6C2FC0E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（3）因发包人原因导致工期延误的违约责任：由发包人承担由此增加的费用和（或）顺延工期，并支付合理利润，具体索赔程序按照第19条〔索赔〕约定执行。</w:t>
      </w:r>
    </w:p>
    <w:p w14:paraId="5C87447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（4）因发包人原因未能在计划开工日期前7天内下达开工通知的违约责任：由发包人承担由此增加的费用和（或）顺延工期，并支付合理利润，具体索赔程序按照第19条〔索赔〕约定执行。</w:t>
      </w:r>
    </w:p>
    <w:p w14:paraId="5DF04E9C">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（5）根据5.3.3项发包人或监理人要求重新检查的，经检查证明工程质量符合合同要求的，由发包人承担由此增加的费用和（或）顺延工期，并支付合理利润，具体索赔程序按照第19条〔索赔〕约定执行。</w:t>
      </w:r>
    </w:p>
    <w:p w14:paraId="5DC87167">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（6）因发包人原因未按合同约定支付合同价款的违约责任：发包人应向承包人支付违约金，自应当支付之日起28天后开始计算违约金，计算公式：</w:t>
      </w:r>
      <w:r>
        <w:rPr>
          <w:rFonts w:hint="eastAsia" w:ascii="宋体" w:hAnsi="宋体" w:cs="Microsoft Sans Serif"/>
          <w:color w:val="auto"/>
          <w:kern w:val="0"/>
          <w:szCs w:val="21"/>
          <w:u w:val="single"/>
        </w:rPr>
        <w:t>违约金=应付未付金额×中国人民银行2025年3月公布的5年期贷款市场报价利率/360天×逾期天数</w:t>
      </w:r>
      <w:r>
        <w:rPr>
          <w:rFonts w:hint="eastAsia" w:ascii="宋体" w:hAnsi="宋体"/>
          <w:color w:val="auto"/>
          <w:szCs w:val="21"/>
          <w:u w:val="single"/>
        </w:rPr>
        <w:t>（自第29天起计算）</w:t>
      </w:r>
      <w:r>
        <w:rPr>
          <w:rFonts w:hint="eastAsia" w:ascii="宋体" w:hAnsi="宋体" w:cs="Microsoft Sans Serif"/>
          <w:color w:val="auto"/>
          <w:kern w:val="0"/>
          <w:szCs w:val="21"/>
          <w:u w:val="single"/>
        </w:rPr>
        <w:t>；逾期天数超过56天的，超过部分天数按上述利率的两倍计算并支付违约金，但违约金总额不超过合同结算价款的5%</w:t>
      </w:r>
      <w:r>
        <w:rPr>
          <w:rFonts w:hint="eastAsia" w:ascii="宋体" w:hAnsi="宋体" w:cs="Microsoft Sans Serif"/>
          <w:color w:val="auto"/>
          <w:kern w:val="0"/>
          <w:szCs w:val="21"/>
        </w:rPr>
        <w:t>。</w:t>
      </w:r>
    </w:p>
    <w:p w14:paraId="38D5AE55">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（7）发包人违反合同约定，自行实施或转由他人实施被取消的合同工作内容的违约责任：由发包人承担由此给承包人造成的实际损失并支付合理利润。</w:t>
      </w:r>
    </w:p>
    <w:p w14:paraId="61B81675">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45A9F11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（9）因发包人原因造成工程质量未达到合同约定标准的，由发包人承担由此增加的费用和（或）延误的工期，并支付合理利润。</w:t>
      </w:r>
    </w:p>
    <w:p w14:paraId="2972F4FC">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（10）因发包人违反合同约定造成暂停施工的违约责任：由发包人承担由此增加的费用和（或）顺延工期，并支付合理利润，具体索赔程序按照第19条〔索赔〕约定执行。</w:t>
      </w:r>
    </w:p>
    <w:p w14:paraId="66F9E2E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（11）发包人无正当理由没有在约定期限内发出复工指示，导致承包人无法复工的违约责任：由发包人承担由此增加的费用和（或）顺延工期，并支付合理利润，具体索赔程序按照第19条〔索赔〕约定执行。</w:t>
      </w:r>
    </w:p>
    <w:p w14:paraId="0BCB274E">
      <w:pPr>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（12）因发包人原因导致工程无法按期办理竣工验收或竣工结算的违约责任：由发包人承担由此增加的费用和（或）顺延工期，并支付合理利润，具体索赔程序按照第19条〔索赔〕约定执行。</w:t>
      </w:r>
    </w:p>
    <w:p w14:paraId="436478B3">
      <w:pPr>
        <w:spacing w:line="360" w:lineRule="auto"/>
        <w:ind w:firstLine="420" w:firstLineChars="200"/>
        <w:jc w:val="left"/>
        <w:rPr>
          <w:rFonts w:ascii="宋体" w:hAnsi="宋体" w:cs="Microsoft Sans Serif"/>
          <w:color w:val="auto"/>
          <w:kern w:val="0"/>
          <w:szCs w:val="21"/>
          <w:u w:val="single"/>
        </w:rPr>
      </w:pPr>
      <w:r>
        <w:rPr>
          <w:rFonts w:hint="eastAsia" w:ascii="宋体" w:hAnsi="宋体"/>
          <w:color w:val="auto"/>
          <w:szCs w:val="21"/>
        </w:rPr>
        <w:t>（13）</w:t>
      </w:r>
      <w:r>
        <w:rPr>
          <w:rFonts w:hint="eastAsia" w:ascii="宋体" w:hAnsi="宋体" w:cs="Microsoft Sans Serif"/>
          <w:color w:val="auto"/>
          <w:kern w:val="0"/>
          <w:szCs w:val="21"/>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color w:val="auto"/>
          <w:kern w:val="0"/>
          <w:szCs w:val="21"/>
          <w:u w:val="single"/>
        </w:rPr>
        <w:t>计算公式：违约金=应退未退担保金额×中国人民银行2025年3月公布的5年期贷款市场报价利率/360天×逾期天数</w:t>
      </w:r>
      <w:r>
        <w:rPr>
          <w:rFonts w:hint="eastAsia" w:ascii="宋体" w:hAnsi="宋体"/>
          <w:color w:val="auto"/>
          <w:szCs w:val="21"/>
          <w:u w:val="single"/>
        </w:rPr>
        <w:t>（自第29天起计算）</w:t>
      </w:r>
      <w:r>
        <w:rPr>
          <w:rFonts w:hint="eastAsia" w:ascii="宋体" w:hAnsi="宋体" w:cs="Microsoft Sans Serif"/>
          <w:color w:val="auto"/>
          <w:kern w:val="0"/>
          <w:szCs w:val="21"/>
        </w:rPr>
        <w:t>。</w:t>
      </w:r>
    </w:p>
    <w:p w14:paraId="58EEC239">
      <w:pPr>
        <w:pStyle w:val="2"/>
        <w:spacing w:after="0"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（14）</w:t>
      </w:r>
      <w:r>
        <w:rPr>
          <w:rFonts w:hint="eastAsia" w:ascii="宋体" w:hAnsi="宋体"/>
          <w:color w:val="auto"/>
          <w:szCs w:val="21"/>
        </w:rPr>
        <w:t>发包人不当提取履约担保、低价风险担保、预付款担保或质量保证金的，应及时予以退还，若不当提取超过28天的，应承担违约责任：发包人应向承包人支付违约金，</w:t>
      </w:r>
      <w:r>
        <w:rPr>
          <w:rFonts w:hint="eastAsia" w:ascii="宋体" w:hAnsi="宋体"/>
          <w:color w:val="auto"/>
          <w:szCs w:val="21"/>
          <w:u w:val="single"/>
        </w:rPr>
        <w:t>计算公式：违约金=不当提取的担保金额×中国人民银行</w:t>
      </w:r>
      <w:r>
        <w:rPr>
          <w:rFonts w:hint="eastAsia" w:ascii="宋体" w:hAnsi="宋体" w:cs="Microsoft Sans Serif"/>
          <w:color w:val="auto"/>
          <w:kern w:val="0"/>
          <w:szCs w:val="21"/>
          <w:u w:val="single"/>
        </w:rPr>
        <w:t>2025年3月</w:t>
      </w:r>
      <w:r>
        <w:rPr>
          <w:rFonts w:hint="eastAsia" w:ascii="宋体" w:hAnsi="宋体"/>
          <w:color w:val="auto"/>
          <w:szCs w:val="21"/>
          <w:u w:val="single"/>
        </w:rPr>
        <w:t>公布的5年期贷款市场报价利率/360天×逾期天数（自第29天起计算）</w:t>
      </w:r>
      <w:r>
        <w:rPr>
          <w:rFonts w:hint="eastAsia" w:ascii="宋体" w:hAnsi="宋体"/>
          <w:color w:val="auto"/>
          <w:szCs w:val="21"/>
        </w:rPr>
        <w:t>。</w:t>
      </w:r>
    </w:p>
    <w:p w14:paraId="6E65AA78">
      <w:pPr>
        <w:pStyle w:val="2"/>
        <w:spacing w:after="0" w:line="360" w:lineRule="auto"/>
        <w:ind w:firstLine="420" w:firstLineChars="200"/>
        <w:rPr>
          <w:rFonts w:ascii="宋体" w:hAnsi="宋体"/>
          <w:color w:val="auto"/>
          <w:szCs w:val="21"/>
        </w:rPr>
      </w:pPr>
      <w:r>
        <w:rPr>
          <w:rFonts w:hint="eastAsia" w:ascii="宋体" w:hAnsi="宋体" w:cs="Microsoft Sans Serif"/>
          <w:color w:val="auto"/>
          <w:kern w:val="0"/>
          <w:szCs w:val="21"/>
        </w:rPr>
        <w:t>（15）发包人未按合同约定接收全部或部分工作的违约责任：由发包人承担自应当接收工程之日起的工程照管、成品保护、保管等与工程有关的各项费用。</w:t>
      </w:r>
    </w:p>
    <w:p w14:paraId="3AF2776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（16）由于发包人原因对承包人造成的人员人身伤亡和财产损失的，由发包人负责赔偿，并承担由此增加的费用和（或）延误的工期，并支付合理利润。</w:t>
      </w:r>
    </w:p>
    <w:p w14:paraId="1D7F813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（17）发包人未按合同约定办理保险的违约责任：除按18.6.1项约定执行外，每延迟1天，按</w:t>
      </w:r>
      <w:r>
        <w:rPr>
          <w:rFonts w:hint="eastAsia" w:ascii="宋体" w:hAnsi="宋体" w:cs="Microsoft Sans Serif"/>
          <w:color w:val="auto"/>
          <w:kern w:val="0"/>
          <w:szCs w:val="21"/>
          <w:u w:val="single"/>
        </w:rPr>
        <w:t>500元/天</w:t>
      </w:r>
      <w:r>
        <w:rPr>
          <w:rFonts w:hint="eastAsia" w:ascii="宋体" w:hAnsi="宋体" w:cs="Microsoft Sans Serif"/>
          <w:color w:val="auto"/>
          <w:kern w:val="0"/>
          <w:szCs w:val="21"/>
        </w:rPr>
        <w:t>支付违约金。</w:t>
      </w:r>
    </w:p>
    <w:p w14:paraId="5F8624B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（18）其他：</w:t>
      </w:r>
      <w:r>
        <w:rPr>
          <w:rFonts w:hint="eastAsia" w:ascii="宋体" w:hAnsi="宋体" w:cs="Microsoft Sans Serif"/>
          <w:color w:val="auto"/>
          <w:kern w:val="0"/>
          <w:szCs w:val="21"/>
          <w:u w:val="single"/>
        </w:rPr>
        <w:t xml:space="preserve">        </w:t>
      </w:r>
      <w:r>
        <w:rPr>
          <w:rFonts w:hint="eastAsia" w:ascii="宋体" w:hAnsi="宋体" w:cs="Microsoft Sans Serif"/>
          <w:color w:val="auto"/>
          <w:kern w:val="0"/>
          <w:szCs w:val="21"/>
        </w:rPr>
        <w:t>。</w:t>
      </w:r>
    </w:p>
    <w:p w14:paraId="63CA86EA">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7FBD53D6">
      <w:pPr>
        <w:spacing w:line="360" w:lineRule="auto"/>
        <w:ind w:firstLine="420" w:firstLineChars="200"/>
        <w:rPr>
          <w:rFonts w:ascii="宋体" w:hAnsi="宋体"/>
          <w:color w:val="auto"/>
          <w:szCs w:val="21"/>
        </w:rPr>
      </w:pPr>
      <w:r>
        <w:rPr>
          <w:rFonts w:hint="eastAsia" w:ascii="宋体" w:hAnsi="宋体"/>
          <w:color w:val="auto"/>
          <w:szCs w:val="21"/>
        </w:rPr>
        <w:t>16.1.3 因发包人违约解除合同</w:t>
      </w:r>
    </w:p>
    <w:p w14:paraId="50554FDD">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因发包人违约并致使合同目的不能实现的，承包人有权解除合同：</w:t>
      </w:r>
    </w:p>
    <w:p w14:paraId="477C91A9">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（1）因发包人原因延迟支付合同价款超过180天的；</w:t>
      </w:r>
    </w:p>
    <w:p w14:paraId="7FCCFF7E">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（2）因发包人原因导致工期延误超过90天的；</w:t>
      </w:r>
    </w:p>
    <w:p w14:paraId="7983EFF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（3）因发包人第16.1.2（5）违约情形导致暂停施工满56天，且发包人仍未纠正其违约行为的；</w:t>
      </w:r>
    </w:p>
    <w:p w14:paraId="0A7F5C2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（4）其他未履行合同项下的义务构成对合同的实质性违约，并且在收到承包人要求说明其违约并予以补救的通知后56天内仍未补救该实质性违约的；</w:t>
      </w:r>
    </w:p>
    <w:p w14:paraId="4DB9EAD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w:t>
      </w:r>
      <w:r>
        <w:rPr>
          <w:rFonts w:hint="eastAsia" w:ascii="宋体" w:hAnsi="宋体" w:cs="Microsoft Sans Serif"/>
          <w:color w:val="auto"/>
          <w:kern w:val="0"/>
          <w:szCs w:val="21"/>
          <w:u w:val="single"/>
        </w:rPr>
        <w:t>合同约定的承包人有权解除合同的其他情形</w:t>
      </w:r>
      <w:r>
        <w:rPr>
          <w:rFonts w:hint="eastAsia" w:ascii="宋体" w:hAnsi="宋体" w:cs="Microsoft Sans Serif"/>
          <w:color w:val="auto"/>
          <w:kern w:val="0"/>
          <w:szCs w:val="21"/>
        </w:rPr>
        <w:t>。</w:t>
      </w:r>
    </w:p>
    <w:p w14:paraId="10D8DEC4">
      <w:pPr>
        <w:spacing w:line="360" w:lineRule="auto"/>
        <w:ind w:firstLine="420" w:firstLineChars="200"/>
        <w:rPr>
          <w:rFonts w:ascii="宋体" w:hAnsi="宋体"/>
          <w:color w:val="auto"/>
          <w:szCs w:val="21"/>
        </w:rPr>
      </w:pPr>
      <w:r>
        <w:rPr>
          <w:rFonts w:hint="eastAsia" w:ascii="宋体" w:hAnsi="宋体"/>
          <w:color w:val="auto"/>
          <w:szCs w:val="21"/>
        </w:rPr>
        <w:t>16.1.4 因发包人违约解除合同后的付款</w:t>
      </w:r>
    </w:p>
    <w:p w14:paraId="5A99309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承包人按照本款约定解除合同的，发包人应在解除合同后28天内支付下列款项，并解除履约担保、低价风险担保、预付款担保：</w:t>
      </w:r>
    </w:p>
    <w:p w14:paraId="023165E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（1）合同解除前所完成工作的价款；</w:t>
      </w:r>
    </w:p>
    <w:p w14:paraId="1EC51FF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（2）承包人为工程施工订购并已付款的材料、工程设备和其他物品的价款；</w:t>
      </w:r>
    </w:p>
    <w:p w14:paraId="3DCCBE2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（3）承包人撤离施工现场以及遣散承包人人员的款项；</w:t>
      </w:r>
    </w:p>
    <w:p w14:paraId="6AF5522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（4）按照合同约定在合同解除前应支付的违约金；</w:t>
      </w:r>
    </w:p>
    <w:p w14:paraId="40D7045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（5）按照合同约定应当支付给承包人的其他款项；</w:t>
      </w:r>
    </w:p>
    <w:p w14:paraId="785D365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（6）按照合同约定应退还的质量保证金；</w:t>
      </w:r>
    </w:p>
    <w:p w14:paraId="1591CFE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（7）因解除合同给承包人造成的损失；</w:t>
      </w:r>
    </w:p>
    <w:p w14:paraId="61B926C8">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w:t>
      </w:r>
      <w:r>
        <w:rPr>
          <w:rFonts w:hint="eastAsia" w:ascii="宋体" w:hAnsi="宋体" w:cs="Microsoft Sans Serif"/>
          <w:color w:val="auto"/>
          <w:kern w:val="0"/>
          <w:szCs w:val="21"/>
          <w:u w:val="single"/>
        </w:rPr>
        <w:t xml:space="preserve">    /    。</w:t>
      </w:r>
    </w:p>
    <w:p w14:paraId="4A85CB7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合同当事人未能就解除合同后的结清达成一致的，按照第20条〔争议解决〕的约定处理。</w:t>
      </w:r>
    </w:p>
    <w:p w14:paraId="7CB93C8C">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承包人应妥善做好已完工程和与工程有关的已购材料、工程设备的保护和移交工作，并将施工设备和人员撤出施工现场，发包人应为承包人撤出提供必要条件。</w:t>
      </w:r>
    </w:p>
    <w:p w14:paraId="7EDC6990">
      <w:pPr>
        <w:pStyle w:val="7"/>
        <w:spacing w:before="0" w:beforeAutospacing="0" w:after="0" w:afterAutospacing="0" w:line="360" w:lineRule="auto"/>
        <w:ind w:firstLine="422" w:firstLineChars="200"/>
        <w:rPr>
          <w:color w:val="auto"/>
          <w:sz w:val="21"/>
          <w:szCs w:val="21"/>
        </w:rPr>
      </w:pPr>
      <w:bookmarkStart w:id="2032" w:name="_Toc532377403"/>
      <w:r>
        <w:rPr>
          <w:rFonts w:hint="eastAsia"/>
          <w:color w:val="auto"/>
          <w:sz w:val="21"/>
          <w:szCs w:val="21"/>
        </w:rPr>
        <w:t>16.2 承包人违约</w:t>
      </w:r>
      <w:bookmarkEnd w:id="2032"/>
    </w:p>
    <w:p w14:paraId="5285A5A5">
      <w:pPr>
        <w:snapToGrid w:val="0"/>
        <w:spacing w:line="360" w:lineRule="auto"/>
        <w:ind w:firstLine="420" w:firstLineChars="200"/>
        <w:jc w:val="left"/>
        <w:rPr>
          <w:rFonts w:ascii="宋体" w:hAnsi="宋体" w:cs="Microsoft Sans Serif"/>
          <w:color w:val="auto"/>
          <w:kern w:val="0"/>
          <w:szCs w:val="21"/>
        </w:rPr>
      </w:pPr>
      <w:bookmarkStart w:id="2033" w:name="_Hlk524380579"/>
      <w:r>
        <w:rPr>
          <w:rFonts w:hint="eastAsia" w:ascii="宋体" w:hAnsi="宋体" w:cs="Microsoft Sans Serif"/>
          <w:color w:val="auto"/>
          <w:kern w:val="0"/>
          <w:szCs w:val="21"/>
        </w:rPr>
        <w:t>16.2.1 承包人违约的情形</w:t>
      </w:r>
    </w:p>
    <w:p w14:paraId="6DCEE129">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除通用合同条款约定外，承包人违约的其他情形：</w:t>
      </w:r>
    </w:p>
    <w:p w14:paraId="5E1E173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（1）承包人未按合同约定提交履约担保或质量保证金的；</w:t>
      </w:r>
    </w:p>
    <w:p w14:paraId="17AB732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（2）承包人未能按期开工的；</w:t>
      </w:r>
    </w:p>
    <w:p w14:paraId="48E108E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（3）承包人未按投标文件或监理人的要求及时配备称职的主要管理人员，或承包人未按经审定的施工组织设计配备或更换关键施工设备的；</w:t>
      </w:r>
    </w:p>
    <w:p w14:paraId="111A259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（4）承包人有安全问题或有违反安全管理规章制度情况的；</w:t>
      </w:r>
    </w:p>
    <w:p w14:paraId="1B6D775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（5）承包人在缺陷责任期及保修期内，未能在合理期限对工程缺陷进行修复，或拒绝按发包人要求进行修复的；</w:t>
      </w:r>
    </w:p>
    <w:p w14:paraId="6B3DAC3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（6）承包人拖欠其工人或所雇人员工资或报酬，导致其工人或所雇人员向有关部门投诉、控告、检举或以聚集等方式讨要工资或报酬的；</w:t>
      </w:r>
    </w:p>
    <w:p w14:paraId="78745A3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（7）承包人不配合发包人、监理人及发包人委托的工程造价咨询服务单位结算审核或承包人其他原因导致未按期完成工程竣工结算的；</w:t>
      </w:r>
    </w:p>
    <w:p w14:paraId="1E7FCFC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（8）承包人违反合同约定进行转包或违法分包的；</w:t>
      </w:r>
    </w:p>
    <w:p w14:paraId="07B199C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（9）承包人未按合同约定移交全部或部分工作的；</w:t>
      </w:r>
    </w:p>
    <w:p w14:paraId="1B563A3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（10）承包人未按合同约定购买保险的；</w:t>
      </w:r>
    </w:p>
    <w:p w14:paraId="6D0784A1">
      <w:pPr>
        <w:snapToGrid w:val="0"/>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（11）项目经理若有以下情形，属于承包人违约：</w:t>
      </w:r>
    </w:p>
    <w:p w14:paraId="272D9B4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1）项目经理不按承诺到岗的；</w:t>
      </w:r>
    </w:p>
    <w:p w14:paraId="7014A86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2）每月在施工现场的天数少于约定天数的；</w:t>
      </w:r>
    </w:p>
    <w:p w14:paraId="5961AFA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3）承包人未提交项目经理劳动合同和社会保险证明的；</w:t>
      </w:r>
    </w:p>
    <w:p w14:paraId="06A4F7C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4）未经批准，擅自离开施工现场（超过约定时间）的；</w:t>
      </w:r>
    </w:p>
    <w:p w14:paraId="1BE7024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5）未经批准，擅自变更项目经理的；</w:t>
      </w:r>
    </w:p>
    <w:p w14:paraId="737CD93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6）按照渝建发〔2015〕35号文的要求，施工期间，项目经理因在一个记分周期内累计记分达到12分，被建设行政主管部门依法责令停止执业的；</w:t>
      </w:r>
    </w:p>
    <w:p w14:paraId="78BA6AA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7）发包人有正当理由认为项目经理不称职/不履职，且承包人在约定时间内不予更换的；</w:t>
      </w:r>
    </w:p>
    <w:p w14:paraId="2A301CB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20D9661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（12）技术负责人若有以下情形，属于承包人违约：</w:t>
      </w:r>
    </w:p>
    <w:p w14:paraId="3A1F506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1）每月在施工现场的天数少于约定天数的；</w:t>
      </w:r>
    </w:p>
    <w:p w14:paraId="5DD21FA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2）承包人未提交技术负责人劳动合同和社会保险证明的；</w:t>
      </w:r>
    </w:p>
    <w:p w14:paraId="4AFD1B5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3）未经批准，擅自离开施工现场（超过约定时间）的；</w:t>
      </w:r>
    </w:p>
    <w:p w14:paraId="631C78D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4）未经批准，擅自变更技术负责人的；</w:t>
      </w:r>
    </w:p>
    <w:p w14:paraId="1FD3A6F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5）发包人有正当理由认为技术负责人不称职/不履职，且承包人在约定时间内不予更换的；</w:t>
      </w:r>
    </w:p>
    <w:p w14:paraId="6EF515A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41EF1F2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（13）主要施工管理人员若有以下情形，属于承包人违约：</w:t>
      </w:r>
    </w:p>
    <w:p w14:paraId="0D85515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1）承包人未提交主要管理人员劳动合同和社会保险证明的；</w:t>
      </w:r>
    </w:p>
    <w:p w14:paraId="16D36C3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2）未经批准，擅自离开施工现场（超过约定时间）的；</w:t>
      </w:r>
    </w:p>
    <w:p w14:paraId="2A77699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3）未经批准，擅自变更主要施工管理人员的；</w:t>
      </w:r>
    </w:p>
    <w:p w14:paraId="2C2DDBB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4）发包人有正当理由认为主要施工管理人员不称职/不履职，且承包人在约定时间内不予更换的；</w:t>
      </w:r>
    </w:p>
    <w:p w14:paraId="4C7CDC0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1AF8F60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（14）严禁私自接收外来渣土。若经发现违者罚款10万元每车每次。累计3次业主有权解除合同并追究相关责任。</w:t>
      </w:r>
    </w:p>
    <w:bookmarkEnd w:id="2033"/>
    <w:p w14:paraId="1EFB5CE9">
      <w:pPr>
        <w:adjustRightInd w:val="0"/>
        <w:snapToGrid w:val="0"/>
        <w:spacing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16.2.2 承包人违约的责任</w:t>
      </w:r>
    </w:p>
    <w:p w14:paraId="543F3900">
      <w:pPr>
        <w:adjustRightInd w:val="0"/>
        <w:snapToGrid w:val="0"/>
        <w:spacing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承包人违约责任的承担方式和计算方法：</w:t>
      </w:r>
    </w:p>
    <w:p w14:paraId="692D3E2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（1）承包人未按合同约定提交履约担保、质量保证金的违约责任：承包人应支付违约金，</w:t>
      </w:r>
      <w:r>
        <w:rPr>
          <w:rFonts w:hint="eastAsia" w:ascii="宋体" w:hAnsi="宋体" w:cs="Microsoft Sans Serif"/>
          <w:color w:val="auto"/>
          <w:szCs w:val="21"/>
        </w:rPr>
        <w:t>违约金的计算方法：</w:t>
      </w:r>
      <w:r>
        <w:rPr>
          <w:rFonts w:hint="eastAsia" w:ascii="宋体" w:hAnsi="宋体" w:cs="Microsoft Sans Serif"/>
          <w:color w:val="auto"/>
          <w:kern w:val="0"/>
          <w:szCs w:val="21"/>
        </w:rPr>
        <w:t>每延误1天，承包人按</w:t>
      </w:r>
      <w:r>
        <w:rPr>
          <w:rFonts w:hint="eastAsia" w:ascii="宋体" w:hAnsi="宋体" w:cs="Microsoft Sans Serif"/>
          <w:color w:val="auto"/>
          <w:kern w:val="0"/>
          <w:szCs w:val="21"/>
          <w:u w:val="single"/>
        </w:rPr>
        <w:t xml:space="preserve">  50000元/天</w:t>
      </w:r>
      <w:r>
        <w:rPr>
          <w:rFonts w:hint="eastAsia" w:ascii="宋体" w:hAnsi="宋体" w:cs="Microsoft Sans Serif"/>
          <w:color w:val="auto"/>
          <w:kern w:val="0"/>
          <w:szCs w:val="21"/>
        </w:rPr>
        <w:t>计算违约金，累计违约金上限：</w:t>
      </w:r>
      <w:r>
        <w:rPr>
          <w:rFonts w:hint="eastAsia" w:ascii="宋体" w:hAnsi="宋体" w:cs="Microsoft Sans Serif"/>
          <w:color w:val="auto"/>
          <w:kern w:val="0"/>
          <w:szCs w:val="21"/>
          <w:u w:val="single"/>
        </w:rPr>
        <w:t xml:space="preserve">  不超过签约合同价的3%</w:t>
      </w:r>
      <w:r>
        <w:rPr>
          <w:rFonts w:hint="eastAsia" w:ascii="宋体" w:hAnsi="宋体" w:cs="Microsoft Sans Serif"/>
          <w:color w:val="auto"/>
          <w:kern w:val="0"/>
          <w:szCs w:val="21"/>
          <w:lang w:val="zh-CN"/>
        </w:rPr>
        <w:t>。</w:t>
      </w:r>
    </w:p>
    <w:p w14:paraId="0ACA7BC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（2）承包人违反合同约定进行转包或违法分包的违约责任：按照违反合同约定进行转包和（或）违法分包相应转包和（或）分包合同的合同金额的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支付违约金，违法转/分包商应在7天内撤离出场。</w:t>
      </w:r>
    </w:p>
    <w:p w14:paraId="7E1DF27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1F7C91A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1EFCCD2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color w:val="auto"/>
          <w:kern w:val="0"/>
          <w:szCs w:val="21"/>
          <w:u w:val="single"/>
        </w:rPr>
        <w:t xml:space="preserve"> 5%</w:t>
      </w:r>
      <w:r>
        <w:rPr>
          <w:rFonts w:hint="eastAsia" w:ascii="宋体" w:hAnsi="宋体" w:cs="Microsoft Sans Serif"/>
          <w:color w:val="auto"/>
          <w:kern w:val="0"/>
          <w:szCs w:val="21"/>
        </w:rPr>
        <w:t>支付违约金。</w:t>
      </w:r>
    </w:p>
    <w:p w14:paraId="0A77105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（6）因承包人原因造成工期延误的违约承担方式和计算方法：由承包人承担由此增加的费用，</w:t>
      </w:r>
      <w:r>
        <w:rPr>
          <w:rFonts w:hint="eastAsia" w:ascii="宋体" w:hAnsi="宋体" w:cs="Microsoft Sans Serif"/>
          <w:color w:val="auto"/>
          <w:szCs w:val="21"/>
        </w:rPr>
        <w:t>由此导致工期延误的，工期不予顺延；逾期竣工违约金的计算方法：</w:t>
      </w:r>
      <w:r>
        <w:rPr>
          <w:rFonts w:hint="eastAsia" w:ascii="宋体" w:hAnsi="宋体" w:cs="Microsoft Sans Serif"/>
          <w:color w:val="auto"/>
          <w:kern w:val="0"/>
          <w:szCs w:val="21"/>
        </w:rPr>
        <w:t>每延误1天，承包人按</w:t>
      </w:r>
      <w:r>
        <w:rPr>
          <w:rFonts w:hint="eastAsia" w:ascii="宋体" w:hAnsi="宋体" w:cs="Microsoft Sans Serif"/>
          <w:color w:val="auto"/>
          <w:kern w:val="0"/>
          <w:szCs w:val="21"/>
          <w:u w:val="single"/>
        </w:rPr>
        <w:t xml:space="preserve"> 50000元/天</w:t>
      </w:r>
      <w:r>
        <w:rPr>
          <w:rFonts w:hint="eastAsia" w:ascii="宋体" w:hAnsi="宋体" w:cs="Microsoft Sans Serif"/>
          <w:color w:val="auto"/>
          <w:kern w:val="0"/>
          <w:szCs w:val="21"/>
        </w:rPr>
        <w:t>计算逾期竣工违约金，累计违约金上限：不超过签约合同价的3%</w:t>
      </w:r>
      <w:r>
        <w:rPr>
          <w:rFonts w:hint="eastAsia" w:ascii="宋体" w:hAnsi="宋体" w:cs="Microsoft Sans Serif"/>
          <w:color w:val="auto"/>
          <w:kern w:val="0"/>
          <w:szCs w:val="21"/>
          <w:lang w:val="zh-CN"/>
        </w:rPr>
        <w:t>；</w:t>
      </w:r>
      <w:r>
        <w:rPr>
          <w:rFonts w:hint="eastAsia" w:ascii="宋体" w:hAnsi="宋体" w:cs="Microsoft Sans Serif"/>
          <w:color w:val="auto"/>
          <w:kern w:val="0"/>
          <w:szCs w:val="21"/>
        </w:rPr>
        <w:t>承包人支付逾期竣工违约金后，不免除承包人继续完成工程及修补缺陷的义务。</w:t>
      </w:r>
    </w:p>
    <w:p w14:paraId="670AAC5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（7）承包人在缺陷责任期及保修期内，未能在合理期限对工程缺陷进行修复，或拒绝按发包人要求进行修复的违约责任：按照发包人修复缺陷费用的</w:t>
      </w:r>
      <w:r>
        <w:rPr>
          <w:rFonts w:hint="eastAsia" w:ascii="宋体" w:hAnsi="宋体" w:cs="Microsoft Sans Serif"/>
          <w:color w:val="auto"/>
          <w:kern w:val="0"/>
          <w:szCs w:val="21"/>
          <w:u w:val="single"/>
        </w:rPr>
        <w:t>2%</w:t>
      </w:r>
      <w:r>
        <w:rPr>
          <w:rFonts w:hint="eastAsia" w:ascii="宋体" w:hAnsi="宋体" w:cs="Microsoft Sans Serif"/>
          <w:color w:val="auto"/>
          <w:kern w:val="0"/>
          <w:szCs w:val="21"/>
        </w:rPr>
        <w:t>支付违约金。</w:t>
      </w:r>
    </w:p>
    <w:p w14:paraId="00CDA929">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（8）承包人明确表示或者以其行为表明不履行合同主要义务的违约责任：按签约合同价的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6881931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（9）承包人未能按照合同约定履行其他义务的违约责任：按</w:t>
      </w:r>
      <w:r>
        <w:rPr>
          <w:rFonts w:hint="eastAsia" w:ascii="宋体" w:hAnsi="宋体" w:cs="Microsoft Sans Serif"/>
          <w:color w:val="auto"/>
          <w:kern w:val="0"/>
          <w:szCs w:val="21"/>
          <w:u w:val="single"/>
        </w:rPr>
        <w:t>5000元/次</w:t>
      </w:r>
      <w:r>
        <w:rPr>
          <w:rFonts w:hint="eastAsia" w:ascii="宋体" w:hAnsi="宋体" w:cs="Microsoft Sans Serif"/>
          <w:color w:val="auto"/>
          <w:kern w:val="0"/>
          <w:szCs w:val="21"/>
        </w:rPr>
        <w:t>支付违约金。</w:t>
      </w:r>
    </w:p>
    <w:p w14:paraId="2FD3FFC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（10）承包人未能按期开工的违约责任：按合同价</w:t>
      </w:r>
      <w:r>
        <w:rPr>
          <w:rFonts w:hint="eastAsia" w:ascii="宋体" w:hAnsi="宋体" w:cs="Microsoft Sans Serif"/>
          <w:color w:val="auto"/>
          <w:kern w:val="0"/>
          <w:szCs w:val="21"/>
          <w:u w:val="single"/>
        </w:rPr>
        <w:t>0.2‰/天</w:t>
      </w:r>
      <w:r>
        <w:rPr>
          <w:rFonts w:hint="eastAsia" w:ascii="宋体" w:hAnsi="宋体" w:cs="Microsoft Sans Serif"/>
          <w:color w:val="auto"/>
          <w:kern w:val="0"/>
          <w:szCs w:val="21"/>
        </w:rPr>
        <w:t>支付违约金，本项违约金累计限额为签约合同价的</w:t>
      </w:r>
      <w:r>
        <w:rPr>
          <w:rFonts w:hint="eastAsia" w:ascii="宋体" w:hAnsi="宋体" w:cs="Microsoft Sans Serif"/>
          <w:color w:val="auto"/>
          <w:kern w:val="0"/>
          <w:szCs w:val="21"/>
          <w:u w:val="single"/>
        </w:rPr>
        <w:t xml:space="preserve"> 1 %</w:t>
      </w:r>
      <w:r>
        <w:rPr>
          <w:rFonts w:hint="eastAsia" w:ascii="宋体" w:hAnsi="宋体" w:cs="Microsoft Sans Serif"/>
          <w:color w:val="auto"/>
          <w:kern w:val="0"/>
          <w:szCs w:val="21"/>
        </w:rPr>
        <w:t>。</w:t>
      </w:r>
    </w:p>
    <w:p w14:paraId="5BDEB31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（11）承包人未按经审定的施工组织设计配备或更换关键施工设备的违约责任：按</w:t>
      </w:r>
      <w:r>
        <w:rPr>
          <w:rFonts w:hint="eastAsia" w:ascii="宋体" w:hAnsi="宋体" w:cs="Microsoft Sans Serif"/>
          <w:color w:val="auto"/>
          <w:kern w:val="0"/>
          <w:szCs w:val="21"/>
          <w:u w:val="single"/>
        </w:rPr>
        <w:t xml:space="preserve"> 50000元/台·次</w:t>
      </w:r>
      <w:r>
        <w:rPr>
          <w:rFonts w:hint="eastAsia" w:ascii="宋体" w:hAnsi="宋体" w:cs="Microsoft Sans Serif"/>
          <w:color w:val="auto"/>
          <w:kern w:val="0"/>
          <w:szCs w:val="21"/>
        </w:rPr>
        <w:t>支付违约金。</w:t>
      </w:r>
    </w:p>
    <w:p w14:paraId="0280FBC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（12）承包人有安全问题或有违反安全管理规章制度情况的违约责任：根据具体情节，按签约合同价的</w:t>
      </w:r>
      <w:r>
        <w:rPr>
          <w:rFonts w:hint="eastAsia" w:ascii="宋体" w:hAnsi="宋体" w:cs="Microsoft Sans Serif"/>
          <w:color w:val="auto"/>
          <w:kern w:val="0"/>
          <w:szCs w:val="21"/>
          <w:u w:val="single"/>
        </w:rPr>
        <w:t>4‰/次</w:t>
      </w:r>
      <w:r>
        <w:rPr>
          <w:rFonts w:hint="eastAsia" w:ascii="宋体" w:hAnsi="宋体" w:cs="Microsoft Sans Serif"/>
          <w:color w:val="auto"/>
          <w:kern w:val="0"/>
          <w:szCs w:val="21"/>
        </w:rPr>
        <w:t>支付违约金（累计不超过签约合同价的1%，详见附件9安全管理协议）。</w:t>
      </w:r>
    </w:p>
    <w:p w14:paraId="3DBA485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color w:val="auto"/>
          <w:kern w:val="0"/>
          <w:szCs w:val="21"/>
          <w:u w:val="single"/>
        </w:rPr>
        <w:t xml:space="preserve"> 200000元/次</w:t>
      </w:r>
      <w:r>
        <w:rPr>
          <w:rFonts w:hint="eastAsia" w:ascii="宋体" w:hAnsi="宋体" w:cs="Microsoft Sans Serif"/>
          <w:color w:val="auto"/>
          <w:kern w:val="0"/>
          <w:szCs w:val="21"/>
        </w:rPr>
        <w:t>支付违约金。</w:t>
      </w:r>
    </w:p>
    <w:p w14:paraId="134FBCD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（14）承包人不配合发包人、监理人及发包人委托的工程造价咨询服务单位结算审核的违约责任：根据具体情节，按</w:t>
      </w:r>
      <w:r>
        <w:rPr>
          <w:rFonts w:hint="eastAsia" w:ascii="宋体" w:hAnsi="宋体" w:cs="Microsoft Sans Serif"/>
          <w:color w:val="auto"/>
          <w:kern w:val="0"/>
          <w:szCs w:val="21"/>
          <w:u w:val="single"/>
        </w:rPr>
        <w:t xml:space="preserve"> 100000元/次</w:t>
      </w:r>
      <w:r>
        <w:rPr>
          <w:rFonts w:hint="eastAsia" w:ascii="宋体" w:hAnsi="宋体" w:cs="Microsoft Sans Serif"/>
          <w:color w:val="auto"/>
          <w:kern w:val="0"/>
          <w:szCs w:val="21"/>
        </w:rPr>
        <w:t>支付违约金。</w:t>
      </w:r>
    </w:p>
    <w:p w14:paraId="4FA09E4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color w:val="auto"/>
          <w:kern w:val="0"/>
          <w:szCs w:val="21"/>
          <w:u w:val="single"/>
        </w:rPr>
        <w:t>1‰</w:t>
      </w:r>
      <w:r>
        <w:rPr>
          <w:rFonts w:hint="eastAsia" w:ascii="宋体" w:hAnsi="宋体" w:cs="Microsoft Sans Serif"/>
          <w:color w:val="auto"/>
          <w:kern w:val="0"/>
          <w:szCs w:val="21"/>
        </w:rPr>
        <w:t>支付违约金。</w:t>
      </w:r>
    </w:p>
    <w:p w14:paraId="1512A7B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（16）承包人未按合同约定购买保险的违约责任：除按18.6.2项约定执行外，每延迟1天，按</w:t>
      </w:r>
      <w:r>
        <w:rPr>
          <w:rFonts w:hint="eastAsia" w:ascii="宋体" w:hAnsi="宋体" w:cs="Microsoft Sans Serif"/>
          <w:color w:val="auto"/>
          <w:szCs w:val="21"/>
          <w:u w:val="single"/>
        </w:rPr>
        <w:t>500元/天</w:t>
      </w:r>
      <w:r>
        <w:rPr>
          <w:rFonts w:hint="eastAsia" w:ascii="宋体" w:hAnsi="宋体" w:cs="Microsoft Sans Serif"/>
          <w:color w:val="auto"/>
          <w:szCs w:val="21"/>
        </w:rPr>
        <w:t>支付违约金。</w:t>
      </w:r>
    </w:p>
    <w:p w14:paraId="55C46A6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（17）发生第16.2.1项（11）目、16.2.1项（12）目、16.2.1项（13）目违约情形的违约责任：除承担由此增加的费用和工期延误的责任，承包人应向发包人支付违约金：</w:t>
      </w:r>
    </w:p>
    <w:p w14:paraId="784ADE6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1）项目经理违约承担方式和计算方法：对于第16.2.1项（11）目的情形，每发现一次，根据具体情节，按</w:t>
      </w:r>
      <w:r>
        <w:rPr>
          <w:rFonts w:hint="eastAsia" w:ascii="宋体" w:hAnsi="宋体" w:cs="Microsoft Sans Serif"/>
          <w:color w:val="auto"/>
          <w:kern w:val="0"/>
          <w:szCs w:val="21"/>
          <w:u w:val="single"/>
        </w:rPr>
        <w:t>30000元/天·次</w:t>
      </w:r>
      <w:r>
        <w:rPr>
          <w:rFonts w:hint="eastAsia" w:ascii="宋体" w:hAnsi="宋体" w:cs="Microsoft Sans Serif"/>
          <w:color w:val="auto"/>
          <w:kern w:val="0"/>
          <w:szCs w:val="21"/>
        </w:rPr>
        <w:t>计算违约金；项目经理不按承诺到岗的（</w:t>
      </w:r>
      <w:r>
        <w:rPr>
          <w:rFonts w:ascii="宋体" w:hAnsi="宋体" w:cs="Microsoft Sans Serif"/>
          <w:color w:val="auto"/>
          <w:kern w:val="0"/>
          <w:szCs w:val="21"/>
        </w:rPr>
        <w:t>3.2.3项约定的情形除外</w:t>
      </w:r>
      <w:r>
        <w:rPr>
          <w:rFonts w:hint="eastAsia" w:ascii="宋体" w:hAnsi="宋体" w:cs="Microsoft Sans Serif"/>
          <w:color w:val="auto"/>
          <w:kern w:val="0"/>
          <w:szCs w:val="21"/>
        </w:rPr>
        <w:t>），按履约保证金的</w:t>
      </w:r>
      <w:r>
        <w:rPr>
          <w:rFonts w:hint="eastAsia" w:ascii="宋体" w:hAnsi="宋体" w:cs="Microsoft Sans Serif"/>
          <w:color w:val="auto"/>
          <w:kern w:val="0"/>
          <w:szCs w:val="21"/>
          <w:u w:val="single"/>
        </w:rPr>
        <w:t>100%</w:t>
      </w:r>
      <w:r>
        <w:rPr>
          <w:rFonts w:hint="eastAsia" w:ascii="宋体" w:hAnsi="宋体" w:cs="Microsoft Sans Serif"/>
          <w:color w:val="auto"/>
          <w:kern w:val="0"/>
          <w:szCs w:val="21"/>
        </w:rPr>
        <w:t>支付违约金，并解除合同；擅自更换项目经理的，按签约合同价的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200万</w:t>
      </w:r>
      <w:r>
        <w:rPr>
          <w:rFonts w:hint="eastAsia" w:ascii="宋体" w:hAnsi="宋体" w:cs="Microsoft Sans Serif"/>
          <w:color w:val="auto"/>
          <w:kern w:val="0"/>
          <w:szCs w:val="21"/>
        </w:rPr>
        <w:t>；项目经理被责令停止执业的，按签约合同价的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200万</w:t>
      </w:r>
      <w:r>
        <w:rPr>
          <w:rFonts w:hint="eastAsia" w:ascii="宋体" w:hAnsi="宋体" w:cs="Microsoft Sans Serif"/>
          <w:color w:val="auto"/>
          <w:kern w:val="0"/>
          <w:szCs w:val="21"/>
        </w:rPr>
        <w:t>；项目经理被责令停止执业的，按签约合同价的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w:t>
      </w:r>
      <w:r>
        <w:rPr>
          <w:rFonts w:hint="eastAsia" w:ascii="宋体" w:hAnsi="宋体" w:cs="Microsoft Sans Serif"/>
          <w:color w:val="auto"/>
          <w:kern w:val="0"/>
          <w:szCs w:val="21"/>
        </w:rPr>
        <w:t>万，累计不超过</w:t>
      </w:r>
      <w:r>
        <w:rPr>
          <w:rFonts w:hint="eastAsia" w:ascii="宋体" w:hAnsi="宋体" w:cs="Microsoft Sans Serif"/>
          <w:color w:val="auto"/>
          <w:kern w:val="0"/>
          <w:szCs w:val="21"/>
          <w:u w:val="single"/>
        </w:rPr>
        <w:t>200</w:t>
      </w:r>
      <w:r>
        <w:rPr>
          <w:rFonts w:hint="eastAsia" w:ascii="宋体" w:hAnsi="宋体" w:cs="Microsoft Sans Serif"/>
          <w:color w:val="auto"/>
          <w:kern w:val="0"/>
          <w:szCs w:val="21"/>
        </w:rPr>
        <w:t>万。</w:t>
      </w:r>
    </w:p>
    <w:p w14:paraId="2382EC1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2）主要技术负责人违约承担方式和计算方法：对于第16.2.1项（12）目的六种情形，每发现一次，根据具体情节，按</w:t>
      </w:r>
      <w:r>
        <w:rPr>
          <w:rFonts w:hint="eastAsia" w:ascii="宋体" w:hAnsi="宋体" w:cs="Microsoft Sans Serif"/>
          <w:color w:val="auto"/>
          <w:kern w:val="0"/>
          <w:szCs w:val="21"/>
          <w:u w:val="single"/>
        </w:rPr>
        <w:t>30000元/天·次</w:t>
      </w:r>
      <w:r>
        <w:rPr>
          <w:rFonts w:hint="eastAsia" w:ascii="宋体" w:hAnsi="宋体" w:cs="Microsoft Sans Serif"/>
          <w:color w:val="auto"/>
          <w:kern w:val="0"/>
          <w:szCs w:val="21"/>
        </w:rPr>
        <w:t>计算违约金；擅自更换主要技术负责人的，按签约合同价的</w:t>
      </w:r>
      <w:r>
        <w:rPr>
          <w:rFonts w:hint="eastAsia" w:ascii="宋体" w:hAnsi="宋体" w:cs="Microsoft Sans Serif"/>
          <w:color w:val="auto"/>
          <w:kern w:val="0"/>
          <w:szCs w:val="21"/>
          <w:u w:val="single"/>
        </w:rPr>
        <w:t>2%/人·次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10万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100万</w:t>
      </w:r>
      <w:r>
        <w:rPr>
          <w:rFonts w:hint="eastAsia" w:ascii="宋体" w:hAnsi="宋体" w:cs="Microsoft Sans Serif"/>
          <w:color w:val="auto"/>
          <w:kern w:val="0"/>
          <w:szCs w:val="21"/>
        </w:rPr>
        <w:t>。</w:t>
      </w:r>
    </w:p>
    <w:p w14:paraId="6B1D33EC">
      <w:pPr>
        <w:snapToGrid w:val="0"/>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3）主要施工管理人员违约承担方式和计算方法：对于第16.2.1项（13）目的五种情形，每发现一次，根据具体情节，按</w:t>
      </w:r>
      <w:r>
        <w:rPr>
          <w:rFonts w:hint="eastAsia" w:ascii="宋体" w:hAnsi="宋体" w:cs="Microsoft Sans Serif"/>
          <w:color w:val="auto"/>
          <w:kern w:val="0"/>
          <w:szCs w:val="21"/>
          <w:u w:val="single"/>
        </w:rPr>
        <w:t>10000元/天·次</w:t>
      </w:r>
      <w:r>
        <w:rPr>
          <w:rFonts w:hint="eastAsia" w:ascii="宋体" w:hAnsi="宋体" w:cs="Microsoft Sans Serif"/>
          <w:color w:val="auto"/>
          <w:kern w:val="0"/>
          <w:szCs w:val="21"/>
        </w:rPr>
        <w:t>计算违约金。</w:t>
      </w:r>
    </w:p>
    <w:p w14:paraId="7A148F7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（18）</w:t>
      </w:r>
      <w:r>
        <w:rPr>
          <w:rFonts w:ascii="宋体" w:hAnsi="宋体" w:cs="Microsoft Sans Serif"/>
          <w:color w:val="auto"/>
          <w:kern w:val="0"/>
          <w:szCs w:val="21"/>
        </w:rPr>
        <w:t>严禁私自接收外来渣土。若经发现违者罚款10万元每车每次。累计3次业主有权解除合同并追究相关责任。</w:t>
      </w:r>
      <w:bookmarkStart w:id="2034" w:name="_Hlk524380347"/>
    </w:p>
    <w:p w14:paraId="1202713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color w:val="auto"/>
          <w:kern w:val="0"/>
          <w:szCs w:val="21"/>
        </w:rPr>
        <w:t>16.2.2项第（1）目承担违约责任</w:t>
      </w:r>
      <w:r>
        <w:rPr>
          <w:rFonts w:hint="eastAsia" w:ascii="宋体" w:hAnsi="宋体" w:cs="Microsoft Sans Serif"/>
          <w:color w:val="auto"/>
          <w:szCs w:val="21"/>
        </w:rPr>
        <w:t>，并从应付或到期应付给承包人的任何款项中或采用其他方法，扣除该违约金。</w:t>
      </w:r>
    </w:p>
    <w:p w14:paraId="2832C2B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color w:val="auto"/>
          <w:kern w:val="0"/>
          <w:szCs w:val="21"/>
        </w:rPr>
        <w:t>，承担由此给</w:t>
      </w:r>
      <w:r>
        <w:rPr>
          <w:rFonts w:hint="eastAsia" w:ascii="宋体" w:hAnsi="宋体" w:cs="Microsoft Sans Serif"/>
          <w:color w:val="auto"/>
          <w:szCs w:val="21"/>
        </w:rPr>
        <w:t>发包人造成的经济损失。</w:t>
      </w:r>
    </w:p>
    <w:p w14:paraId="173EC44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承包人承担承包范围的工程质量、安全、环保责任，因承包人原因引起的质量、安全、环保等事故由承包人承担相应的法律后果。</w:t>
      </w:r>
    </w:p>
    <w:bookmarkEnd w:id="2034"/>
    <w:p w14:paraId="503C4D6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16.2.3 因承包人违约解除合同</w:t>
      </w:r>
    </w:p>
    <w:p w14:paraId="49AD245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因承包人违约并致使合同目的不能实现的，发包人有权解除合同：</w:t>
      </w:r>
    </w:p>
    <w:p w14:paraId="048F81AE">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（1）未按合同约定延迟提供履约担保、质量保证金超过14天的；</w:t>
      </w:r>
    </w:p>
    <w:p w14:paraId="2D1AF694">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（2）未按合同约定购买保险且经催告后超过56天的；</w:t>
      </w:r>
    </w:p>
    <w:p w14:paraId="6D2CCE89">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（3）因承包人原因导致开工时间累计延误超过56天的；</w:t>
      </w:r>
    </w:p>
    <w:p w14:paraId="451E7E57">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（4）因承包人原因导致工期延误超过90天的；</w:t>
      </w:r>
    </w:p>
    <w:p w14:paraId="5B0A2247">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（5）发生第21.2款〔退出机制〕约定的情形的；</w:t>
      </w:r>
    </w:p>
    <w:p w14:paraId="4E476A79">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（6）监理人发出整改通知后，承包人在监理人限定的期限内仍不纠正违约行为的；</w:t>
      </w:r>
    </w:p>
    <w:p w14:paraId="38FE5361">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（7）承包人进入清算或者严重资不抵债且无法履行合同的；</w:t>
      </w:r>
    </w:p>
    <w:p w14:paraId="6B60FC0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（8）违反适用法律而被相关政府部门依法吊销营业执照、责令停业、清算或宣布破产、责令关闭的；</w:t>
      </w:r>
    </w:p>
    <w:p w14:paraId="1B498C26">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（9）承包人未履行合同项下的义务构成对合同的实质性违约，并且在收到发包人要求说明其违约并予以补救的通知后56天内仍未能补救该实质性违约的；</w:t>
      </w:r>
    </w:p>
    <w:p w14:paraId="0926244F">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（10）严禁私自接收外来渣土。若经发现违者罚款10万元每车每次。累计3次业主有权解除合同并追究相关责任。</w:t>
      </w:r>
    </w:p>
    <w:p w14:paraId="0CB4D459">
      <w:pPr>
        <w:pStyle w:val="107"/>
        <w:spacing w:line="360" w:lineRule="auto"/>
        <w:jc w:val="left"/>
        <w:rPr>
          <w:rFonts w:ascii="宋体" w:hAnsi="宋体" w:cs="Microsoft Sans Serif"/>
          <w:color w:val="auto"/>
          <w:kern w:val="0"/>
          <w:sz w:val="21"/>
          <w:szCs w:val="21"/>
        </w:rPr>
      </w:pPr>
      <w:r>
        <w:rPr>
          <w:rFonts w:ascii="宋体" w:hAnsi="宋体" w:cs="Microsoft Sans Serif"/>
          <w:color w:val="auto"/>
          <w:kern w:val="0"/>
          <w:sz w:val="21"/>
          <w:szCs w:val="21"/>
        </w:rPr>
        <w:t>（</w:t>
      </w:r>
      <w:r>
        <w:rPr>
          <w:rFonts w:hint="eastAsia" w:ascii="宋体" w:hAnsi="宋体" w:cs="Microsoft Sans Serif"/>
          <w:color w:val="auto"/>
          <w:kern w:val="0"/>
          <w:sz w:val="21"/>
          <w:szCs w:val="21"/>
        </w:rPr>
        <w:t>11</w:t>
      </w:r>
      <w:r>
        <w:rPr>
          <w:rFonts w:ascii="宋体" w:hAnsi="宋体" w:cs="Microsoft Sans Serif"/>
          <w:color w:val="auto"/>
          <w:kern w:val="0"/>
          <w:sz w:val="21"/>
          <w:szCs w:val="21"/>
        </w:rPr>
        <w:t>）</w:t>
      </w:r>
      <w:r>
        <w:rPr>
          <w:rFonts w:hint="eastAsia" w:ascii="宋体" w:hAnsi="宋体" w:cs="Microsoft Sans Serif"/>
          <w:color w:val="auto"/>
          <w:kern w:val="0"/>
          <w:sz w:val="21"/>
          <w:szCs w:val="21"/>
          <w:u w:val="single"/>
        </w:rPr>
        <w:t>合同约定的发包人有权解除合同的其他情形</w:t>
      </w:r>
      <w:r>
        <w:rPr>
          <w:rFonts w:hint="eastAsia" w:ascii="宋体" w:hAnsi="宋体" w:cs="Microsoft Sans Serif"/>
          <w:color w:val="auto"/>
          <w:kern w:val="0"/>
          <w:sz w:val="21"/>
          <w:szCs w:val="21"/>
        </w:rPr>
        <w:t>。</w:t>
      </w:r>
    </w:p>
    <w:p w14:paraId="3C3B9828">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16.2.4因承包人违约解除合同后的处理</w:t>
      </w:r>
    </w:p>
    <w:p w14:paraId="2211B4E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因承包人违约导致合同解除的，合同当事人应在合同解除后56天内完成估价、付款和清算，并按以下约定执行：</w:t>
      </w:r>
    </w:p>
    <w:p w14:paraId="7ED40A46">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（1）合同解除后，按第14.2款结算审定方式确定承包人实际完成工作对应的合同价款，以及承包人已提供的材料、工程设备、施工设备和临时工程等的价值；</w:t>
      </w:r>
    </w:p>
    <w:p w14:paraId="61F8BFCA">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（2）合同解除后，承包人应支付违约金；</w:t>
      </w:r>
    </w:p>
    <w:p w14:paraId="738C4E8F">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（3）合同解除后，赔偿因解除合同给发包人造成的损失；</w:t>
      </w:r>
    </w:p>
    <w:p w14:paraId="2000ED63">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（4）合同解除后，承包人应按照发包人要求和监理人的指示完成现场的清理和撤离。</w:t>
      </w:r>
    </w:p>
    <w:p w14:paraId="7AD378D5">
      <w:pPr>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（5）</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04B420E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因承包人违约导致解除合同的，发包人有权暂停对承包人的付款，查清各项付款和已扣款项。发包人和承包人未能就合同解除后的清算和款项支付达成一致的，按照第20条〔争议解决〕的约定处理。</w:t>
      </w:r>
    </w:p>
    <w:p w14:paraId="00F30F4B">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2021"/>
    <w:bookmarkEnd w:id="2022"/>
    <w:p w14:paraId="25BDBD61">
      <w:pPr>
        <w:pStyle w:val="6"/>
        <w:keepNext/>
        <w:keepLines/>
        <w:spacing w:beforeLines="50" w:beforeAutospacing="0" w:afterLines="50" w:afterAutospacing="0" w:line="360" w:lineRule="auto"/>
        <w:jc w:val="both"/>
        <w:rPr>
          <w:bCs w:val="0"/>
          <w:color w:val="auto"/>
          <w:kern w:val="2"/>
          <w:sz w:val="21"/>
          <w:szCs w:val="21"/>
        </w:rPr>
      </w:pPr>
      <w:bookmarkStart w:id="2035" w:name="_Toc351203649"/>
      <w:bookmarkStart w:id="2036" w:name="_Toc532375665"/>
      <w:bookmarkStart w:id="2037" w:name="_Toc532377404"/>
      <w:bookmarkStart w:id="2038" w:name="_Hlk528928440"/>
      <w:r>
        <w:rPr>
          <w:rFonts w:hint="eastAsia"/>
          <w:color w:val="auto"/>
          <w:kern w:val="2"/>
          <w:sz w:val="21"/>
          <w:szCs w:val="21"/>
        </w:rPr>
        <w:t>17. 不可抗力</w:t>
      </w:r>
      <w:bookmarkEnd w:id="2035"/>
      <w:bookmarkEnd w:id="2036"/>
      <w:bookmarkEnd w:id="2037"/>
    </w:p>
    <w:p w14:paraId="427C6A37">
      <w:pPr>
        <w:pStyle w:val="7"/>
        <w:spacing w:before="0" w:beforeAutospacing="0" w:after="0" w:afterAutospacing="0" w:line="360" w:lineRule="auto"/>
        <w:ind w:firstLine="422" w:firstLineChars="200"/>
        <w:rPr>
          <w:color w:val="auto"/>
          <w:sz w:val="21"/>
          <w:szCs w:val="21"/>
        </w:rPr>
      </w:pPr>
      <w:bookmarkStart w:id="2039" w:name="_Toc532375666"/>
      <w:bookmarkStart w:id="2040" w:name="_Toc532377405"/>
      <w:r>
        <w:rPr>
          <w:rFonts w:hint="eastAsia"/>
          <w:color w:val="auto"/>
          <w:sz w:val="21"/>
          <w:szCs w:val="21"/>
        </w:rPr>
        <w:t>17.1 不可抗力的确认</w:t>
      </w:r>
      <w:bookmarkEnd w:id="2039"/>
      <w:bookmarkEnd w:id="2040"/>
    </w:p>
    <w:p w14:paraId="629E3B7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除通用合同条款约定的不可抗力事件之外，视为不可抗力的其他情形：</w:t>
      </w:r>
      <w:bookmarkStart w:id="2041" w:name="_Hlk524379638"/>
    </w:p>
    <w:p w14:paraId="5427EFF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（1）洪水、火山爆发、山崩、山体滑坡、泥石流、龙卷风、隧道内不可预测的突发性地质灾害等自然灾害；</w:t>
      </w:r>
    </w:p>
    <w:p w14:paraId="01F915F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（2）骚乱、戒严、封锁、禁运、恐怖行为、等社会行为，但承包人或其分包人派遣与雇佣的人员由于合同工程施工原因引起的除外；</w:t>
      </w:r>
    </w:p>
    <w:p w14:paraId="380FBCE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（3）不能合理预见的重大交通阻滞、停运、交通事故，非双方责任引起的火灾、爆炸、船舶撞击等情形；</w:t>
      </w:r>
    </w:p>
    <w:p w14:paraId="3645C25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（4）化学或放射性污染或核辐射；</w:t>
      </w:r>
    </w:p>
    <w:p w14:paraId="623235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（5）环保治理等政府行为导致项目停工的。</w:t>
      </w:r>
      <w:bookmarkEnd w:id="2041"/>
    </w:p>
    <w:p w14:paraId="7AA27BA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w:t>
      </w:r>
      <w:r>
        <w:rPr>
          <w:rFonts w:hint="eastAsia" w:ascii="宋体" w:hAnsi="宋体"/>
          <w:color w:val="auto"/>
          <w:szCs w:val="21"/>
          <w:u w:val="single"/>
        </w:rPr>
        <w:t xml:space="preserve">    /    </w:t>
      </w:r>
      <w:r>
        <w:rPr>
          <w:rFonts w:hint="eastAsia" w:ascii="宋体" w:hAnsi="宋体"/>
          <w:color w:val="auto"/>
          <w:szCs w:val="21"/>
        </w:rPr>
        <w:t>。</w:t>
      </w:r>
    </w:p>
    <w:p w14:paraId="6D5D18A4">
      <w:pPr>
        <w:pStyle w:val="7"/>
        <w:spacing w:before="0" w:beforeAutospacing="0" w:after="0" w:afterAutospacing="0" w:line="360" w:lineRule="auto"/>
        <w:ind w:firstLine="422" w:firstLineChars="200"/>
        <w:rPr>
          <w:color w:val="auto"/>
          <w:sz w:val="21"/>
          <w:szCs w:val="21"/>
        </w:rPr>
      </w:pPr>
      <w:bookmarkStart w:id="2042" w:name="_Toc532377406"/>
      <w:bookmarkStart w:id="2043" w:name="_Toc532375667"/>
      <w:bookmarkStart w:id="2044" w:name="_Toc351203610"/>
      <w:bookmarkStart w:id="2045" w:name="_Toc296503119"/>
      <w:bookmarkStart w:id="2046" w:name="_Toc296346620"/>
      <w:bookmarkStart w:id="2047" w:name="_Toc337558826"/>
      <w:r>
        <w:rPr>
          <w:rFonts w:hint="eastAsia"/>
          <w:color w:val="auto"/>
          <w:sz w:val="21"/>
          <w:szCs w:val="21"/>
        </w:rPr>
        <w:t>17.3 不可抗力后果的承担</w:t>
      </w:r>
      <w:bookmarkEnd w:id="2042"/>
      <w:bookmarkEnd w:id="2043"/>
      <w:bookmarkEnd w:id="2044"/>
    </w:p>
    <w:bookmarkEnd w:id="2045"/>
    <w:bookmarkEnd w:id="2046"/>
    <w:bookmarkEnd w:id="2047"/>
    <w:p w14:paraId="65F77CC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17.3.1 不可抗力引起的后果及造成的损失由合同当事人按照法律规定及合同约定各自承担。不可抗力发生前已完成的工程应当按照合同约定进行计量支付。</w:t>
      </w:r>
    </w:p>
    <w:p w14:paraId="31B1B9B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17.3.2 不可抗力导致的人员伤亡、财产损失、费用增加和（或）工期延误等后果，由合同当事人按以下原则承担：</w:t>
      </w:r>
    </w:p>
    <w:p w14:paraId="717F788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（1）永久工程、已运至施工现场的施工材料和工程设备的损坏，以及因工程损坏造成的第三方人员伤亡和财产损失由发包人承担；</w:t>
      </w:r>
    </w:p>
    <w:p w14:paraId="5ECA03C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（2）承包人施工设备的损坏由承包人承担；</w:t>
      </w:r>
    </w:p>
    <w:p w14:paraId="18498F8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（3）发包人和承包人承担各自人员伤亡和财产的损失；</w:t>
      </w:r>
    </w:p>
    <w:p w14:paraId="67FA372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（4）因不可抗力影响承包人履行合同约定的义务，已经引起或将引起工期延误的，应当顺延工期，由此导致承包人停工的费用损失由发包人和承包人合理共担；</w:t>
      </w:r>
    </w:p>
    <w:p w14:paraId="3D76F10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（5）因不可抗力引起或将引起工期延误，发包人要求赶工的，由此增加的赶工费用由发包人承担；</w:t>
      </w:r>
    </w:p>
    <w:p w14:paraId="6969311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（6）承包人在停工期间按照发包人要求照管、清理和修复工程的费用由发包人承担；</w:t>
      </w:r>
    </w:p>
    <w:p w14:paraId="45618B9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（7）不可抗力事件发生后，合同当事人均应采取措施尽量避免和减少损失的扩大，任何一方当事人没有采取有效措施导致损失扩大的，应对扩大的损失承担责任。</w:t>
      </w:r>
    </w:p>
    <w:p w14:paraId="58F3429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（8）</w:t>
      </w:r>
      <w:r>
        <w:rPr>
          <w:rFonts w:hint="eastAsia" w:ascii="宋体" w:hAnsi="宋体"/>
          <w:color w:val="auto"/>
          <w:szCs w:val="21"/>
          <w:u w:val="single"/>
        </w:rPr>
        <w:t xml:space="preserve">   /     </w:t>
      </w:r>
      <w:r>
        <w:rPr>
          <w:rFonts w:hint="eastAsia" w:ascii="宋体" w:hAnsi="宋体"/>
          <w:color w:val="auto"/>
          <w:szCs w:val="21"/>
        </w:rPr>
        <w:t>。</w:t>
      </w:r>
    </w:p>
    <w:p w14:paraId="63A20CFD">
      <w:pPr>
        <w:pStyle w:val="7"/>
        <w:spacing w:before="0" w:beforeAutospacing="0" w:after="0" w:afterAutospacing="0" w:line="360" w:lineRule="auto"/>
        <w:ind w:firstLine="422" w:firstLineChars="200"/>
        <w:rPr>
          <w:color w:val="auto"/>
          <w:sz w:val="21"/>
          <w:szCs w:val="21"/>
        </w:rPr>
      </w:pPr>
      <w:bookmarkStart w:id="2048" w:name="_Toc532375668"/>
      <w:bookmarkStart w:id="2049" w:name="_Toc532377407"/>
      <w:r>
        <w:rPr>
          <w:rFonts w:hint="eastAsia"/>
          <w:color w:val="auto"/>
          <w:sz w:val="21"/>
          <w:szCs w:val="21"/>
        </w:rPr>
        <w:t>17.4 因不可抗力解除合同</w:t>
      </w:r>
      <w:bookmarkEnd w:id="2048"/>
      <w:bookmarkEnd w:id="2049"/>
    </w:p>
    <w:p w14:paraId="36844C4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合同解除后，发包人应在商定或确定发包人应支付款项后</w:t>
      </w:r>
      <w:r>
        <w:rPr>
          <w:rFonts w:hint="eastAsia" w:ascii="宋体" w:hAnsi="宋体"/>
          <w:color w:val="auto"/>
          <w:szCs w:val="21"/>
          <w:u w:val="single"/>
        </w:rPr>
        <w:t>28</w:t>
      </w:r>
      <w:r>
        <w:rPr>
          <w:rFonts w:hint="eastAsia" w:ascii="宋体" w:hAnsi="宋体"/>
          <w:color w:val="auto"/>
          <w:szCs w:val="21"/>
        </w:rPr>
        <w:t>天内完成款项的支付。</w:t>
      </w:r>
    </w:p>
    <w:p w14:paraId="49B6076C">
      <w:pPr>
        <w:pStyle w:val="6"/>
        <w:keepNext/>
        <w:keepLines/>
        <w:spacing w:beforeLines="50" w:beforeAutospacing="0" w:afterLines="50" w:afterAutospacing="0" w:line="360" w:lineRule="auto"/>
        <w:jc w:val="both"/>
        <w:rPr>
          <w:bCs w:val="0"/>
          <w:color w:val="auto"/>
          <w:kern w:val="2"/>
          <w:sz w:val="21"/>
          <w:szCs w:val="21"/>
        </w:rPr>
      </w:pPr>
      <w:bookmarkStart w:id="2050" w:name="_Toc532375669"/>
      <w:bookmarkStart w:id="2051" w:name="_Toc532377408"/>
      <w:bookmarkStart w:id="2052" w:name="_Toc351203650"/>
      <w:r>
        <w:rPr>
          <w:rFonts w:hint="eastAsia"/>
          <w:color w:val="auto"/>
          <w:kern w:val="2"/>
          <w:sz w:val="21"/>
          <w:szCs w:val="21"/>
        </w:rPr>
        <w:t>18. 保险</w:t>
      </w:r>
      <w:bookmarkEnd w:id="2050"/>
      <w:bookmarkEnd w:id="2051"/>
      <w:bookmarkEnd w:id="2052"/>
    </w:p>
    <w:p w14:paraId="10AA0169">
      <w:pPr>
        <w:pStyle w:val="7"/>
        <w:spacing w:before="0" w:beforeAutospacing="0" w:after="0" w:afterAutospacing="0" w:line="360" w:lineRule="auto"/>
        <w:ind w:firstLine="422" w:firstLineChars="200"/>
        <w:rPr>
          <w:color w:val="auto"/>
          <w:sz w:val="21"/>
          <w:szCs w:val="21"/>
        </w:rPr>
      </w:pPr>
      <w:bookmarkStart w:id="2053" w:name="_Toc532377409"/>
      <w:bookmarkStart w:id="2054" w:name="_Toc532375670"/>
      <w:r>
        <w:rPr>
          <w:rFonts w:hint="eastAsia"/>
          <w:color w:val="auto"/>
          <w:sz w:val="21"/>
          <w:szCs w:val="21"/>
        </w:rPr>
        <w:t>18.1 工程保险</w:t>
      </w:r>
      <w:bookmarkEnd w:id="2053"/>
      <w:bookmarkEnd w:id="2054"/>
    </w:p>
    <w:p w14:paraId="0474E5A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关于工程保险的特别约定：发包人应投保</w:t>
      </w:r>
      <w:r>
        <w:rPr>
          <w:rFonts w:hint="eastAsia" w:ascii="宋体" w:hAnsi="宋体"/>
          <w:color w:val="auto"/>
          <w:szCs w:val="21"/>
          <w:u w:val="single"/>
        </w:rPr>
        <w:t>建筑工程一切险或安装工程一切险</w:t>
      </w:r>
      <w:r>
        <w:rPr>
          <w:rFonts w:hint="eastAsia" w:ascii="宋体" w:hAnsi="宋体"/>
          <w:color w:val="auto"/>
          <w:szCs w:val="21"/>
        </w:rPr>
        <w:t>；发包人委托承包人投保的，因投保产生的保险费和其他相关费用由发包人承担。</w:t>
      </w:r>
    </w:p>
    <w:p w14:paraId="0FD1347C">
      <w:pPr>
        <w:pStyle w:val="7"/>
        <w:spacing w:before="0" w:beforeAutospacing="0" w:after="0" w:afterAutospacing="0" w:line="360" w:lineRule="auto"/>
        <w:ind w:firstLine="422" w:firstLineChars="200"/>
        <w:rPr>
          <w:color w:val="auto"/>
          <w:sz w:val="21"/>
          <w:szCs w:val="21"/>
        </w:rPr>
      </w:pPr>
      <w:bookmarkStart w:id="2055" w:name="_Toc532377410"/>
      <w:bookmarkStart w:id="2056" w:name="_Toc532375671"/>
      <w:r>
        <w:rPr>
          <w:rFonts w:hint="eastAsia"/>
          <w:color w:val="auto"/>
          <w:sz w:val="21"/>
          <w:szCs w:val="21"/>
        </w:rPr>
        <w:t>18.3 其他保险</w:t>
      </w:r>
      <w:bookmarkEnd w:id="2055"/>
      <w:bookmarkEnd w:id="2056"/>
    </w:p>
    <w:p w14:paraId="15052CD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关于其他保险的约定：</w:t>
      </w:r>
      <w:r>
        <w:rPr>
          <w:rFonts w:hint="eastAsia" w:ascii="宋体" w:hAnsi="宋体"/>
          <w:color w:val="auto"/>
          <w:szCs w:val="21"/>
          <w:u w:val="single"/>
        </w:rPr>
        <w:t xml:space="preserve">    /    </w:t>
      </w:r>
      <w:r>
        <w:rPr>
          <w:rFonts w:hint="eastAsia" w:ascii="宋体" w:hAnsi="宋体"/>
          <w:color w:val="auto"/>
          <w:szCs w:val="21"/>
        </w:rPr>
        <w:t>。</w:t>
      </w:r>
    </w:p>
    <w:p w14:paraId="3A931F6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承包人是否应为其施工设备等办理财产保险：</w:t>
      </w:r>
      <w:r>
        <w:rPr>
          <w:rFonts w:hint="eastAsia" w:ascii="宋体" w:hAnsi="宋体"/>
          <w:color w:val="auto"/>
          <w:szCs w:val="21"/>
          <w:u w:val="single"/>
        </w:rPr>
        <w:t xml:space="preserve">    /    </w:t>
      </w:r>
      <w:r>
        <w:rPr>
          <w:rFonts w:hint="eastAsia" w:ascii="宋体" w:hAnsi="宋体"/>
          <w:color w:val="auto"/>
          <w:szCs w:val="21"/>
        </w:rPr>
        <w:t>。</w:t>
      </w:r>
    </w:p>
    <w:p w14:paraId="0606E03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安全生产责任险：</w:t>
      </w:r>
      <w:r>
        <w:rPr>
          <w:rFonts w:hint="eastAsia" w:ascii="宋体" w:hAnsi="宋体"/>
          <w:color w:val="auto"/>
          <w:szCs w:val="21"/>
          <w:u w:val="single"/>
        </w:rPr>
        <w:t>承包人应按《重庆市人民政府办公厅关于在高危行业领域强制推行安全生产责任保险的实施意见》（渝府办法〔2017〕182号）的要求办理安全生产责任保险</w:t>
      </w:r>
      <w:r>
        <w:rPr>
          <w:rFonts w:hint="eastAsia" w:ascii="宋体" w:hAnsi="宋体"/>
          <w:color w:val="auto"/>
          <w:szCs w:val="21"/>
        </w:rPr>
        <w:t>。</w:t>
      </w:r>
    </w:p>
    <w:p w14:paraId="724AD177">
      <w:pPr>
        <w:pStyle w:val="7"/>
        <w:spacing w:before="0" w:beforeAutospacing="0" w:after="0" w:afterAutospacing="0" w:line="360" w:lineRule="auto"/>
        <w:ind w:firstLine="422" w:firstLineChars="200"/>
        <w:rPr>
          <w:color w:val="auto"/>
          <w:sz w:val="21"/>
          <w:szCs w:val="21"/>
        </w:rPr>
      </w:pPr>
      <w:bookmarkStart w:id="2057" w:name="_Toc532377411"/>
      <w:bookmarkStart w:id="2058" w:name="_Toc532375672"/>
      <w:r>
        <w:rPr>
          <w:rFonts w:hint="eastAsia"/>
          <w:color w:val="auto"/>
          <w:sz w:val="21"/>
          <w:szCs w:val="21"/>
        </w:rPr>
        <w:t>18.7 通知义务</w:t>
      </w:r>
      <w:bookmarkEnd w:id="2057"/>
      <w:bookmarkEnd w:id="2058"/>
    </w:p>
    <w:p w14:paraId="5495C1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关于变更保险合同时的通知义务的约定：</w:t>
      </w:r>
      <w:r>
        <w:rPr>
          <w:rFonts w:hint="eastAsia" w:ascii="宋体" w:hAnsi="宋体"/>
          <w:color w:val="auto"/>
          <w:szCs w:val="21"/>
          <w:u w:val="single"/>
        </w:rPr>
        <w:t>按通用合同条款执行</w:t>
      </w:r>
      <w:r>
        <w:rPr>
          <w:rFonts w:hint="eastAsia" w:ascii="宋体" w:hAnsi="宋体"/>
          <w:color w:val="auto"/>
          <w:szCs w:val="21"/>
        </w:rPr>
        <w:t>。</w:t>
      </w:r>
    </w:p>
    <w:p w14:paraId="5D9ABC81">
      <w:pPr>
        <w:pStyle w:val="7"/>
        <w:spacing w:before="0" w:beforeAutospacing="0" w:after="0" w:afterAutospacing="0" w:line="360" w:lineRule="auto"/>
        <w:ind w:firstLine="422" w:firstLineChars="200"/>
        <w:rPr>
          <w:color w:val="auto"/>
          <w:sz w:val="21"/>
          <w:szCs w:val="21"/>
        </w:rPr>
      </w:pPr>
      <w:bookmarkStart w:id="2059" w:name="_Toc532377412"/>
      <w:bookmarkStart w:id="2060" w:name="_Toc532375673"/>
      <w:r>
        <w:rPr>
          <w:rFonts w:hint="eastAsia"/>
          <w:color w:val="auto"/>
          <w:sz w:val="21"/>
          <w:szCs w:val="21"/>
        </w:rPr>
        <w:t>18.8 其他</w:t>
      </w:r>
      <w:bookmarkEnd w:id="2059"/>
      <w:bookmarkEnd w:id="2060"/>
    </w:p>
    <w:p w14:paraId="06B8256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18.8.1 工程开工日前，承包人向发包人提交各项生效的保险证据和保险单副本。未按本项约定提交的，每延后1天，承包人按500元/天支付违约金。</w:t>
      </w:r>
    </w:p>
    <w:p w14:paraId="47F73B5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18.8.2 承包人保险赔偿金不足以补偿发包人损失时，</w:t>
      </w:r>
      <w:bookmarkStart w:id="2061" w:name="_Hlk524378346"/>
      <w:r>
        <w:rPr>
          <w:rFonts w:hint="eastAsia" w:ascii="宋体" w:hAnsi="宋体"/>
          <w:color w:val="auto"/>
          <w:szCs w:val="21"/>
        </w:rPr>
        <w:t>差额由承包人负责补足</w:t>
      </w:r>
      <w:bookmarkEnd w:id="2061"/>
      <w:r>
        <w:rPr>
          <w:rFonts w:hint="eastAsia" w:ascii="宋体" w:hAnsi="宋体"/>
          <w:color w:val="auto"/>
          <w:szCs w:val="21"/>
        </w:rPr>
        <w:t>。</w:t>
      </w:r>
    </w:p>
    <w:p w14:paraId="780E81A0">
      <w:pPr>
        <w:pStyle w:val="6"/>
        <w:keepNext/>
        <w:keepLines/>
        <w:spacing w:beforeLines="50" w:beforeAutospacing="0" w:afterLines="50" w:afterAutospacing="0" w:line="360" w:lineRule="auto"/>
        <w:jc w:val="both"/>
        <w:rPr>
          <w:bCs w:val="0"/>
          <w:color w:val="auto"/>
          <w:kern w:val="2"/>
          <w:sz w:val="21"/>
          <w:szCs w:val="21"/>
        </w:rPr>
      </w:pPr>
      <w:bookmarkStart w:id="2062" w:name="_Toc351203620"/>
      <w:bookmarkStart w:id="2063" w:name="_Toc532377413"/>
      <w:bookmarkStart w:id="2064" w:name="_Toc532375674"/>
      <w:bookmarkStart w:id="2065" w:name="_Toc337558835"/>
      <w:bookmarkStart w:id="2066" w:name="_Toc296346641"/>
      <w:bookmarkStart w:id="2067" w:name="_Toc296503140"/>
      <w:r>
        <w:rPr>
          <w:rFonts w:hint="eastAsia"/>
          <w:color w:val="auto"/>
          <w:kern w:val="2"/>
          <w:sz w:val="21"/>
          <w:szCs w:val="21"/>
        </w:rPr>
        <w:t>19. 索赔</w:t>
      </w:r>
      <w:bookmarkEnd w:id="2062"/>
      <w:bookmarkEnd w:id="2063"/>
      <w:bookmarkEnd w:id="2064"/>
    </w:p>
    <w:bookmarkEnd w:id="2065"/>
    <w:bookmarkEnd w:id="2066"/>
    <w:bookmarkEnd w:id="2067"/>
    <w:p w14:paraId="1502930C">
      <w:pPr>
        <w:pStyle w:val="7"/>
        <w:spacing w:before="0" w:beforeAutospacing="0" w:after="0" w:afterAutospacing="0" w:line="360" w:lineRule="auto"/>
        <w:ind w:firstLine="422" w:firstLineChars="200"/>
        <w:rPr>
          <w:color w:val="auto"/>
          <w:sz w:val="21"/>
          <w:szCs w:val="21"/>
        </w:rPr>
      </w:pPr>
      <w:bookmarkStart w:id="2068" w:name="_Toc532377414"/>
      <w:bookmarkStart w:id="2069" w:name="_Toc532375675"/>
      <w:bookmarkStart w:id="2070" w:name="_Toc296503141"/>
      <w:bookmarkStart w:id="2071" w:name="_Toc351203621"/>
      <w:bookmarkStart w:id="2072" w:name="_Toc296346642"/>
      <w:bookmarkStart w:id="2073" w:name="_Toc337558836"/>
      <w:r>
        <w:rPr>
          <w:rFonts w:hint="eastAsia"/>
          <w:color w:val="auto"/>
          <w:sz w:val="21"/>
          <w:szCs w:val="21"/>
        </w:rPr>
        <w:t>19.1 承包人的索赔</w:t>
      </w:r>
      <w:bookmarkEnd w:id="2068"/>
      <w:bookmarkEnd w:id="2069"/>
    </w:p>
    <w:p w14:paraId="243EA83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根据合同约定，承包人认为有权得到追加付款和（或）延长工期的，应按以下程序向发包人提出索赔：</w:t>
      </w:r>
    </w:p>
    <w:p w14:paraId="7368AA2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（1）承包人应在索赔事件发生后28天内，向监理人递交索赔意向通知书，并说明发生索赔事件的事由；承包人未在前述28天内发出索赔意向通知书的，丧失要求追加付款和（或）延长工期的权利；</w:t>
      </w:r>
    </w:p>
    <w:p w14:paraId="7246AA02">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（2）承包人应在发出索赔意向通知书后28天内，向监理人正式递交索赔报告；索赔报告应详细说明索赔理由以及要求追加的付款金额和（或）延长的工期，并附必要的记录和证明材料；</w:t>
      </w:r>
    </w:p>
    <w:p w14:paraId="4AE5AC3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（3）索赔事件具有持续影响的，承包人应按监理人要求的合理时间间隔继续递交延续索赔通知，说明持续影响的实际情况和记录，列出累计的追加付款金额和（或）工期延长天数；</w:t>
      </w:r>
    </w:p>
    <w:p w14:paraId="1785DE97">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（4）在索赔事件影响结束后28天内，承包人应向监理人递交最终索赔报告，说明最终要求索赔的追加付款金额和（或）延长的工期，并附必要的记录和证明材料。</w:t>
      </w:r>
    </w:p>
    <w:p w14:paraId="199AC25A">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（5）</w:t>
      </w:r>
      <w:r>
        <w:rPr>
          <w:rFonts w:hint="eastAsia" w:ascii="宋体" w:hAnsi="宋体"/>
          <w:color w:val="auto"/>
          <w:szCs w:val="21"/>
          <w:u w:val="single"/>
        </w:rPr>
        <w:t xml:space="preserve">    /    </w:t>
      </w:r>
      <w:r>
        <w:rPr>
          <w:rFonts w:hint="eastAsia" w:ascii="宋体" w:hAnsi="宋体"/>
          <w:color w:val="auto"/>
          <w:szCs w:val="21"/>
        </w:rPr>
        <w:t>。</w:t>
      </w:r>
    </w:p>
    <w:p w14:paraId="18A06D5C">
      <w:pPr>
        <w:pStyle w:val="7"/>
        <w:spacing w:before="0" w:beforeAutospacing="0" w:after="0" w:afterAutospacing="0" w:line="360" w:lineRule="auto"/>
        <w:ind w:firstLine="422" w:firstLineChars="200"/>
        <w:rPr>
          <w:color w:val="auto"/>
          <w:sz w:val="21"/>
          <w:szCs w:val="21"/>
        </w:rPr>
      </w:pPr>
      <w:bookmarkStart w:id="2074" w:name="_Toc532375676"/>
      <w:bookmarkStart w:id="2075" w:name="_Toc532377415"/>
      <w:r>
        <w:rPr>
          <w:rFonts w:hint="eastAsia"/>
          <w:color w:val="auto"/>
          <w:sz w:val="21"/>
          <w:szCs w:val="21"/>
        </w:rPr>
        <w:t>19.2 对承包人索赔的处理</w:t>
      </w:r>
      <w:bookmarkEnd w:id="2074"/>
      <w:bookmarkEnd w:id="2075"/>
    </w:p>
    <w:p w14:paraId="38FE12C6">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对承包人索赔的处理如下：</w:t>
      </w:r>
    </w:p>
    <w:p w14:paraId="0165CFB7">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（1）监理人应在收到索赔报告后14天内完成审查并报送发包人。监理人对索赔报告存在异议的，有权要求承包人提交全部原始记录副本</w:t>
      </w:r>
      <w:r>
        <w:rPr>
          <w:rFonts w:hint="eastAsia" w:ascii="宋体" w:hAnsi="宋体"/>
          <w:color w:val="auto"/>
          <w:szCs w:val="21"/>
        </w:rPr>
        <w:t>；</w:t>
      </w:r>
    </w:p>
    <w:p w14:paraId="76893C8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color w:val="auto"/>
          <w:szCs w:val="21"/>
        </w:rPr>
        <w:t>；</w:t>
      </w:r>
    </w:p>
    <w:p w14:paraId="674ADB50">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（3）承包人接受索赔处理结果的，索赔款项在当期进度款中进行支付；承包人不接受索赔处理结果的，按照第20条〔争议解决〕约定处理</w:t>
      </w:r>
      <w:r>
        <w:rPr>
          <w:rFonts w:hint="eastAsia" w:ascii="宋体" w:hAnsi="宋体"/>
          <w:color w:val="auto"/>
          <w:szCs w:val="21"/>
        </w:rPr>
        <w:t>；</w:t>
      </w:r>
    </w:p>
    <w:p w14:paraId="2098CF4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（4）工期延误的关键线路按照经监理人、发包人审批同意的施工组织设计计算</w:t>
      </w:r>
      <w:r>
        <w:rPr>
          <w:rFonts w:hint="eastAsia" w:ascii="宋体" w:hAnsi="宋体"/>
          <w:color w:val="auto"/>
          <w:szCs w:val="21"/>
        </w:rPr>
        <w:t>。</w:t>
      </w:r>
    </w:p>
    <w:p w14:paraId="6F382F1F">
      <w:pPr>
        <w:pStyle w:val="7"/>
        <w:spacing w:before="0" w:beforeAutospacing="0" w:after="0" w:afterAutospacing="0" w:line="360" w:lineRule="auto"/>
        <w:ind w:firstLine="422" w:firstLineChars="200"/>
        <w:rPr>
          <w:color w:val="auto"/>
          <w:sz w:val="21"/>
          <w:szCs w:val="21"/>
        </w:rPr>
      </w:pPr>
      <w:bookmarkStart w:id="2076" w:name="_Toc532377416"/>
      <w:bookmarkStart w:id="2077" w:name="_Toc532375677"/>
      <w:r>
        <w:rPr>
          <w:rFonts w:hint="eastAsia"/>
          <w:color w:val="auto"/>
          <w:sz w:val="21"/>
          <w:szCs w:val="21"/>
        </w:rPr>
        <w:t>19.3发包人的索赔</w:t>
      </w:r>
      <w:bookmarkEnd w:id="2076"/>
      <w:bookmarkEnd w:id="2077"/>
    </w:p>
    <w:p w14:paraId="3F3175B9">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根据合同约定，发包人认为有权得到赔付金额和（或）延长缺陷责任期的，监理人应向承包人发出通知并附有详细的证明。</w:t>
      </w:r>
    </w:p>
    <w:p w14:paraId="31ED30B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2078" w:name="_Hlk528652769"/>
      <w:r>
        <w:rPr>
          <w:rFonts w:hint="eastAsia" w:ascii="宋体" w:hAnsi="宋体"/>
          <w:color w:val="auto"/>
          <w:szCs w:val="21"/>
        </w:rPr>
        <w:t>通过监理人向承包人正式递交最终索赔报告</w:t>
      </w:r>
      <w:bookmarkEnd w:id="2078"/>
      <w:r>
        <w:rPr>
          <w:rFonts w:hint="eastAsia" w:ascii="宋体" w:hAnsi="宋体"/>
          <w:color w:val="auto"/>
          <w:szCs w:val="21"/>
        </w:rPr>
        <w:t>。</w:t>
      </w:r>
    </w:p>
    <w:p w14:paraId="03030486">
      <w:pPr>
        <w:pStyle w:val="7"/>
        <w:spacing w:before="0" w:beforeAutospacing="0" w:after="0" w:afterAutospacing="0" w:line="360" w:lineRule="auto"/>
        <w:ind w:firstLine="422" w:firstLineChars="200"/>
        <w:rPr>
          <w:color w:val="auto"/>
          <w:sz w:val="21"/>
          <w:szCs w:val="21"/>
        </w:rPr>
      </w:pPr>
      <w:bookmarkStart w:id="2079" w:name="_Toc532377417"/>
      <w:bookmarkStart w:id="2080" w:name="_Toc532375678"/>
      <w:r>
        <w:rPr>
          <w:rFonts w:hint="eastAsia"/>
          <w:color w:val="auto"/>
          <w:sz w:val="21"/>
          <w:szCs w:val="21"/>
        </w:rPr>
        <w:t>19.4 对发包人索赔的处理</w:t>
      </w:r>
      <w:bookmarkEnd w:id="2079"/>
      <w:bookmarkEnd w:id="2080"/>
    </w:p>
    <w:p w14:paraId="4D5C1E47">
      <w:pPr>
        <w:autoSpaceDE w:val="0"/>
        <w:autoSpaceDN w:val="0"/>
        <w:spacing w:line="360" w:lineRule="auto"/>
        <w:ind w:right="105" w:rightChars="50" w:firstLine="420" w:firstLineChars="200"/>
        <w:jc w:val="left"/>
        <w:rPr>
          <w:rFonts w:ascii="宋体" w:hAnsi="宋体"/>
          <w:color w:val="auto"/>
          <w:kern w:val="0"/>
          <w:szCs w:val="21"/>
        </w:rPr>
      </w:pPr>
      <w:r>
        <w:rPr>
          <w:rFonts w:hint="eastAsia" w:ascii="宋体" w:hAnsi="宋体"/>
          <w:color w:val="auto"/>
          <w:kern w:val="0"/>
          <w:szCs w:val="21"/>
        </w:rPr>
        <w:t>对发包人索赔的处理如下：</w:t>
      </w:r>
    </w:p>
    <w:p w14:paraId="107ECEBA">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（1）承包人收到发包人提交的索赔报告后，应及时审查索赔报告的内容、查验发包人证明材料；</w:t>
      </w:r>
    </w:p>
    <w:p w14:paraId="23440CE7">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54EFCAE8">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（3）承包人接受索赔处理结果的，发包人可从应支付给承包人的合同价款中扣除赔付的金额或延长缺陷责任期；发包人不接受索赔处理结果的，按第20条〔争议解决〕约定处理。</w:t>
      </w:r>
    </w:p>
    <w:p w14:paraId="56CA973A">
      <w:pPr>
        <w:pStyle w:val="7"/>
        <w:spacing w:before="0" w:beforeAutospacing="0" w:after="0" w:afterAutospacing="0" w:line="360" w:lineRule="auto"/>
        <w:ind w:firstLine="422" w:firstLineChars="200"/>
        <w:rPr>
          <w:color w:val="auto"/>
          <w:sz w:val="21"/>
          <w:szCs w:val="21"/>
        </w:rPr>
      </w:pPr>
      <w:bookmarkStart w:id="2081" w:name="_Toc532375679"/>
      <w:bookmarkStart w:id="2082" w:name="_Toc532377418"/>
      <w:bookmarkStart w:id="2083" w:name="_Hlk528928420"/>
      <w:r>
        <w:rPr>
          <w:rFonts w:hint="eastAsia"/>
          <w:color w:val="auto"/>
          <w:sz w:val="21"/>
          <w:szCs w:val="21"/>
        </w:rPr>
        <w:t>19.5 提出索赔的期限</w:t>
      </w:r>
      <w:bookmarkEnd w:id="2081"/>
      <w:bookmarkEnd w:id="2082"/>
    </w:p>
    <w:p w14:paraId="4A57612A">
      <w:pPr>
        <w:autoSpaceDE w:val="0"/>
        <w:autoSpaceDN w:val="0"/>
        <w:spacing w:line="360" w:lineRule="auto"/>
        <w:ind w:right="105" w:rightChars="50" w:firstLine="420" w:firstLineChars="200"/>
        <w:jc w:val="left"/>
        <w:rPr>
          <w:rFonts w:ascii="宋体" w:hAnsi="宋体"/>
          <w:color w:val="auto"/>
          <w:szCs w:val="21"/>
        </w:rPr>
      </w:pPr>
      <w:bookmarkStart w:id="2084" w:name="_Hlk524298376"/>
      <w:r>
        <w:rPr>
          <w:rFonts w:hint="eastAsia" w:ascii="宋体" w:hAnsi="宋体"/>
          <w:color w:val="auto"/>
          <w:szCs w:val="21"/>
        </w:rPr>
        <w:t>任一索赔事件发生后28天内，承包人/发包人未向对方发出索赔意向通知书的，视为其已放弃索赔权，无权再就该索赔事项提出任何索赔。</w:t>
      </w:r>
    </w:p>
    <w:bookmarkEnd w:id="2070"/>
    <w:bookmarkEnd w:id="2071"/>
    <w:bookmarkEnd w:id="2072"/>
    <w:bookmarkEnd w:id="2073"/>
    <w:bookmarkEnd w:id="2083"/>
    <w:bookmarkEnd w:id="2084"/>
    <w:p w14:paraId="2ECF2108">
      <w:pPr>
        <w:pStyle w:val="6"/>
        <w:keepNext/>
        <w:keepLines/>
        <w:spacing w:beforeLines="50" w:beforeAutospacing="0" w:afterLines="50" w:afterAutospacing="0" w:line="360" w:lineRule="auto"/>
        <w:jc w:val="both"/>
        <w:rPr>
          <w:bCs w:val="0"/>
          <w:color w:val="auto"/>
          <w:kern w:val="2"/>
          <w:sz w:val="21"/>
          <w:szCs w:val="21"/>
        </w:rPr>
      </w:pPr>
      <w:bookmarkStart w:id="2085" w:name="_Toc351203651"/>
      <w:bookmarkStart w:id="2086" w:name="_Toc532377419"/>
      <w:bookmarkStart w:id="2087" w:name="_Toc532375680"/>
      <w:r>
        <w:rPr>
          <w:rFonts w:hint="eastAsia"/>
          <w:color w:val="auto"/>
          <w:kern w:val="2"/>
          <w:sz w:val="21"/>
          <w:szCs w:val="21"/>
        </w:rPr>
        <w:t>20. 争议解决</w:t>
      </w:r>
      <w:bookmarkEnd w:id="2085"/>
      <w:bookmarkEnd w:id="2086"/>
      <w:bookmarkEnd w:id="2087"/>
    </w:p>
    <w:p w14:paraId="1EF4491A">
      <w:pPr>
        <w:pStyle w:val="7"/>
        <w:spacing w:before="0" w:beforeAutospacing="0" w:after="0" w:afterAutospacing="0" w:line="360" w:lineRule="auto"/>
        <w:ind w:firstLine="422" w:firstLineChars="200"/>
        <w:rPr>
          <w:color w:val="auto"/>
          <w:sz w:val="21"/>
          <w:szCs w:val="21"/>
        </w:rPr>
      </w:pPr>
      <w:bookmarkStart w:id="2088" w:name="_Toc532377420"/>
      <w:bookmarkStart w:id="2089" w:name="_Toc532375681"/>
      <w:r>
        <w:rPr>
          <w:rFonts w:hint="eastAsia"/>
          <w:color w:val="auto"/>
          <w:sz w:val="21"/>
          <w:szCs w:val="21"/>
        </w:rPr>
        <w:t>20.3 争议评审</w:t>
      </w:r>
      <w:bookmarkEnd w:id="2088"/>
      <w:bookmarkEnd w:id="2089"/>
    </w:p>
    <w:p w14:paraId="02321BA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合同当事人是否同意将工程争议提交争议评审小组决定：</w:t>
      </w:r>
      <w:r>
        <w:rPr>
          <w:rFonts w:hint="eastAsia" w:ascii="宋体" w:hAnsi="宋体"/>
          <w:color w:val="auto"/>
          <w:szCs w:val="21"/>
          <w:u w:val="single"/>
        </w:rPr>
        <w:t xml:space="preserve">    /    </w:t>
      </w:r>
      <w:r>
        <w:rPr>
          <w:rFonts w:hint="eastAsia" w:ascii="宋体" w:hAnsi="宋体"/>
          <w:color w:val="auto"/>
          <w:szCs w:val="21"/>
        </w:rPr>
        <w:t>。</w:t>
      </w:r>
    </w:p>
    <w:p w14:paraId="02F6C56E">
      <w:pPr>
        <w:pStyle w:val="7"/>
        <w:spacing w:before="0" w:beforeAutospacing="0" w:after="0" w:afterAutospacing="0" w:line="360" w:lineRule="auto"/>
        <w:ind w:firstLine="422" w:firstLineChars="200"/>
        <w:rPr>
          <w:color w:val="auto"/>
          <w:sz w:val="21"/>
          <w:szCs w:val="21"/>
        </w:rPr>
      </w:pPr>
      <w:bookmarkStart w:id="2090" w:name="_Toc532375682"/>
      <w:bookmarkStart w:id="2091" w:name="_Toc532377421"/>
      <w:r>
        <w:rPr>
          <w:rFonts w:hint="eastAsia"/>
          <w:color w:val="auto"/>
          <w:sz w:val="21"/>
          <w:szCs w:val="21"/>
        </w:rPr>
        <w:t>20.4 仲裁或诉讼</w:t>
      </w:r>
      <w:bookmarkEnd w:id="2090"/>
      <w:bookmarkEnd w:id="2091"/>
    </w:p>
    <w:p w14:paraId="2199238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因合同及合同有关事项发生的争议，按下列第</w:t>
      </w:r>
      <w:r>
        <w:rPr>
          <w:rFonts w:hint="eastAsia" w:ascii="宋体" w:hAnsi="宋体"/>
          <w:color w:val="auto"/>
          <w:szCs w:val="21"/>
          <w:u w:val="single"/>
        </w:rPr>
        <w:t xml:space="preserve"> </w:t>
      </w:r>
      <w:r>
        <w:rPr>
          <w:rFonts w:ascii="宋体" w:hAnsi="宋体"/>
          <w:color w:val="auto"/>
          <w:szCs w:val="21"/>
          <w:u w:val="single"/>
        </w:rPr>
        <w:t>（2）</w:t>
      </w:r>
      <w:r>
        <w:rPr>
          <w:rFonts w:hint="eastAsia" w:ascii="宋体" w:hAnsi="宋体"/>
          <w:color w:val="auto"/>
          <w:szCs w:val="21"/>
          <w:u w:val="single"/>
        </w:rPr>
        <w:t xml:space="preserve">  </w:t>
      </w:r>
      <w:r>
        <w:rPr>
          <w:rFonts w:hint="eastAsia" w:ascii="宋体" w:hAnsi="宋体"/>
          <w:color w:val="auto"/>
          <w:szCs w:val="21"/>
        </w:rPr>
        <w:t>种方式解决：</w:t>
      </w:r>
    </w:p>
    <w:p w14:paraId="02DAA7F0">
      <w:pPr>
        <w:spacing w:line="360" w:lineRule="auto"/>
        <w:ind w:right="105" w:rightChars="50" w:firstLine="420" w:firstLineChars="200"/>
        <w:jc w:val="left"/>
        <w:rPr>
          <w:rFonts w:ascii="宋体" w:hAnsi="宋体"/>
          <w:color w:val="auto"/>
          <w:szCs w:val="21"/>
        </w:rPr>
      </w:pPr>
      <w:r>
        <w:rPr>
          <w:rFonts w:ascii="宋体" w:hAnsi="宋体"/>
          <w:color w:val="auto"/>
          <w:szCs w:val="21"/>
        </w:rPr>
        <w:t>（1）向</w:t>
      </w:r>
      <w:r>
        <w:rPr>
          <w:rFonts w:ascii="宋体" w:hAnsi="宋体"/>
          <w:color w:val="auto"/>
          <w:szCs w:val="21"/>
          <w:u w:val="single"/>
        </w:rPr>
        <w:t xml:space="preserve">                     </w:t>
      </w:r>
      <w:r>
        <w:rPr>
          <w:rFonts w:ascii="宋体" w:hAnsi="宋体"/>
          <w:color w:val="auto"/>
          <w:szCs w:val="21"/>
        </w:rPr>
        <w:t>仲裁委员会申请仲裁；</w:t>
      </w:r>
    </w:p>
    <w:p w14:paraId="1315DE1D">
      <w:pPr>
        <w:spacing w:line="360" w:lineRule="auto"/>
        <w:ind w:right="105" w:rightChars="50" w:firstLine="420" w:firstLineChars="200"/>
        <w:jc w:val="left"/>
        <w:rPr>
          <w:rFonts w:ascii="宋体" w:hAnsi="宋体"/>
          <w:color w:val="auto"/>
          <w:szCs w:val="21"/>
        </w:rPr>
      </w:pPr>
      <w:r>
        <w:rPr>
          <w:rFonts w:ascii="宋体" w:hAnsi="宋体"/>
          <w:color w:val="auto"/>
          <w:szCs w:val="21"/>
        </w:rPr>
        <w:t>（2）向</w:t>
      </w:r>
      <w:r>
        <w:rPr>
          <w:rFonts w:ascii="宋体" w:hAnsi="宋体"/>
          <w:color w:val="auto"/>
          <w:szCs w:val="21"/>
          <w:u w:val="single"/>
        </w:rPr>
        <w:t xml:space="preserve">   </w:t>
      </w:r>
      <w:r>
        <w:rPr>
          <w:rFonts w:hint="eastAsia" w:ascii="宋体" w:hAnsi="宋体"/>
          <w:color w:val="auto"/>
          <w:szCs w:val="21"/>
          <w:u w:val="single"/>
        </w:rPr>
        <w:t>项目所在地</w:t>
      </w:r>
      <w:r>
        <w:rPr>
          <w:rFonts w:ascii="宋体" w:hAnsi="宋体"/>
          <w:color w:val="auto"/>
          <w:szCs w:val="21"/>
          <w:u w:val="single"/>
        </w:rPr>
        <w:t xml:space="preserve">        </w:t>
      </w:r>
      <w:r>
        <w:rPr>
          <w:rFonts w:ascii="宋体" w:hAnsi="宋体"/>
          <w:color w:val="auto"/>
          <w:szCs w:val="21"/>
        </w:rPr>
        <w:t>人民法院起诉。</w:t>
      </w:r>
    </w:p>
    <w:p w14:paraId="7AC91582">
      <w:pPr>
        <w:pStyle w:val="6"/>
        <w:keepNext/>
        <w:keepLines/>
        <w:spacing w:beforeLines="50" w:beforeAutospacing="0" w:afterLines="50" w:afterAutospacing="0" w:line="360" w:lineRule="auto"/>
        <w:jc w:val="both"/>
        <w:rPr>
          <w:bCs w:val="0"/>
          <w:color w:val="auto"/>
          <w:kern w:val="2"/>
          <w:sz w:val="21"/>
          <w:szCs w:val="21"/>
        </w:rPr>
      </w:pPr>
      <w:bookmarkStart w:id="2092" w:name="_Toc532375683"/>
      <w:bookmarkStart w:id="2093" w:name="_Toc532377422"/>
      <w:r>
        <w:rPr>
          <w:rFonts w:hint="eastAsia"/>
          <w:color w:val="auto"/>
          <w:kern w:val="2"/>
          <w:sz w:val="21"/>
          <w:szCs w:val="21"/>
        </w:rPr>
        <w:t>21. 补充条款</w:t>
      </w:r>
      <w:bookmarkEnd w:id="2092"/>
      <w:bookmarkEnd w:id="2093"/>
    </w:p>
    <w:p w14:paraId="7CA1D9E9">
      <w:pPr>
        <w:pStyle w:val="7"/>
        <w:spacing w:before="0" w:beforeAutospacing="0" w:after="0" w:afterAutospacing="0" w:line="360" w:lineRule="auto"/>
        <w:ind w:firstLine="422" w:firstLineChars="200"/>
        <w:rPr>
          <w:color w:val="auto"/>
          <w:sz w:val="21"/>
          <w:szCs w:val="21"/>
        </w:rPr>
      </w:pPr>
      <w:bookmarkStart w:id="2094" w:name="_Toc532377423"/>
      <w:bookmarkStart w:id="2095" w:name="_Toc532375684"/>
      <w:r>
        <w:rPr>
          <w:rFonts w:hint="eastAsia"/>
          <w:color w:val="auto"/>
          <w:sz w:val="21"/>
          <w:szCs w:val="21"/>
        </w:rPr>
        <w:t>21.1 退出机制</w:t>
      </w:r>
      <w:bookmarkEnd w:id="2094"/>
      <w:bookmarkEnd w:id="2095"/>
    </w:p>
    <w:p w14:paraId="0A4108D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21.1.1有下列情形之一的，发包人有权解除合同，亦有权兑付履约担保，并对承包人做清退出场处理</w:t>
      </w:r>
      <w:r>
        <w:rPr>
          <w:rFonts w:hint="eastAsia" w:ascii="宋体" w:hAnsi="宋体"/>
          <w:color w:val="auto"/>
          <w:kern w:val="0"/>
          <w:szCs w:val="21"/>
        </w:rPr>
        <w:t>：</w:t>
      </w:r>
    </w:p>
    <w:p w14:paraId="34A8B7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（1）因承包人原因造成较大及以上等级生产安全事故或工程质量事故的；</w:t>
      </w:r>
    </w:p>
    <w:p w14:paraId="20AE822B">
      <w:pPr>
        <w:spacing w:line="360" w:lineRule="auto"/>
        <w:ind w:right="105" w:rightChars="50" w:firstLine="420" w:firstLineChars="200"/>
        <w:jc w:val="left"/>
        <w:rPr>
          <w:rFonts w:ascii="宋体" w:hAnsi="宋体"/>
          <w:color w:val="auto"/>
          <w:kern w:val="0"/>
          <w:szCs w:val="21"/>
        </w:rPr>
      </w:pPr>
      <w:r>
        <w:rPr>
          <w:rFonts w:hint="eastAsia" w:ascii="宋体" w:hAnsi="宋体"/>
          <w:color w:val="auto"/>
          <w:kern w:val="0"/>
          <w:szCs w:val="21"/>
        </w:rPr>
        <w:t>（2）因承包人债权债务纠纷或其他纠纷导致工程无法正常施工的。</w:t>
      </w:r>
    </w:p>
    <w:p w14:paraId="17D68043">
      <w:pPr>
        <w:spacing w:line="360" w:lineRule="auto"/>
        <w:ind w:right="105" w:rightChars="50" w:firstLine="420" w:firstLineChars="200"/>
        <w:jc w:val="left"/>
        <w:rPr>
          <w:rFonts w:ascii="宋体" w:hAnsi="宋体"/>
          <w:color w:val="auto"/>
          <w:szCs w:val="21"/>
        </w:rPr>
      </w:pPr>
      <w:r>
        <w:rPr>
          <w:rFonts w:hint="eastAsia" w:ascii="宋体" w:hAnsi="宋体"/>
          <w:color w:val="auto"/>
          <w:kern w:val="0"/>
          <w:szCs w:val="21"/>
        </w:rPr>
        <w:t>（3）</w:t>
      </w:r>
      <w:r>
        <w:rPr>
          <w:rFonts w:hint="eastAsia" w:ascii="宋体" w:hAnsi="宋体"/>
          <w:color w:val="auto"/>
          <w:kern w:val="0"/>
          <w:szCs w:val="21"/>
          <w:u w:val="single"/>
        </w:rPr>
        <w:t xml:space="preserve">    /    </w:t>
      </w:r>
      <w:r>
        <w:rPr>
          <w:rFonts w:hint="eastAsia" w:ascii="宋体" w:hAnsi="宋体"/>
          <w:color w:val="auto"/>
          <w:kern w:val="0"/>
          <w:szCs w:val="21"/>
        </w:rPr>
        <w:t>。</w:t>
      </w:r>
    </w:p>
    <w:p w14:paraId="7FAFE4DF">
      <w:pPr>
        <w:pStyle w:val="2"/>
        <w:spacing w:after="0" w:line="360" w:lineRule="auto"/>
        <w:ind w:firstLine="420" w:firstLineChars="200"/>
        <w:rPr>
          <w:rFonts w:ascii="宋体" w:hAnsi="宋体"/>
          <w:color w:val="auto"/>
          <w:szCs w:val="21"/>
        </w:rPr>
      </w:pPr>
      <w:r>
        <w:rPr>
          <w:rFonts w:hint="eastAsia" w:ascii="宋体" w:hAnsi="宋体"/>
          <w:color w:val="auto"/>
          <w:szCs w:val="21"/>
        </w:rPr>
        <w:t>21.1.2有下列情形之一的，承包人有权解除合同，并按16.1.4约定执行：</w:t>
      </w:r>
    </w:p>
    <w:p w14:paraId="24A8D2B9">
      <w:pPr>
        <w:pStyle w:val="2"/>
        <w:spacing w:after="0" w:line="360" w:lineRule="auto"/>
        <w:ind w:right="105" w:rightChars="50" w:firstLine="420" w:firstLineChars="200"/>
        <w:jc w:val="left"/>
        <w:rPr>
          <w:rFonts w:ascii="宋体" w:hAnsi="宋体"/>
          <w:color w:val="auto"/>
          <w:szCs w:val="21"/>
        </w:rPr>
      </w:pPr>
      <w:r>
        <w:rPr>
          <w:rFonts w:hint="eastAsia" w:ascii="宋体" w:hAnsi="宋体"/>
          <w:color w:val="auto"/>
          <w:szCs w:val="21"/>
        </w:rPr>
        <w:t>（1）因发包人征地、拆迁、补偿、审批手续等原因致使本工程延期开工超过90天的。</w:t>
      </w:r>
    </w:p>
    <w:p w14:paraId="5A357CC4">
      <w:pPr>
        <w:spacing w:line="360" w:lineRule="auto"/>
        <w:ind w:right="105" w:rightChars="50" w:firstLine="420" w:firstLineChars="200"/>
        <w:jc w:val="left"/>
        <w:rPr>
          <w:rFonts w:ascii="宋体" w:hAnsi="宋体"/>
          <w:color w:val="auto"/>
          <w:szCs w:val="21"/>
        </w:rPr>
      </w:pPr>
      <w:r>
        <w:rPr>
          <w:rFonts w:hint="eastAsia" w:ascii="宋体" w:hAnsi="宋体"/>
          <w:color w:val="auto"/>
          <w:kern w:val="0"/>
          <w:szCs w:val="21"/>
        </w:rPr>
        <w:t>（2）</w:t>
      </w:r>
      <w:r>
        <w:rPr>
          <w:rFonts w:hint="eastAsia" w:ascii="宋体" w:hAnsi="宋体"/>
          <w:color w:val="auto"/>
          <w:kern w:val="0"/>
          <w:szCs w:val="21"/>
          <w:u w:val="single"/>
        </w:rPr>
        <w:t xml:space="preserve">     /   </w:t>
      </w:r>
      <w:r>
        <w:rPr>
          <w:rFonts w:hint="eastAsia" w:ascii="宋体" w:hAnsi="宋体"/>
          <w:color w:val="auto"/>
          <w:kern w:val="0"/>
          <w:szCs w:val="21"/>
        </w:rPr>
        <w:t>。</w:t>
      </w:r>
    </w:p>
    <w:p w14:paraId="4B6F391C">
      <w:pPr>
        <w:pStyle w:val="7"/>
        <w:spacing w:before="0" w:beforeAutospacing="0" w:after="0" w:afterAutospacing="0" w:line="360" w:lineRule="auto"/>
        <w:ind w:firstLine="422" w:firstLineChars="200"/>
        <w:rPr>
          <w:color w:val="auto"/>
          <w:sz w:val="21"/>
          <w:szCs w:val="21"/>
        </w:rPr>
      </w:pPr>
      <w:bookmarkStart w:id="2096" w:name="_Toc532375685"/>
      <w:bookmarkStart w:id="2097" w:name="_Toc532377424"/>
      <w:r>
        <w:rPr>
          <w:rFonts w:hint="eastAsia"/>
          <w:color w:val="auto"/>
          <w:sz w:val="21"/>
          <w:szCs w:val="21"/>
        </w:rPr>
        <w:t>21.2智慧工地</w:t>
      </w:r>
      <w:bookmarkEnd w:id="2096"/>
      <w:bookmarkEnd w:id="2097"/>
    </w:p>
    <w:p w14:paraId="7E075A2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工地建设可参照重庆市城乡建设委员会《关于印发“智慧工地”建设工作方案的通知》（渝建〔2017〕414号）的相关要求建设。</w:t>
      </w:r>
      <w:bookmarkEnd w:id="2038"/>
    </w:p>
    <w:p w14:paraId="4A7A0518">
      <w:pPr>
        <w:pStyle w:val="7"/>
        <w:spacing w:before="0" w:beforeAutospacing="0" w:after="0" w:afterAutospacing="0" w:line="360" w:lineRule="auto"/>
        <w:ind w:firstLine="422" w:firstLineChars="200"/>
        <w:rPr>
          <w:color w:val="auto"/>
          <w:sz w:val="21"/>
          <w:szCs w:val="21"/>
        </w:rPr>
      </w:pPr>
      <w:r>
        <w:rPr>
          <w:rFonts w:hint="eastAsia"/>
          <w:color w:val="auto"/>
          <w:sz w:val="21"/>
          <w:szCs w:val="21"/>
        </w:rPr>
        <w:t>21.</w:t>
      </w:r>
      <w:r>
        <w:rPr>
          <w:color w:val="auto"/>
          <w:sz w:val="21"/>
          <w:szCs w:val="21"/>
        </w:rPr>
        <w:t>3</w:t>
      </w:r>
      <w:r>
        <w:rPr>
          <w:rFonts w:hint="eastAsia"/>
          <w:color w:val="auto"/>
          <w:sz w:val="21"/>
          <w:szCs w:val="21"/>
        </w:rPr>
        <w:t xml:space="preserve"> </w:t>
      </w:r>
      <w:r>
        <w:rPr>
          <w:rFonts w:hint="eastAsia"/>
          <w:color w:val="auto"/>
          <w:sz w:val="21"/>
          <w:szCs w:val="21"/>
          <w:u w:val="single"/>
        </w:rPr>
        <w:t xml:space="preserve">   /    </w:t>
      </w:r>
    </w:p>
    <w:p w14:paraId="644B29E6">
      <w:pPr>
        <w:pStyle w:val="6"/>
        <w:keepNext/>
        <w:keepLines/>
        <w:spacing w:beforeLines="50" w:beforeAutospacing="0" w:afterLines="50" w:afterAutospacing="0" w:line="360" w:lineRule="auto"/>
        <w:jc w:val="both"/>
        <w:rPr>
          <w:bCs w:val="0"/>
          <w:color w:val="auto"/>
          <w:kern w:val="2"/>
          <w:sz w:val="21"/>
          <w:szCs w:val="21"/>
        </w:rPr>
      </w:pPr>
      <w:bookmarkStart w:id="2098" w:name="baidusnap3"/>
      <w:bookmarkEnd w:id="2098"/>
      <w:bookmarkStart w:id="2099" w:name="baidusnap7"/>
      <w:bookmarkEnd w:id="2099"/>
      <w:bookmarkStart w:id="2100" w:name="_Toc532377425"/>
      <w:bookmarkStart w:id="2101" w:name="_Toc532375686"/>
      <w:bookmarkStart w:id="2102" w:name="_Toc351203652"/>
      <w:r>
        <w:rPr>
          <w:rFonts w:hint="eastAsia"/>
          <w:color w:val="auto"/>
          <w:kern w:val="2"/>
          <w:sz w:val="21"/>
          <w:szCs w:val="21"/>
        </w:rPr>
        <w:t>22. 合同附件</w:t>
      </w:r>
      <w:bookmarkEnd w:id="2100"/>
      <w:bookmarkEnd w:id="2101"/>
    </w:p>
    <w:p w14:paraId="5B3B5CF8">
      <w:pPr>
        <w:spacing w:line="360" w:lineRule="auto"/>
        <w:ind w:right="105" w:rightChars="50" w:firstLine="420" w:firstLineChars="200"/>
        <w:jc w:val="left"/>
        <w:rPr>
          <w:rFonts w:ascii="宋体" w:hAnsi="宋体"/>
          <w:color w:val="auto"/>
        </w:rPr>
      </w:pPr>
      <w:r>
        <w:rPr>
          <w:rFonts w:hint="eastAsia" w:ascii="宋体" w:hAnsi="宋体"/>
          <w:color w:val="auto"/>
        </w:rPr>
        <w:t>以下十个附件是本合同的有效组成部分：</w:t>
      </w:r>
    </w:p>
    <w:p w14:paraId="1F1A7B7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附件1：工程质量保修书</w:t>
      </w:r>
    </w:p>
    <w:p w14:paraId="77ADC17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附件2：主要建设工程文件目录</w:t>
      </w:r>
    </w:p>
    <w:p w14:paraId="17BA3FC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附件3：承包人项目管理机构组成表</w:t>
      </w:r>
    </w:p>
    <w:p w14:paraId="5DB5975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附件4：履约</w:t>
      </w:r>
      <w:r>
        <w:rPr>
          <w:rFonts w:ascii="宋体" w:hAnsi="宋体"/>
          <w:color w:val="auto"/>
          <w:szCs w:val="21"/>
        </w:rPr>
        <w:t>担保</w:t>
      </w:r>
      <w:r>
        <w:rPr>
          <w:rFonts w:hint="eastAsia" w:ascii="宋体" w:hAnsi="宋体"/>
          <w:color w:val="auto"/>
          <w:szCs w:val="21"/>
        </w:rPr>
        <w:t>（如有）</w:t>
      </w:r>
    </w:p>
    <w:p w14:paraId="04D1B25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5</w:t>
      </w:r>
      <w:r>
        <w:rPr>
          <w:rFonts w:hint="eastAsia" w:ascii="宋体" w:hAnsi="宋体"/>
          <w:color w:val="auto"/>
          <w:szCs w:val="21"/>
        </w:rPr>
        <w:t>：预付款担保（如有）</w:t>
      </w:r>
    </w:p>
    <w:p w14:paraId="492045E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6</w:t>
      </w:r>
      <w:r>
        <w:rPr>
          <w:rFonts w:hint="eastAsia" w:ascii="宋体" w:hAnsi="宋体"/>
          <w:color w:val="auto"/>
          <w:szCs w:val="21"/>
        </w:rPr>
        <w:t>：支付担保（如有）</w:t>
      </w:r>
    </w:p>
    <w:p w14:paraId="5D43704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7</w:t>
      </w:r>
      <w:r>
        <w:rPr>
          <w:rFonts w:hint="eastAsia" w:ascii="宋体" w:hAnsi="宋体"/>
          <w:color w:val="auto"/>
          <w:szCs w:val="21"/>
        </w:rPr>
        <w:t>：专业工程暂估价表</w:t>
      </w:r>
    </w:p>
    <w:p w14:paraId="691BED5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8</w:t>
      </w:r>
      <w:r>
        <w:rPr>
          <w:rFonts w:hint="eastAsia" w:ascii="宋体" w:hAnsi="宋体"/>
          <w:color w:val="auto"/>
          <w:szCs w:val="21"/>
        </w:rPr>
        <w:t>：廉洁从业协议</w:t>
      </w:r>
    </w:p>
    <w:p w14:paraId="36468C3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9</w:t>
      </w:r>
      <w:r>
        <w:rPr>
          <w:rFonts w:hint="eastAsia" w:ascii="宋体" w:hAnsi="宋体"/>
          <w:color w:val="auto"/>
          <w:szCs w:val="21"/>
        </w:rPr>
        <w:t>：安全管理协议</w:t>
      </w:r>
    </w:p>
    <w:p w14:paraId="29738F4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10</w:t>
      </w:r>
      <w:r>
        <w:rPr>
          <w:rFonts w:hint="eastAsia" w:ascii="宋体" w:hAnsi="宋体"/>
          <w:color w:val="auto"/>
          <w:szCs w:val="21"/>
        </w:rPr>
        <w:t>：保障农民工工资支付协议</w:t>
      </w:r>
    </w:p>
    <w:bookmarkEnd w:id="2102"/>
    <w:p w14:paraId="0414DDDA">
      <w:pPr>
        <w:adjustRightInd w:val="0"/>
        <w:snapToGrid w:val="0"/>
        <w:ind w:firstLine="420"/>
        <w:rPr>
          <w:rFonts w:hint="eastAsia" w:ascii="宋体" w:hAnsi="宋体"/>
          <w:sz w:val="24"/>
        </w:rPr>
      </w:pPr>
    </w:p>
    <w:p w14:paraId="109DC96E">
      <w:pPr>
        <w:adjustRightInd w:val="0"/>
        <w:snapToGrid w:val="0"/>
        <w:ind w:firstLine="420"/>
        <w:rPr>
          <w:rFonts w:hint="eastAsia" w:ascii="宋体" w:hAnsi="宋体"/>
          <w:sz w:val="24"/>
        </w:rPr>
      </w:pPr>
    </w:p>
    <w:p w14:paraId="5928AABA">
      <w:pPr>
        <w:adjustRightInd w:val="0"/>
        <w:snapToGrid w:val="0"/>
        <w:ind w:firstLine="420"/>
        <w:rPr>
          <w:rFonts w:hint="eastAsia" w:ascii="宋体" w:hAnsi="宋体"/>
          <w:sz w:val="24"/>
        </w:rPr>
      </w:pPr>
    </w:p>
    <w:p w14:paraId="5844FD6C">
      <w:pPr>
        <w:adjustRightInd w:val="0"/>
        <w:snapToGrid w:val="0"/>
        <w:ind w:firstLine="420"/>
        <w:rPr>
          <w:rFonts w:hint="eastAsia" w:ascii="宋体" w:hAnsi="宋体"/>
          <w:sz w:val="24"/>
        </w:rPr>
      </w:pPr>
    </w:p>
    <w:p w14:paraId="5A319224">
      <w:pPr>
        <w:adjustRightInd w:val="0"/>
        <w:snapToGrid w:val="0"/>
        <w:ind w:firstLine="420"/>
        <w:rPr>
          <w:rFonts w:hint="eastAsia" w:ascii="宋体" w:hAnsi="宋体"/>
          <w:sz w:val="24"/>
        </w:rPr>
      </w:pPr>
    </w:p>
    <w:p w14:paraId="079C7DC6">
      <w:pPr>
        <w:adjustRightInd w:val="0"/>
        <w:snapToGrid w:val="0"/>
        <w:ind w:firstLine="420"/>
        <w:rPr>
          <w:rFonts w:hint="eastAsia" w:ascii="宋体" w:hAnsi="宋体"/>
          <w:sz w:val="24"/>
        </w:rPr>
      </w:pPr>
    </w:p>
    <w:p w14:paraId="2174AA45">
      <w:pPr>
        <w:adjustRightInd w:val="0"/>
        <w:snapToGrid w:val="0"/>
        <w:ind w:firstLine="420"/>
        <w:rPr>
          <w:rFonts w:hint="eastAsia" w:ascii="宋体" w:hAnsi="宋体"/>
          <w:sz w:val="24"/>
        </w:rPr>
      </w:pPr>
    </w:p>
    <w:p w14:paraId="5AE25A5E">
      <w:pPr>
        <w:adjustRightInd w:val="0"/>
        <w:snapToGrid w:val="0"/>
        <w:ind w:firstLine="420"/>
        <w:rPr>
          <w:rFonts w:hint="eastAsia" w:ascii="宋体" w:hAnsi="宋体"/>
          <w:sz w:val="24"/>
        </w:rPr>
      </w:pPr>
    </w:p>
    <w:p w14:paraId="12EC9A46">
      <w:pPr>
        <w:adjustRightInd w:val="0"/>
        <w:snapToGrid w:val="0"/>
        <w:ind w:firstLine="420"/>
        <w:rPr>
          <w:rFonts w:hint="eastAsia" w:ascii="宋体" w:hAnsi="宋体"/>
          <w:sz w:val="24"/>
        </w:rPr>
      </w:pPr>
    </w:p>
    <w:p w14:paraId="74D7F9A2">
      <w:pPr>
        <w:adjustRightInd w:val="0"/>
        <w:snapToGrid w:val="0"/>
        <w:ind w:firstLine="420"/>
        <w:rPr>
          <w:rFonts w:hint="eastAsia" w:ascii="宋体" w:hAnsi="宋体"/>
          <w:sz w:val="24"/>
        </w:rPr>
      </w:pPr>
    </w:p>
    <w:p w14:paraId="3B206840">
      <w:pPr>
        <w:adjustRightInd w:val="0"/>
        <w:snapToGrid w:val="0"/>
        <w:ind w:firstLine="420"/>
        <w:rPr>
          <w:rFonts w:hint="eastAsia" w:ascii="宋体" w:hAnsi="宋体"/>
          <w:sz w:val="24"/>
        </w:rPr>
      </w:pPr>
    </w:p>
    <w:p w14:paraId="2807A42F">
      <w:pPr>
        <w:adjustRightInd w:val="0"/>
        <w:snapToGrid w:val="0"/>
        <w:ind w:firstLine="420"/>
        <w:rPr>
          <w:rFonts w:hint="eastAsia" w:ascii="宋体" w:hAnsi="宋体"/>
          <w:sz w:val="24"/>
        </w:rPr>
      </w:pPr>
    </w:p>
    <w:p w14:paraId="1C1EA214">
      <w:pPr>
        <w:adjustRightInd w:val="0"/>
        <w:snapToGrid w:val="0"/>
        <w:ind w:firstLine="420"/>
        <w:rPr>
          <w:rFonts w:hint="eastAsia" w:ascii="宋体" w:hAnsi="宋体"/>
          <w:sz w:val="24"/>
        </w:rPr>
      </w:pPr>
    </w:p>
    <w:p w14:paraId="5C2BFFB7">
      <w:pPr>
        <w:adjustRightInd w:val="0"/>
        <w:snapToGrid w:val="0"/>
        <w:ind w:firstLine="420"/>
        <w:rPr>
          <w:rFonts w:hint="eastAsia" w:ascii="宋体" w:hAnsi="宋体"/>
          <w:sz w:val="24"/>
        </w:rPr>
      </w:pPr>
    </w:p>
    <w:p w14:paraId="6FCFD9AD">
      <w:pPr>
        <w:adjustRightInd w:val="0"/>
        <w:snapToGrid w:val="0"/>
        <w:ind w:firstLine="420"/>
        <w:rPr>
          <w:rFonts w:hint="eastAsia" w:ascii="宋体" w:hAnsi="宋体"/>
          <w:sz w:val="24"/>
        </w:rPr>
      </w:pPr>
    </w:p>
    <w:p w14:paraId="62ACCBD9">
      <w:pPr>
        <w:adjustRightInd w:val="0"/>
        <w:snapToGrid w:val="0"/>
        <w:ind w:firstLine="420"/>
        <w:rPr>
          <w:rFonts w:hint="eastAsia" w:ascii="宋体" w:hAnsi="宋体"/>
          <w:sz w:val="24"/>
        </w:rPr>
      </w:pPr>
    </w:p>
    <w:p w14:paraId="43FD7F8C">
      <w:pPr>
        <w:adjustRightInd w:val="0"/>
        <w:snapToGrid w:val="0"/>
        <w:ind w:firstLine="420"/>
        <w:rPr>
          <w:rFonts w:hint="eastAsia" w:ascii="宋体" w:hAnsi="宋体"/>
          <w:sz w:val="24"/>
        </w:rPr>
      </w:pPr>
    </w:p>
    <w:p w14:paraId="1E5BFCD9">
      <w:pPr>
        <w:adjustRightInd w:val="0"/>
        <w:snapToGrid w:val="0"/>
        <w:ind w:firstLine="420"/>
        <w:rPr>
          <w:rFonts w:hint="eastAsia" w:ascii="宋体" w:hAnsi="宋体"/>
          <w:sz w:val="24"/>
        </w:rPr>
      </w:pPr>
    </w:p>
    <w:p w14:paraId="39677DB3">
      <w:pPr>
        <w:adjustRightInd w:val="0"/>
        <w:snapToGrid w:val="0"/>
        <w:ind w:firstLine="420"/>
        <w:rPr>
          <w:rFonts w:hint="eastAsia" w:ascii="宋体" w:hAnsi="宋体"/>
          <w:sz w:val="24"/>
        </w:rPr>
      </w:pPr>
    </w:p>
    <w:p w14:paraId="0E72B810">
      <w:pPr>
        <w:adjustRightInd w:val="0"/>
        <w:snapToGrid w:val="0"/>
        <w:ind w:firstLine="420"/>
        <w:rPr>
          <w:rFonts w:hint="eastAsia" w:ascii="宋体" w:hAnsi="宋体"/>
          <w:sz w:val="24"/>
        </w:rPr>
      </w:pPr>
    </w:p>
    <w:p w14:paraId="0922C1A0">
      <w:pPr>
        <w:adjustRightInd w:val="0"/>
        <w:snapToGrid w:val="0"/>
        <w:ind w:firstLine="420"/>
        <w:rPr>
          <w:rFonts w:hint="eastAsia" w:ascii="宋体" w:hAnsi="宋体"/>
          <w:sz w:val="24"/>
        </w:rPr>
      </w:pPr>
    </w:p>
    <w:p w14:paraId="45A0D622">
      <w:pPr>
        <w:adjustRightInd w:val="0"/>
        <w:snapToGrid w:val="0"/>
        <w:ind w:firstLine="420"/>
        <w:rPr>
          <w:rFonts w:hint="eastAsia" w:ascii="宋体" w:hAnsi="宋体"/>
          <w:sz w:val="24"/>
        </w:rPr>
      </w:pPr>
    </w:p>
    <w:p w14:paraId="03B73079">
      <w:pPr>
        <w:adjustRightInd w:val="0"/>
        <w:snapToGrid w:val="0"/>
        <w:ind w:firstLine="420"/>
        <w:rPr>
          <w:rFonts w:hint="eastAsia" w:ascii="宋体" w:hAnsi="宋体"/>
          <w:sz w:val="24"/>
        </w:rPr>
      </w:pPr>
    </w:p>
    <w:p w14:paraId="037273B8">
      <w:pPr>
        <w:adjustRightInd w:val="0"/>
        <w:snapToGrid w:val="0"/>
        <w:ind w:firstLine="420"/>
        <w:rPr>
          <w:rFonts w:hint="eastAsia" w:ascii="宋体" w:hAnsi="宋体"/>
          <w:sz w:val="24"/>
        </w:rPr>
      </w:pPr>
    </w:p>
    <w:p w14:paraId="5A92EE8A">
      <w:pPr>
        <w:adjustRightInd w:val="0"/>
        <w:snapToGrid w:val="0"/>
        <w:ind w:firstLine="420"/>
        <w:rPr>
          <w:rFonts w:hint="eastAsia" w:ascii="宋体" w:hAnsi="宋体"/>
          <w:sz w:val="24"/>
        </w:rPr>
      </w:pPr>
    </w:p>
    <w:p w14:paraId="1B44E5B1">
      <w:pPr>
        <w:adjustRightInd w:val="0"/>
        <w:snapToGrid w:val="0"/>
        <w:ind w:firstLine="420"/>
        <w:rPr>
          <w:rFonts w:hint="eastAsia" w:ascii="宋体" w:hAnsi="宋体"/>
          <w:sz w:val="24"/>
        </w:rPr>
      </w:pPr>
    </w:p>
    <w:p w14:paraId="453D1932">
      <w:pPr>
        <w:adjustRightInd w:val="0"/>
        <w:snapToGrid w:val="0"/>
        <w:ind w:firstLine="420"/>
        <w:rPr>
          <w:rFonts w:hint="eastAsia" w:ascii="宋体" w:hAnsi="宋体"/>
          <w:sz w:val="24"/>
        </w:rPr>
      </w:pPr>
    </w:p>
    <w:p w14:paraId="37D34ED6">
      <w:pPr>
        <w:adjustRightInd w:val="0"/>
        <w:snapToGrid w:val="0"/>
        <w:ind w:firstLine="420"/>
        <w:rPr>
          <w:rFonts w:hint="eastAsia" w:ascii="宋体" w:hAnsi="宋体"/>
          <w:sz w:val="24"/>
        </w:rPr>
      </w:pPr>
    </w:p>
    <w:p w14:paraId="44852D95">
      <w:pPr>
        <w:adjustRightInd w:val="0"/>
        <w:snapToGrid w:val="0"/>
        <w:ind w:firstLine="420"/>
        <w:rPr>
          <w:rFonts w:hint="eastAsia" w:ascii="宋体" w:hAnsi="宋体"/>
          <w:sz w:val="24"/>
        </w:rPr>
      </w:pPr>
    </w:p>
    <w:p w14:paraId="62C1119D">
      <w:pPr>
        <w:adjustRightInd w:val="0"/>
        <w:snapToGrid w:val="0"/>
        <w:ind w:firstLine="420"/>
        <w:rPr>
          <w:rFonts w:hint="eastAsia" w:ascii="宋体" w:hAnsi="宋体"/>
          <w:sz w:val="24"/>
        </w:rPr>
      </w:pPr>
    </w:p>
    <w:p w14:paraId="5700ABC9">
      <w:pPr>
        <w:adjustRightInd w:val="0"/>
        <w:snapToGrid w:val="0"/>
        <w:ind w:firstLine="420"/>
        <w:rPr>
          <w:rFonts w:hint="eastAsia" w:ascii="宋体" w:hAnsi="宋体"/>
          <w:sz w:val="24"/>
        </w:rPr>
      </w:pPr>
    </w:p>
    <w:p w14:paraId="6F527AE3">
      <w:pPr>
        <w:adjustRightInd w:val="0"/>
        <w:snapToGrid w:val="0"/>
        <w:ind w:firstLine="420"/>
        <w:rPr>
          <w:rFonts w:hint="eastAsia" w:ascii="宋体" w:hAnsi="宋体"/>
          <w:sz w:val="24"/>
        </w:rPr>
      </w:pPr>
    </w:p>
    <w:p w14:paraId="621D693D">
      <w:pPr>
        <w:adjustRightInd w:val="0"/>
        <w:snapToGrid w:val="0"/>
        <w:ind w:firstLine="420"/>
        <w:rPr>
          <w:rFonts w:hint="eastAsia" w:ascii="宋体" w:hAnsi="宋体"/>
          <w:sz w:val="24"/>
        </w:rPr>
      </w:pPr>
    </w:p>
    <w:p w14:paraId="23A8E670">
      <w:pPr>
        <w:adjustRightInd w:val="0"/>
        <w:snapToGrid w:val="0"/>
        <w:ind w:firstLine="420"/>
        <w:rPr>
          <w:rFonts w:hint="eastAsia" w:ascii="宋体" w:hAnsi="宋体"/>
          <w:sz w:val="24"/>
        </w:rPr>
      </w:pPr>
    </w:p>
    <w:p w14:paraId="2C7842BA">
      <w:pPr>
        <w:adjustRightInd w:val="0"/>
        <w:snapToGrid w:val="0"/>
        <w:ind w:firstLine="420"/>
        <w:rPr>
          <w:rFonts w:hint="eastAsia" w:ascii="宋体" w:hAnsi="宋体"/>
          <w:sz w:val="24"/>
        </w:rPr>
      </w:pPr>
    </w:p>
    <w:p w14:paraId="25A59A03">
      <w:pPr>
        <w:adjustRightInd w:val="0"/>
        <w:snapToGrid w:val="0"/>
        <w:ind w:firstLine="420"/>
        <w:rPr>
          <w:rFonts w:hint="eastAsia" w:ascii="宋体" w:hAnsi="宋体"/>
          <w:sz w:val="24"/>
        </w:rPr>
      </w:pPr>
    </w:p>
    <w:p w14:paraId="5B627DEB">
      <w:pPr>
        <w:adjustRightInd w:val="0"/>
        <w:snapToGrid w:val="0"/>
        <w:ind w:firstLine="420"/>
        <w:rPr>
          <w:rFonts w:hint="eastAsia" w:ascii="宋体" w:hAnsi="宋体"/>
          <w:sz w:val="24"/>
        </w:rPr>
      </w:pPr>
    </w:p>
    <w:p w14:paraId="7838AA50">
      <w:pPr>
        <w:adjustRightInd w:val="0"/>
        <w:snapToGrid w:val="0"/>
        <w:ind w:firstLine="420"/>
        <w:rPr>
          <w:rFonts w:hint="eastAsia" w:ascii="宋体" w:hAnsi="宋体"/>
          <w:sz w:val="24"/>
        </w:rPr>
      </w:pPr>
    </w:p>
    <w:p w14:paraId="0B8ED138">
      <w:pPr>
        <w:adjustRightInd w:val="0"/>
        <w:snapToGrid w:val="0"/>
        <w:ind w:firstLine="420"/>
        <w:rPr>
          <w:rFonts w:hint="eastAsia" w:ascii="宋体" w:hAnsi="宋体"/>
          <w:sz w:val="24"/>
        </w:rPr>
      </w:pPr>
    </w:p>
    <w:p w14:paraId="041CAC41">
      <w:pPr>
        <w:adjustRightInd w:val="0"/>
        <w:snapToGrid w:val="0"/>
        <w:ind w:firstLine="420"/>
        <w:rPr>
          <w:rFonts w:hint="eastAsia" w:ascii="宋体" w:hAnsi="宋体"/>
          <w:sz w:val="24"/>
        </w:rPr>
      </w:pPr>
    </w:p>
    <w:p w14:paraId="45CF82F1">
      <w:pPr>
        <w:spacing w:line="360" w:lineRule="auto"/>
        <w:rPr>
          <w:rFonts w:ascii="宋体" w:hAnsi="宋体"/>
          <w:color w:val="auto"/>
          <w:szCs w:val="21"/>
        </w:rPr>
      </w:pPr>
      <w:bookmarkStart w:id="2103" w:name="_Toc181626937"/>
      <w:r>
        <w:rPr>
          <w:rFonts w:hint="eastAsia" w:ascii="宋体" w:hAnsi="宋体"/>
          <w:color w:val="auto"/>
          <w:szCs w:val="21"/>
        </w:rPr>
        <w:t>附</w:t>
      </w:r>
      <w:bookmarkStart w:id="2104" w:name="_Toc296347225"/>
      <w:bookmarkStart w:id="2105" w:name="_Toc296346727"/>
      <w:bookmarkStart w:id="2106" w:name="_Toc296891054"/>
      <w:bookmarkStart w:id="2107" w:name="_Toc296891266"/>
      <w:bookmarkStart w:id="2108" w:name="_Toc296944565"/>
      <w:bookmarkStart w:id="2109" w:name="_Toc267261693"/>
      <w:bookmarkStart w:id="2110" w:name="_Toc296503226"/>
      <w:r>
        <w:rPr>
          <w:rFonts w:hint="eastAsia" w:ascii="宋体" w:hAnsi="宋体"/>
          <w:color w:val="auto"/>
          <w:szCs w:val="21"/>
        </w:rPr>
        <w:t>件1：</w:t>
      </w:r>
      <w:bookmarkEnd w:id="2104"/>
      <w:bookmarkEnd w:id="2105"/>
      <w:bookmarkEnd w:id="2106"/>
      <w:bookmarkEnd w:id="2107"/>
      <w:bookmarkEnd w:id="2108"/>
      <w:bookmarkEnd w:id="2109"/>
      <w:bookmarkEnd w:id="2110"/>
    </w:p>
    <w:p w14:paraId="340F78DF">
      <w:pPr>
        <w:spacing w:beforeLines="50" w:afterLines="50" w:line="360" w:lineRule="auto"/>
        <w:jc w:val="center"/>
        <w:rPr>
          <w:rFonts w:ascii="宋体" w:hAnsi="宋体"/>
          <w:color w:val="auto"/>
          <w:szCs w:val="21"/>
        </w:rPr>
      </w:pPr>
      <w:r>
        <w:rPr>
          <w:rFonts w:hint="eastAsia" w:ascii="宋体" w:hAnsi="宋体"/>
          <w:color w:val="auto"/>
          <w:szCs w:val="21"/>
        </w:rPr>
        <w:t>工程质量保修书</w:t>
      </w:r>
    </w:p>
    <w:p w14:paraId="075987A1">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3DD1D52F">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1BC2B04E">
      <w:pPr>
        <w:spacing w:line="360" w:lineRule="auto"/>
        <w:ind w:firstLine="420" w:firstLineChars="200"/>
        <w:rPr>
          <w:rFonts w:ascii="宋体" w:hAnsi="宋体"/>
          <w:color w:val="auto"/>
          <w:szCs w:val="21"/>
        </w:rPr>
      </w:pPr>
      <w:r>
        <w:rPr>
          <w:rFonts w:hint="eastAsia" w:ascii="宋体" w:hAnsi="宋体"/>
          <w:color w:val="auto"/>
          <w:szCs w:val="21"/>
        </w:rPr>
        <w:t>发包人和承包人根据《中华人民共和国建筑法》和《建设工程质量管理条例》，经协商一致就</w:t>
      </w:r>
    </w:p>
    <w:p w14:paraId="744C5CA0">
      <w:pPr>
        <w:spacing w:line="360" w:lineRule="auto"/>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（工程全称）签订工程质量保修书。</w:t>
      </w:r>
    </w:p>
    <w:p w14:paraId="19E0F16F">
      <w:pPr>
        <w:spacing w:line="360" w:lineRule="auto"/>
        <w:ind w:firstLine="420" w:firstLineChars="200"/>
        <w:rPr>
          <w:rFonts w:ascii="宋体" w:hAnsi="宋体"/>
          <w:color w:val="auto"/>
          <w:szCs w:val="21"/>
        </w:rPr>
      </w:pPr>
      <w:bookmarkStart w:id="2111" w:name="_Toc532375687"/>
      <w:r>
        <w:rPr>
          <w:rFonts w:hint="eastAsia" w:ascii="宋体" w:hAnsi="宋体"/>
          <w:color w:val="auto"/>
          <w:szCs w:val="21"/>
        </w:rPr>
        <w:t>一、工程质量保修范围和内容</w:t>
      </w:r>
      <w:bookmarkEnd w:id="2111"/>
    </w:p>
    <w:p w14:paraId="6CFE7845">
      <w:pPr>
        <w:spacing w:line="360" w:lineRule="auto"/>
        <w:ind w:firstLine="420" w:firstLineChars="200"/>
        <w:rPr>
          <w:rFonts w:ascii="宋体" w:hAnsi="宋体"/>
          <w:color w:val="auto"/>
          <w:szCs w:val="21"/>
        </w:rPr>
      </w:pPr>
      <w:r>
        <w:rPr>
          <w:rFonts w:hint="eastAsia" w:ascii="宋体" w:hAnsi="宋体"/>
          <w:color w:val="auto"/>
          <w:szCs w:val="21"/>
        </w:rPr>
        <w:t>承包人在质量保修期内，按照有关法律规定和合同约定，承担工程质量保修责任。</w:t>
      </w:r>
    </w:p>
    <w:p w14:paraId="10565957">
      <w:pPr>
        <w:spacing w:line="360" w:lineRule="auto"/>
        <w:ind w:firstLine="420" w:firstLineChars="200"/>
        <w:rPr>
          <w:rFonts w:ascii="宋体" w:hAnsi="宋体"/>
          <w:color w:val="auto"/>
          <w:szCs w:val="21"/>
        </w:rPr>
      </w:pPr>
      <w:r>
        <w:rPr>
          <w:rFonts w:hint="eastAsia" w:ascii="宋体" w:hAnsi="宋体"/>
          <w:color w:val="auto"/>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ACB8D3B">
      <w:pPr>
        <w:spacing w:line="360" w:lineRule="auto"/>
        <w:ind w:firstLine="420" w:firstLineChars="200"/>
        <w:rPr>
          <w:rFonts w:ascii="宋体" w:hAnsi="宋体"/>
          <w:color w:val="auto"/>
          <w:szCs w:val="21"/>
        </w:rPr>
      </w:pPr>
      <w:r>
        <w:rPr>
          <w:rFonts w:hint="eastAsia" w:ascii="宋体" w:hAnsi="宋体"/>
          <w:color w:val="auto"/>
          <w:szCs w:val="21"/>
        </w:rPr>
        <w:t>承包人承包范围内容均属质量保修范围内容；其中：</w:t>
      </w:r>
    </w:p>
    <w:p w14:paraId="3DD1EA2B">
      <w:pPr>
        <w:spacing w:line="360" w:lineRule="auto"/>
        <w:ind w:firstLine="420" w:firstLineChars="200"/>
        <w:rPr>
          <w:rFonts w:ascii="宋体" w:hAnsi="宋体"/>
          <w:color w:val="auto"/>
          <w:szCs w:val="21"/>
        </w:rPr>
      </w:pPr>
      <w:r>
        <w:rPr>
          <w:rFonts w:hint="eastAsia" w:ascii="宋体" w:hAnsi="宋体"/>
          <w:color w:val="auto"/>
          <w:szCs w:val="21"/>
        </w:rPr>
        <w:t>1.属于设计原因造成的质量问题，承包人负责维修，不留隐患，费用由发包人承担；</w:t>
      </w:r>
    </w:p>
    <w:p w14:paraId="69B24C42">
      <w:pPr>
        <w:spacing w:line="360" w:lineRule="auto"/>
        <w:ind w:firstLine="420" w:firstLineChars="200"/>
        <w:rPr>
          <w:rFonts w:ascii="宋体" w:hAnsi="宋体"/>
          <w:color w:val="auto"/>
          <w:szCs w:val="21"/>
        </w:rPr>
      </w:pPr>
      <w:r>
        <w:rPr>
          <w:rFonts w:hint="eastAsia" w:ascii="宋体" w:hAnsi="宋体"/>
          <w:color w:val="auto"/>
          <w:szCs w:val="21"/>
        </w:rPr>
        <w:t>2.属于施工造成的质量问题，承包人负责维修，不留隐患；</w:t>
      </w:r>
    </w:p>
    <w:p w14:paraId="46B45BF0">
      <w:pPr>
        <w:spacing w:line="360" w:lineRule="auto"/>
        <w:ind w:firstLine="420" w:firstLineChars="200"/>
        <w:rPr>
          <w:rFonts w:ascii="宋体" w:hAnsi="宋体"/>
          <w:color w:val="auto"/>
          <w:szCs w:val="21"/>
        </w:rPr>
      </w:pPr>
      <w:r>
        <w:rPr>
          <w:rFonts w:hint="eastAsia" w:ascii="宋体" w:hAnsi="宋体"/>
          <w:color w:val="auto"/>
          <w:szCs w:val="21"/>
        </w:rPr>
        <w:t>3.属于业主使用不当造成的质量问题，配合抢修，费用由发包人承担。</w:t>
      </w:r>
    </w:p>
    <w:p w14:paraId="6122700D">
      <w:pPr>
        <w:spacing w:line="360" w:lineRule="auto"/>
        <w:ind w:firstLine="420" w:firstLineChars="200"/>
        <w:rPr>
          <w:rFonts w:ascii="宋体" w:hAnsi="宋体"/>
          <w:color w:val="auto"/>
          <w:szCs w:val="21"/>
        </w:rPr>
      </w:pPr>
      <w:bookmarkStart w:id="2112" w:name="_Toc532375688"/>
      <w:r>
        <w:rPr>
          <w:rFonts w:hint="eastAsia" w:ascii="宋体" w:hAnsi="宋体"/>
          <w:color w:val="auto"/>
          <w:szCs w:val="21"/>
        </w:rPr>
        <w:t>二、质量保修期</w:t>
      </w:r>
      <w:bookmarkEnd w:id="2112"/>
    </w:p>
    <w:p w14:paraId="29BD3A2E">
      <w:pPr>
        <w:spacing w:line="360" w:lineRule="auto"/>
        <w:ind w:firstLine="420" w:firstLineChars="200"/>
        <w:rPr>
          <w:rFonts w:ascii="宋体" w:hAnsi="宋体"/>
          <w:color w:val="auto"/>
          <w:szCs w:val="21"/>
        </w:rPr>
      </w:pPr>
      <w:r>
        <w:rPr>
          <w:rFonts w:hint="eastAsia" w:ascii="宋体" w:hAnsi="宋体"/>
          <w:color w:val="auto"/>
          <w:szCs w:val="21"/>
        </w:rPr>
        <w:t>根据《建设工程质量管理条例》及有关规定，本工程质量保修期约定如下：</w:t>
      </w:r>
    </w:p>
    <w:p w14:paraId="4C579DC0">
      <w:pPr>
        <w:spacing w:line="360" w:lineRule="auto"/>
        <w:ind w:firstLine="420" w:firstLineChars="200"/>
        <w:rPr>
          <w:rFonts w:ascii="宋体" w:hAnsi="宋体"/>
          <w:color w:val="auto"/>
          <w:szCs w:val="21"/>
        </w:rPr>
      </w:pPr>
      <w:r>
        <w:rPr>
          <w:rFonts w:hint="eastAsia" w:ascii="宋体" w:hAnsi="宋体"/>
          <w:color w:val="auto"/>
          <w:szCs w:val="21"/>
        </w:rPr>
        <w:t>1.基础设施工程、房屋建筑的地基基础工程和主体结构工程，为设计文件规定的该工程的合理使用年限；</w:t>
      </w:r>
    </w:p>
    <w:p w14:paraId="79CAEF3B">
      <w:pPr>
        <w:spacing w:line="360" w:lineRule="auto"/>
        <w:ind w:firstLine="420" w:firstLineChars="200"/>
        <w:rPr>
          <w:rFonts w:ascii="宋体" w:hAnsi="宋体"/>
          <w:color w:val="auto"/>
          <w:szCs w:val="21"/>
        </w:rPr>
      </w:pPr>
      <w:r>
        <w:rPr>
          <w:rFonts w:hint="eastAsia" w:ascii="宋体" w:hAnsi="宋体"/>
          <w:color w:val="auto"/>
          <w:szCs w:val="21"/>
        </w:rPr>
        <w:t>2.屋面防水工程、有防水要求的卫生间、房间和外墙面的防渗漏，为5年；</w:t>
      </w:r>
    </w:p>
    <w:p w14:paraId="572E7721">
      <w:pPr>
        <w:spacing w:line="360" w:lineRule="auto"/>
        <w:ind w:firstLine="420" w:firstLineChars="200"/>
        <w:rPr>
          <w:rFonts w:ascii="宋体" w:hAnsi="宋体"/>
          <w:color w:val="auto"/>
          <w:szCs w:val="21"/>
        </w:rPr>
      </w:pPr>
      <w:r>
        <w:rPr>
          <w:rFonts w:hint="eastAsia" w:ascii="宋体" w:hAnsi="宋体"/>
          <w:color w:val="auto"/>
          <w:szCs w:val="21"/>
        </w:rPr>
        <w:t>3.供热与供冷系统，为2个采暖期、供冷期；</w:t>
      </w:r>
    </w:p>
    <w:p w14:paraId="302CD897">
      <w:pPr>
        <w:spacing w:line="360" w:lineRule="auto"/>
        <w:ind w:firstLine="420" w:firstLineChars="200"/>
        <w:rPr>
          <w:rFonts w:ascii="宋体" w:hAnsi="宋体"/>
          <w:color w:val="auto"/>
          <w:szCs w:val="21"/>
        </w:rPr>
      </w:pPr>
      <w:r>
        <w:rPr>
          <w:rFonts w:hint="eastAsia" w:ascii="宋体" w:hAnsi="宋体"/>
          <w:color w:val="auto"/>
          <w:szCs w:val="21"/>
        </w:rPr>
        <w:t>4.电气管线、给排水管道、设备安装和装修工程，为2年；</w:t>
      </w:r>
    </w:p>
    <w:p w14:paraId="66F12E50">
      <w:pPr>
        <w:spacing w:line="360" w:lineRule="auto"/>
        <w:ind w:firstLine="420" w:firstLineChars="200"/>
        <w:rPr>
          <w:rFonts w:ascii="宋体" w:hAnsi="宋体"/>
          <w:color w:val="auto"/>
          <w:szCs w:val="21"/>
        </w:rPr>
      </w:pPr>
      <w:r>
        <w:rPr>
          <w:rFonts w:hint="eastAsia" w:ascii="宋体" w:hAnsi="宋体"/>
          <w:color w:val="auto"/>
          <w:szCs w:val="21"/>
        </w:rPr>
        <w:t>5.其他项目保修期限：2年；</w:t>
      </w:r>
      <w:r>
        <w:rPr>
          <w:rFonts w:hint="eastAsia" w:ascii="宋体" w:hAnsi="宋体"/>
          <w:i/>
          <w:color w:val="auto"/>
          <w:szCs w:val="21"/>
        </w:rPr>
        <w:t>[提示：如有不同，根据具体情况修改]</w:t>
      </w:r>
    </w:p>
    <w:p w14:paraId="4363E630">
      <w:pPr>
        <w:spacing w:line="360" w:lineRule="auto"/>
        <w:ind w:firstLine="420" w:firstLineChars="200"/>
        <w:rPr>
          <w:rFonts w:ascii="宋体" w:hAnsi="宋体"/>
          <w:color w:val="auto"/>
          <w:szCs w:val="21"/>
        </w:rPr>
      </w:pPr>
      <w:r>
        <w:rPr>
          <w:rFonts w:hint="eastAsia" w:ascii="宋体" w:hAnsi="宋体"/>
          <w:color w:val="auto"/>
          <w:szCs w:val="21"/>
        </w:rPr>
        <w:t>建设工程的保修期，自工程竣工验收合格之日起计算。</w:t>
      </w:r>
    </w:p>
    <w:p w14:paraId="51B803A2">
      <w:pPr>
        <w:spacing w:line="360" w:lineRule="auto"/>
        <w:ind w:firstLine="420" w:firstLineChars="200"/>
        <w:rPr>
          <w:rFonts w:ascii="宋体" w:hAnsi="宋体"/>
          <w:color w:val="auto"/>
          <w:szCs w:val="21"/>
        </w:rPr>
      </w:pPr>
      <w:bookmarkStart w:id="2113" w:name="_Toc532375689"/>
      <w:r>
        <w:rPr>
          <w:rFonts w:hint="eastAsia" w:ascii="宋体" w:hAnsi="宋体"/>
          <w:color w:val="auto"/>
          <w:szCs w:val="21"/>
        </w:rPr>
        <w:t>三、质量保修责任</w:t>
      </w:r>
      <w:bookmarkEnd w:id="2113"/>
    </w:p>
    <w:p w14:paraId="1CEB0BBA">
      <w:pPr>
        <w:spacing w:line="360" w:lineRule="auto"/>
        <w:ind w:firstLine="420" w:firstLineChars="200"/>
        <w:rPr>
          <w:rFonts w:ascii="宋体" w:hAnsi="宋体"/>
          <w:color w:val="auto"/>
          <w:szCs w:val="21"/>
        </w:rPr>
      </w:pPr>
      <w:r>
        <w:rPr>
          <w:rFonts w:hint="eastAsia" w:ascii="宋体" w:hAnsi="宋体"/>
          <w:color w:val="auto"/>
          <w:szCs w:val="21"/>
        </w:rPr>
        <w:t>1.属于保修范围、内容的项目，承包人应当在接到保修通知之日起7天内派人保修。承包人不在约定期限内派人保修的，发包人可以委托他人修理。</w:t>
      </w:r>
    </w:p>
    <w:p w14:paraId="3F3416FF">
      <w:pPr>
        <w:spacing w:line="360" w:lineRule="auto"/>
        <w:ind w:firstLine="420" w:firstLineChars="200"/>
        <w:rPr>
          <w:rFonts w:ascii="宋体" w:hAnsi="宋体"/>
          <w:color w:val="auto"/>
          <w:szCs w:val="21"/>
        </w:rPr>
      </w:pPr>
      <w:r>
        <w:rPr>
          <w:rFonts w:hint="eastAsia" w:ascii="宋体" w:hAnsi="宋体"/>
          <w:color w:val="auto"/>
          <w:szCs w:val="21"/>
        </w:rPr>
        <w:t>2.发生紧急事故需抢修的，承包人在接到事故通知后，应当立即到达事故现场抢修。</w:t>
      </w:r>
    </w:p>
    <w:p w14:paraId="727C74A7">
      <w:pPr>
        <w:spacing w:line="360" w:lineRule="auto"/>
        <w:ind w:firstLine="420" w:firstLineChars="200"/>
        <w:rPr>
          <w:rFonts w:ascii="宋体" w:hAnsi="宋体"/>
          <w:color w:val="auto"/>
          <w:szCs w:val="21"/>
        </w:rPr>
      </w:pPr>
      <w:r>
        <w:rPr>
          <w:rFonts w:hint="eastAsia" w:ascii="宋体" w:hAnsi="宋体"/>
          <w:color w:val="auto"/>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7C80716">
      <w:pPr>
        <w:spacing w:line="360" w:lineRule="auto"/>
        <w:ind w:firstLine="420" w:firstLineChars="200"/>
        <w:rPr>
          <w:rFonts w:ascii="宋体" w:hAnsi="宋体"/>
          <w:color w:val="auto"/>
          <w:szCs w:val="21"/>
        </w:rPr>
      </w:pPr>
      <w:r>
        <w:rPr>
          <w:rFonts w:hint="eastAsia" w:ascii="宋体" w:hAnsi="宋体"/>
          <w:color w:val="auto"/>
          <w:szCs w:val="21"/>
        </w:rPr>
        <w:t>4.质量保修完成后，由发包人组织验收。</w:t>
      </w:r>
    </w:p>
    <w:p w14:paraId="64190D26">
      <w:pPr>
        <w:spacing w:line="360" w:lineRule="auto"/>
        <w:ind w:firstLine="420" w:firstLineChars="200"/>
        <w:rPr>
          <w:rFonts w:ascii="宋体" w:hAnsi="宋体"/>
          <w:color w:val="auto"/>
          <w:szCs w:val="21"/>
        </w:rPr>
      </w:pPr>
      <w:bookmarkStart w:id="2114" w:name="_Toc532375690"/>
      <w:r>
        <w:rPr>
          <w:rFonts w:hint="eastAsia" w:ascii="宋体" w:hAnsi="宋体"/>
          <w:color w:val="auto"/>
          <w:szCs w:val="21"/>
        </w:rPr>
        <w:t>四、保修费用</w:t>
      </w:r>
      <w:bookmarkEnd w:id="2114"/>
    </w:p>
    <w:p w14:paraId="477A12B4">
      <w:pPr>
        <w:spacing w:line="360" w:lineRule="auto"/>
        <w:ind w:firstLine="420" w:firstLineChars="200"/>
        <w:rPr>
          <w:rFonts w:ascii="宋体" w:hAnsi="宋体"/>
          <w:color w:val="auto"/>
          <w:szCs w:val="21"/>
        </w:rPr>
      </w:pPr>
      <w:r>
        <w:rPr>
          <w:rFonts w:hint="eastAsia" w:ascii="宋体" w:hAnsi="宋体"/>
          <w:color w:val="auto"/>
          <w:szCs w:val="21"/>
        </w:rPr>
        <w:t>保修费用由质量缺陷的责任方承担。</w:t>
      </w:r>
    </w:p>
    <w:p w14:paraId="699E97D8">
      <w:pPr>
        <w:spacing w:line="360" w:lineRule="auto"/>
        <w:ind w:firstLine="420" w:firstLineChars="200"/>
        <w:rPr>
          <w:rFonts w:ascii="宋体" w:hAnsi="宋体"/>
          <w:color w:val="auto"/>
          <w:szCs w:val="21"/>
        </w:rPr>
      </w:pPr>
      <w:bookmarkStart w:id="2115" w:name="_Toc532375691"/>
      <w:r>
        <w:rPr>
          <w:rFonts w:hint="eastAsia" w:ascii="宋体" w:hAnsi="宋体"/>
          <w:color w:val="auto"/>
          <w:szCs w:val="21"/>
        </w:rPr>
        <w:t>五、双方约定的其他工程质量保修事项</w:t>
      </w:r>
    </w:p>
    <w:p w14:paraId="5A0165FE">
      <w:pPr>
        <w:spacing w:line="360" w:lineRule="auto"/>
        <w:ind w:firstLine="420" w:firstLineChars="200"/>
        <w:rPr>
          <w:rFonts w:ascii="宋体" w:hAnsi="宋体"/>
          <w:color w:val="auto"/>
          <w:szCs w:val="21"/>
        </w:rPr>
      </w:pPr>
      <w:r>
        <w:rPr>
          <w:rFonts w:hint="eastAsia" w:ascii="宋体" w:hAnsi="宋体"/>
          <w:color w:val="auto"/>
          <w:szCs w:val="21"/>
          <w:u w:val="single"/>
        </w:rPr>
        <w:t>按国家相关法律和规定执行</w:t>
      </w:r>
      <w:r>
        <w:rPr>
          <w:rFonts w:hint="eastAsia" w:ascii="宋体" w:hAnsi="宋体"/>
          <w:color w:val="auto"/>
          <w:szCs w:val="21"/>
        </w:rPr>
        <w:t>。</w:t>
      </w:r>
      <w:bookmarkEnd w:id="2115"/>
    </w:p>
    <w:p w14:paraId="799B2C42">
      <w:pPr>
        <w:spacing w:line="360" w:lineRule="auto"/>
        <w:ind w:firstLine="420" w:firstLineChars="200"/>
        <w:rPr>
          <w:rFonts w:ascii="宋体" w:hAnsi="宋体"/>
          <w:color w:val="auto"/>
          <w:szCs w:val="21"/>
        </w:rPr>
      </w:pPr>
      <w:r>
        <w:rPr>
          <w:rFonts w:hint="eastAsia" w:ascii="宋体" w:hAnsi="宋体"/>
          <w:color w:val="auto"/>
          <w:szCs w:val="21"/>
        </w:rPr>
        <w:t>本工程质量保修书由发包人、承包人在工程竣工验收前共同签署，作为施工合同附件，其有效期限至保修期满。</w:t>
      </w:r>
    </w:p>
    <w:p w14:paraId="6BB8D483">
      <w:pPr>
        <w:spacing w:line="360" w:lineRule="auto"/>
        <w:ind w:firstLine="420" w:firstLineChars="200"/>
        <w:rPr>
          <w:rFonts w:ascii="宋体" w:hAnsi="宋体"/>
          <w:color w:val="auto"/>
          <w:szCs w:val="21"/>
        </w:rPr>
      </w:pPr>
      <w:r>
        <w:rPr>
          <w:rFonts w:ascii="宋体" w:hAnsi="宋体"/>
          <w:color w:val="auto"/>
          <w:szCs w:val="21"/>
        </w:rPr>
        <w:t>六</w:t>
      </w:r>
      <w:r>
        <w:rPr>
          <w:rFonts w:hint="eastAsia" w:ascii="宋体" w:hAnsi="宋体"/>
          <w:color w:val="auto"/>
          <w:szCs w:val="21"/>
        </w:rPr>
        <w:t>、</w:t>
      </w:r>
      <w:r>
        <w:rPr>
          <w:rFonts w:ascii="宋体" w:hAnsi="宋体"/>
          <w:color w:val="auto"/>
          <w:szCs w:val="21"/>
        </w:rPr>
        <w:t>本文件生效</w:t>
      </w:r>
    </w:p>
    <w:p w14:paraId="200672C6">
      <w:pPr>
        <w:spacing w:line="360" w:lineRule="auto"/>
        <w:ind w:firstLine="420" w:firstLineChars="200"/>
        <w:rPr>
          <w:rFonts w:ascii="宋体" w:hAnsi="宋体"/>
          <w:color w:val="auto"/>
          <w:szCs w:val="21"/>
        </w:rPr>
      </w:pPr>
      <w:r>
        <w:rPr>
          <w:rFonts w:hint="eastAsia" w:ascii="宋体" w:hAnsi="宋体"/>
          <w:color w:val="auto"/>
          <w:szCs w:val="21"/>
        </w:rPr>
        <w:t>本工程质量保修书经发包人与承包人盖章后生效。</w:t>
      </w:r>
    </w:p>
    <w:p w14:paraId="6866207E">
      <w:pPr>
        <w:pStyle w:val="2"/>
        <w:spacing w:line="360" w:lineRule="auto"/>
        <w:ind w:firstLine="420" w:firstLineChars="200"/>
        <w:rPr>
          <w:rFonts w:ascii="宋体" w:hAnsi="宋体"/>
          <w:color w:val="auto"/>
          <w:szCs w:val="21"/>
        </w:rPr>
      </w:pPr>
    </w:p>
    <w:p w14:paraId="0BE90980">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发包人：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5329D857">
      <w:pPr>
        <w:spacing w:line="360" w:lineRule="auto"/>
        <w:ind w:firstLine="420" w:firstLineChars="200"/>
        <w:rPr>
          <w:rFonts w:ascii="宋体" w:hAnsi="宋体"/>
          <w:snapToGrid w:val="0"/>
          <w:color w:val="auto"/>
          <w:kern w:val="0"/>
          <w:szCs w:val="21"/>
        </w:rPr>
      </w:pPr>
    </w:p>
    <w:p w14:paraId="49626929">
      <w:pPr>
        <w:spacing w:line="360" w:lineRule="auto"/>
        <w:ind w:firstLine="420" w:firstLineChars="200"/>
        <w:rPr>
          <w:rFonts w:ascii="宋体" w:hAnsi="宋体"/>
          <w:snapToGrid w:val="0"/>
          <w:color w:val="auto"/>
          <w:kern w:val="0"/>
          <w:szCs w:val="21"/>
        </w:rPr>
      </w:pPr>
    </w:p>
    <w:p w14:paraId="05DA3EF1">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（签字）</w:t>
      </w:r>
    </w:p>
    <w:p w14:paraId="281693B8">
      <w:pPr>
        <w:spacing w:line="360" w:lineRule="auto"/>
        <w:ind w:firstLine="420" w:firstLineChars="200"/>
        <w:rPr>
          <w:rFonts w:ascii="宋体" w:hAnsi="宋体"/>
          <w:snapToGrid w:val="0"/>
          <w:color w:val="auto"/>
          <w:kern w:val="0"/>
          <w:szCs w:val="21"/>
        </w:rPr>
      </w:pPr>
    </w:p>
    <w:p w14:paraId="52E8685B">
      <w:pPr>
        <w:spacing w:line="360" w:lineRule="auto"/>
        <w:ind w:firstLine="420" w:firstLineChars="200"/>
        <w:rPr>
          <w:rFonts w:ascii="宋体" w:hAnsi="宋体"/>
          <w:snapToGrid w:val="0"/>
          <w:color w:val="auto"/>
          <w:kern w:val="0"/>
          <w:szCs w:val="21"/>
        </w:rPr>
      </w:pPr>
    </w:p>
    <w:p w14:paraId="5DC19C79">
      <w:pPr>
        <w:spacing w:line="360" w:lineRule="auto"/>
        <w:ind w:firstLine="420" w:firstLineChars="200"/>
        <w:rPr>
          <w:rFonts w:ascii="宋体" w:hAnsi="宋体"/>
          <w:color w:val="auto"/>
          <w:szCs w:val="21"/>
        </w:rPr>
      </w:pPr>
      <w:r>
        <w:rPr>
          <w:rFonts w:hint="eastAsia" w:ascii="宋体" w:hAnsi="宋体"/>
          <w:snapToGrid w:val="0"/>
          <w:color w:val="auto"/>
          <w:kern w:val="0"/>
          <w:szCs w:val="21"/>
        </w:rPr>
        <w:t>承包人：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613937E3">
      <w:pPr>
        <w:spacing w:line="360" w:lineRule="auto"/>
        <w:ind w:firstLine="420" w:firstLineChars="200"/>
        <w:rPr>
          <w:rFonts w:ascii="宋体" w:hAnsi="宋体"/>
          <w:snapToGrid w:val="0"/>
          <w:color w:val="auto"/>
          <w:kern w:val="0"/>
          <w:szCs w:val="21"/>
        </w:rPr>
      </w:pPr>
    </w:p>
    <w:p w14:paraId="5D64DDDA">
      <w:pPr>
        <w:spacing w:line="360" w:lineRule="auto"/>
        <w:ind w:firstLine="420" w:firstLineChars="200"/>
        <w:rPr>
          <w:rFonts w:ascii="宋体" w:hAnsi="宋体"/>
          <w:snapToGrid w:val="0"/>
          <w:color w:val="auto"/>
          <w:kern w:val="0"/>
          <w:szCs w:val="21"/>
        </w:rPr>
      </w:pPr>
    </w:p>
    <w:p w14:paraId="756FCE18">
      <w:pPr>
        <w:spacing w:line="360" w:lineRule="auto"/>
        <w:ind w:firstLine="420" w:firstLineChars="200"/>
        <w:rPr>
          <w:rFonts w:ascii="宋体" w:hAnsi="宋体"/>
          <w:bCs/>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（签字）</w:t>
      </w:r>
    </w:p>
    <w:p w14:paraId="7933BDA6">
      <w:pPr>
        <w:spacing w:line="360" w:lineRule="auto"/>
        <w:ind w:firstLine="418" w:firstLineChars="200"/>
        <w:rPr>
          <w:rFonts w:ascii="宋体" w:hAnsi="宋体"/>
          <w:snapToGrid w:val="0"/>
          <w:color w:val="auto"/>
          <w:spacing w:val="1"/>
          <w:w w:val="99"/>
          <w:kern w:val="0"/>
          <w:position w:val="-2"/>
          <w:szCs w:val="21"/>
        </w:rPr>
      </w:pPr>
    </w:p>
    <w:p w14:paraId="3DE0F345">
      <w:pPr>
        <w:spacing w:line="360" w:lineRule="auto"/>
        <w:ind w:firstLine="418" w:firstLineChars="200"/>
        <w:rPr>
          <w:rFonts w:ascii="宋体" w:hAnsi="宋体"/>
          <w:snapToGrid w:val="0"/>
          <w:color w:val="auto"/>
          <w:spacing w:val="1"/>
          <w:w w:val="99"/>
          <w:kern w:val="0"/>
          <w:position w:val="-2"/>
          <w:szCs w:val="21"/>
        </w:rPr>
      </w:pPr>
    </w:p>
    <w:p w14:paraId="09082531">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签约时间：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日</w:t>
      </w:r>
    </w:p>
    <w:p w14:paraId="3B0A116D">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附件2：</w:t>
      </w:r>
    </w:p>
    <w:p w14:paraId="7FF2C584">
      <w:pPr>
        <w:spacing w:beforeLines="50" w:afterLines="50" w:line="480" w:lineRule="auto"/>
        <w:jc w:val="center"/>
        <w:rPr>
          <w:rFonts w:ascii="宋体" w:hAnsi="宋体"/>
          <w:color w:val="auto"/>
          <w:szCs w:val="21"/>
        </w:rPr>
      </w:pPr>
      <w:r>
        <w:rPr>
          <w:rFonts w:hint="eastAsia" w:ascii="宋体" w:hAnsi="宋体"/>
          <w:color w:val="auto"/>
          <w:szCs w:val="21"/>
        </w:rPr>
        <w:t>主要建设工程文件目录</w:t>
      </w:r>
    </w:p>
    <w:tbl>
      <w:tblPr>
        <w:tblStyle w:val="4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591E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vAlign w:val="center"/>
          </w:tcPr>
          <w:p w14:paraId="3BDDFFC5">
            <w:pPr>
              <w:spacing w:line="400" w:lineRule="exact"/>
              <w:jc w:val="center"/>
              <w:rPr>
                <w:rFonts w:ascii="宋体" w:hAnsi="宋体"/>
                <w:color w:val="auto"/>
                <w:szCs w:val="21"/>
              </w:rPr>
            </w:pPr>
            <w:r>
              <w:rPr>
                <w:rFonts w:hint="eastAsia" w:ascii="宋体" w:hAnsi="宋体"/>
                <w:color w:val="auto"/>
                <w:szCs w:val="21"/>
              </w:rPr>
              <w:t>文件名称</w:t>
            </w:r>
          </w:p>
        </w:tc>
        <w:tc>
          <w:tcPr>
            <w:tcW w:w="1418" w:type="dxa"/>
            <w:vAlign w:val="center"/>
          </w:tcPr>
          <w:p w14:paraId="2AF99433">
            <w:pPr>
              <w:spacing w:line="400" w:lineRule="exact"/>
              <w:jc w:val="center"/>
              <w:rPr>
                <w:rFonts w:ascii="宋体" w:hAnsi="宋体"/>
                <w:color w:val="auto"/>
                <w:szCs w:val="21"/>
              </w:rPr>
            </w:pPr>
            <w:r>
              <w:rPr>
                <w:rFonts w:hint="eastAsia" w:ascii="宋体" w:hAnsi="宋体"/>
                <w:color w:val="auto"/>
                <w:szCs w:val="21"/>
              </w:rPr>
              <w:t>套数</w:t>
            </w:r>
          </w:p>
        </w:tc>
        <w:tc>
          <w:tcPr>
            <w:tcW w:w="1418" w:type="dxa"/>
          </w:tcPr>
          <w:p w14:paraId="4E220FAA">
            <w:pPr>
              <w:spacing w:line="400" w:lineRule="exact"/>
              <w:jc w:val="center"/>
              <w:rPr>
                <w:rFonts w:ascii="宋体" w:hAnsi="宋体"/>
                <w:color w:val="auto"/>
                <w:szCs w:val="21"/>
              </w:rPr>
            </w:pPr>
            <w:r>
              <w:rPr>
                <w:rFonts w:hint="eastAsia" w:ascii="宋体" w:hAnsi="宋体"/>
                <w:color w:val="auto"/>
                <w:szCs w:val="21"/>
              </w:rPr>
              <w:t>移交时间</w:t>
            </w:r>
          </w:p>
        </w:tc>
        <w:tc>
          <w:tcPr>
            <w:tcW w:w="2917" w:type="dxa"/>
          </w:tcPr>
          <w:p w14:paraId="4046D1AB">
            <w:pPr>
              <w:spacing w:line="400" w:lineRule="exact"/>
              <w:jc w:val="center"/>
              <w:rPr>
                <w:rFonts w:ascii="宋体" w:hAnsi="宋体"/>
                <w:color w:val="auto"/>
                <w:szCs w:val="21"/>
              </w:rPr>
            </w:pPr>
            <w:r>
              <w:rPr>
                <w:rFonts w:hint="eastAsia" w:ascii="宋体" w:hAnsi="宋体"/>
                <w:color w:val="auto"/>
                <w:szCs w:val="21"/>
              </w:rPr>
              <w:t>责任人</w:t>
            </w:r>
          </w:p>
        </w:tc>
      </w:tr>
      <w:tr w14:paraId="7D4B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5D622A2C">
            <w:pPr>
              <w:spacing w:line="400" w:lineRule="exact"/>
              <w:ind w:firstLine="420" w:firstLineChars="200"/>
              <w:rPr>
                <w:rFonts w:ascii="宋体" w:hAnsi="宋体"/>
                <w:color w:val="auto"/>
                <w:szCs w:val="21"/>
              </w:rPr>
            </w:pPr>
          </w:p>
        </w:tc>
        <w:tc>
          <w:tcPr>
            <w:tcW w:w="1418" w:type="dxa"/>
            <w:vAlign w:val="center"/>
          </w:tcPr>
          <w:p w14:paraId="33152B87">
            <w:pPr>
              <w:spacing w:line="400" w:lineRule="exact"/>
              <w:ind w:firstLine="420" w:firstLineChars="200"/>
              <w:rPr>
                <w:rFonts w:ascii="宋体" w:hAnsi="宋体"/>
                <w:color w:val="auto"/>
                <w:szCs w:val="21"/>
              </w:rPr>
            </w:pPr>
          </w:p>
        </w:tc>
        <w:tc>
          <w:tcPr>
            <w:tcW w:w="1418" w:type="dxa"/>
            <w:vAlign w:val="center"/>
          </w:tcPr>
          <w:p w14:paraId="24E3A8A3">
            <w:pPr>
              <w:spacing w:line="400" w:lineRule="exact"/>
              <w:ind w:firstLine="420" w:firstLineChars="200"/>
              <w:rPr>
                <w:rFonts w:ascii="宋体" w:hAnsi="宋体"/>
                <w:color w:val="auto"/>
                <w:szCs w:val="21"/>
              </w:rPr>
            </w:pPr>
          </w:p>
        </w:tc>
        <w:tc>
          <w:tcPr>
            <w:tcW w:w="2917" w:type="dxa"/>
            <w:vAlign w:val="center"/>
          </w:tcPr>
          <w:p w14:paraId="6F8C0B18">
            <w:pPr>
              <w:spacing w:line="400" w:lineRule="exact"/>
              <w:ind w:firstLine="420" w:firstLineChars="200"/>
              <w:rPr>
                <w:rFonts w:ascii="宋体" w:hAnsi="宋体"/>
                <w:color w:val="auto"/>
                <w:szCs w:val="21"/>
              </w:rPr>
            </w:pPr>
          </w:p>
        </w:tc>
      </w:tr>
      <w:tr w14:paraId="7FB1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65CAB106">
            <w:pPr>
              <w:spacing w:line="400" w:lineRule="exact"/>
              <w:ind w:firstLine="420" w:firstLineChars="200"/>
              <w:rPr>
                <w:rFonts w:ascii="宋体" w:hAnsi="宋体"/>
                <w:color w:val="auto"/>
                <w:szCs w:val="21"/>
              </w:rPr>
            </w:pPr>
          </w:p>
        </w:tc>
        <w:tc>
          <w:tcPr>
            <w:tcW w:w="1418" w:type="dxa"/>
            <w:vAlign w:val="center"/>
          </w:tcPr>
          <w:p w14:paraId="11B92954">
            <w:pPr>
              <w:spacing w:line="400" w:lineRule="exact"/>
              <w:ind w:firstLine="420" w:firstLineChars="200"/>
              <w:rPr>
                <w:rFonts w:ascii="宋体" w:hAnsi="宋体"/>
                <w:color w:val="auto"/>
                <w:szCs w:val="21"/>
              </w:rPr>
            </w:pPr>
          </w:p>
        </w:tc>
        <w:tc>
          <w:tcPr>
            <w:tcW w:w="1418" w:type="dxa"/>
            <w:vAlign w:val="center"/>
          </w:tcPr>
          <w:p w14:paraId="0BB74203">
            <w:pPr>
              <w:spacing w:line="400" w:lineRule="exact"/>
              <w:ind w:firstLine="420" w:firstLineChars="200"/>
              <w:rPr>
                <w:rFonts w:ascii="宋体" w:hAnsi="宋体"/>
                <w:color w:val="auto"/>
                <w:szCs w:val="21"/>
              </w:rPr>
            </w:pPr>
          </w:p>
        </w:tc>
        <w:tc>
          <w:tcPr>
            <w:tcW w:w="2917" w:type="dxa"/>
            <w:vAlign w:val="center"/>
          </w:tcPr>
          <w:p w14:paraId="187E32E8">
            <w:pPr>
              <w:spacing w:line="400" w:lineRule="exact"/>
              <w:ind w:firstLine="420" w:firstLineChars="200"/>
              <w:rPr>
                <w:rFonts w:ascii="宋体" w:hAnsi="宋体"/>
                <w:color w:val="auto"/>
                <w:szCs w:val="21"/>
              </w:rPr>
            </w:pPr>
          </w:p>
        </w:tc>
      </w:tr>
      <w:tr w14:paraId="1B58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4610E38">
            <w:pPr>
              <w:spacing w:line="400" w:lineRule="exact"/>
              <w:ind w:firstLine="420" w:firstLineChars="200"/>
              <w:rPr>
                <w:rFonts w:ascii="宋体" w:hAnsi="宋体"/>
                <w:color w:val="auto"/>
                <w:szCs w:val="21"/>
              </w:rPr>
            </w:pPr>
          </w:p>
        </w:tc>
        <w:tc>
          <w:tcPr>
            <w:tcW w:w="1418" w:type="dxa"/>
            <w:vAlign w:val="center"/>
          </w:tcPr>
          <w:p w14:paraId="207B80BF">
            <w:pPr>
              <w:spacing w:line="400" w:lineRule="exact"/>
              <w:ind w:firstLine="420" w:firstLineChars="200"/>
              <w:rPr>
                <w:rFonts w:ascii="宋体" w:hAnsi="宋体"/>
                <w:color w:val="auto"/>
                <w:szCs w:val="21"/>
              </w:rPr>
            </w:pPr>
          </w:p>
        </w:tc>
        <w:tc>
          <w:tcPr>
            <w:tcW w:w="1418" w:type="dxa"/>
            <w:vAlign w:val="center"/>
          </w:tcPr>
          <w:p w14:paraId="6C7D7327">
            <w:pPr>
              <w:spacing w:line="400" w:lineRule="exact"/>
              <w:ind w:firstLine="420" w:firstLineChars="200"/>
              <w:rPr>
                <w:rFonts w:ascii="宋体" w:hAnsi="宋体"/>
                <w:color w:val="auto"/>
                <w:szCs w:val="21"/>
              </w:rPr>
            </w:pPr>
          </w:p>
        </w:tc>
        <w:tc>
          <w:tcPr>
            <w:tcW w:w="2917" w:type="dxa"/>
            <w:vAlign w:val="center"/>
          </w:tcPr>
          <w:p w14:paraId="15BF5FB1">
            <w:pPr>
              <w:spacing w:line="400" w:lineRule="exact"/>
              <w:ind w:firstLine="420" w:firstLineChars="200"/>
              <w:rPr>
                <w:rFonts w:ascii="宋体" w:hAnsi="宋体"/>
                <w:color w:val="auto"/>
                <w:szCs w:val="21"/>
              </w:rPr>
            </w:pPr>
          </w:p>
        </w:tc>
      </w:tr>
      <w:tr w14:paraId="0E0F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39766817">
            <w:pPr>
              <w:spacing w:line="400" w:lineRule="exact"/>
              <w:ind w:firstLine="420" w:firstLineChars="200"/>
              <w:rPr>
                <w:rFonts w:ascii="宋体" w:hAnsi="宋体"/>
                <w:color w:val="auto"/>
                <w:szCs w:val="21"/>
              </w:rPr>
            </w:pPr>
          </w:p>
        </w:tc>
        <w:tc>
          <w:tcPr>
            <w:tcW w:w="1418" w:type="dxa"/>
            <w:vAlign w:val="center"/>
          </w:tcPr>
          <w:p w14:paraId="329A5253">
            <w:pPr>
              <w:spacing w:line="400" w:lineRule="exact"/>
              <w:ind w:firstLine="420" w:firstLineChars="200"/>
              <w:rPr>
                <w:rFonts w:ascii="宋体" w:hAnsi="宋体"/>
                <w:color w:val="auto"/>
                <w:szCs w:val="21"/>
              </w:rPr>
            </w:pPr>
          </w:p>
        </w:tc>
        <w:tc>
          <w:tcPr>
            <w:tcW w:w="1418" w:type="dxa"/>
            <w:vAlign w:val="center"/>
          </w:tcPr>
          <w:p w14:paraId="4F1B5C98">
            <w:pPr>
              <w:spacing w:line="400" w:lineRule="exact"/>
              <w:ind w:firstLine="420" w:firstLineChars="200"/>
              <w:rPr>
                <w:rFonts w:ascii="宋体" w:hAnsi="宋体"/>
                <w:color w:val="auto"/>
                <w:szCs w:val="21"/>
              </w:rPr>
            </w:pPr>
          </w:p>
        </w:tc>
        <w:tc>
          <w:tcPr>
            <w:tcW w:w="2917" w:type="dxa"/>
            <w:vAlign w:val="center"/>
          </w:tcPr>
          <w:p w14:paraId="69BB9ACE">
            <w:pPr>
              <w:spacing w:line="400" w:lineRule="exact"/>
              <w:ind w:firstLine="420" w:firstLineChars="200"/>
              <w:rPr>
                <w:rFonts w:ascii="宋体" w:hAnsi="宋体"/>
                <w:color w:val="auto"/>
                <w:szCs w:val="21"/>
              </w:rPr>
            </w:pPr>
          </w:p>
        </w:tc>
      </w:tr>
      <w:tr w14:paraId="497A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20DBB26">
            <w:pPr>
              <w:spacing w:line="400" w:lineRule="exact"/>
              <w:ind w:firstLine="420" w:firstLineChars="200"/>
              <w:rPr>
                <w:rFonts w:ascii="宋体" w:hAnsi="宋体"/>
                <w:color w:val="auto"/>
                <w:szCs w:val="21"/>
              </w:rPr>
            </w:pPr>
          </w:p>
        </w:tc>
        <w:tc>
          <w:tcPr>
            <w:tcW w:w="1418" w:type="dxa"/>
            <w:vAlign w:val="center"/>
          </w:tcPr>
          <w:p w14:paraId="0CCBA759">
            <w:pPr>
              <w:spacing w:line="400" w:lineRule="exact"/>
              <w:ind w:firstLine="420" w:firstLineChars="200"/>
              <w:rPr>
                <w:rFonts w:ascii="宋体" w:hAnsi="宋体"/>
                <w:color w:val="auto"/>
                <w:szCs w:val="21"/>
              </w:rPr>
            </w:pPr>
          </w:p>
        </w:tc>
        <w:tc>
          <w:tcPr>
            <w:tcW w:w="1418" w:type="dxa"/>
            <w:vAlign w:val="center"/>
          </w:tcPr>
          <w:p w14:paraId="5E9F6A6F">
            <w:pPr>
              <w:spacing w:line="400" w:lineRule="exact"/>
              <w:ind w:firstLine="420" w:firstLineChars="200"/>
              <w:rPr>
                <w:rFonts w:ascii="宋体" w:hAnsi="宋体"/>
                <w:color w:val="auto"/>
                <w:szCs w:val="21"/>
              </w:rPr>
            </w:pPr>
          </w:p>
        </w:tc>
        <w:tc>
          <w:tcPr>
            <w:tcW w:w="2917" w:type="dxa"/>
            <w:vAlign w:val="center"/>
          </w:tcPr>
          <w:p w14:paraId="4E4060E2">
            <w:pPr>
              <w:spacing w:line="400" w:lineRule="exact"/>
              <w:ind w:firstLine="420" w:firstLineChars="200"/>
              <w:rPr>
                <w:rFonts w:ascii="宋体" w:hAnsi="宋体"/>
                <w:color w:val="auto"/>
                <w:szCs w:val="21"/>
              </w:rPr>
            </w:pPr>
          </w:p>
        </w:tc>
      </w:tr>
      <w:tr w14:paraId="065C9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CCB7FB1">
            <w:pPr>
              <w:spacing w:line="400" w:lineRule="exact"/>
              <w:ind w:firstLine="420" w:firstLineChars="200"/>
              <w:rPr>
                <w:rFonts w:ascii="宋体" w:hAnsi="宋体"/>
                <w:color w:val="auto"/>
                <w:szCs w:val="21"/>
              </w:rPr>
            </w:pPr>
          </w:p>
        </w:tc>
        <w:tc>
          <w:tcPr>
            <w:tcW w:w="1418" w:type="dxa"/>
            <w:vAlign w:val="center"/>
          </w:tcPr>
          <w:p w14:paraId="6394FD77">
            <w:pPr>
              <w:spacing w:line="400" w:lineRule="exact"/>
              <w:ind w:firstLine="420" w:firstLineChars="200"/>
              <w:rPr>
                <w:rFonts w:ascii="宋体" w:hAnsi="宋体"/>
                <w:color w:val="auto"/>
                <w:szCs w:val="21"/>
              </w:rPr>
            </w:pPr>
          </w:p>
        </w:tc>
        <w:tc>
          <w:tcPr>
            <w:tcW w:w="1418" w:type="dxa"/>
            <w:vAlign w:val="center"/>
          </w:tcPr>
          <w:p w14:paraId="172ED5B6">
            <w:pPr>
              <w:spacing w:line="400" w:lineRule="exact"/>
              <w:ind w:firstLine="420" w:firstLineChars="200"/>
              <w:rPr>
                <w:rFonts w:ascii="宋体" w:hAnsi="宋体"/>
                <w:color w:val="auto"/>
                <w:szCs w:val="21"/>
              </w:rPr>
            </w:pPr>
          </w:p>
        </w:tc>
        <w:tc>
          <w:tcPr>
            <w:tcW w:w="2917" w:type="dxa"/>
            <w:vAlign w:val="center"/>
          </w:tcPr>
          <w:p w14:paraId="7C1D73C6">
            <w:pPr>
              <w:spacing w:line="400" w:lineRule="exact"/>
              <w:ind w:firstLine="420" w:firstLineChars="200"/>
              <w:rPr>
                <w:rFonts w:ascii="宋体" w:hAnsi="宋体"/>
                <w:color w:val="auto"/>
                <w:szCs w:val="21"/>
              </w:rPr>
            </w:pPr>
          </w:p>
        </w:tc>
      </w:tr>
      <w:tr w14:paraId="374C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238C9B2E">
            <w:pPr>
              <w:spacing w:line="400" w:lineRule="exact"/>
              <w:ind w:firstLine="420" w:firstLineChars="200"/>
              <w:rPr>
                <w:rFonts w:ascii="宋体" w:hAnsi="宋体"/>
                <w:color w:val="auto"/>
                <w:szCs w:val="21"/>
              </w:rPr>
            </w:pPr>
          </w:p>
        </w:tc>
        <w:tc>
          <w:tcPr>
            <w:tcW w:w="1418" w:type="dxa"/>
            <w:vAlign w:val="center"/>
          </w:tcPr>
          <w:p w14:paraId="40971D27">
            <w:pPr>
              <w:spacing w:line="400" w:lineRule="exact"/>
              <w:ind w:firstLine="420" w:firstLineChars="200"/>
              <w:rPr>
                <w:rFonts w:ascii="宋体" w:hAnsi="宋体"/>
                <w:color w:val="auto"/>
                <w:szCs w:val="21"/>
              </w:rPr>
            </w:pPr>
          </w:p>
        </w:tc>
        <w:tc>
          <w:tcPr>
            <w:tcW w:w="1418" w:type="dxa"/>
            <w:vAlign w:val="center"/>
          </w:tcPr>
          <w:p w14:paraId="27494C60">
            <w:pPr>
              <w:spacing w:line="400" w:lineRule="exact"/>
              <w:ind w:firstLine="420" w:firstLineChars="200"/>
              <w:rPr>
                <w:rFonts w:ascii="宋体" w:hAnsi="宋体"/>
                <w:color w:val="auto"/>
                <w:szCs w:val="21"/>
              </w:rPr>
            </w:pPr>
          </w:p>
        </w:tc>
        <w:tc>
          <w:tcPr>
            <w:tcW w:w="2917" w:type="dxa"/>
            <w:vAlign w:val="center"/>
          </w:tcPr>
          <w:p w14:paraId="3F65D43E">
            <w:pPr>
              <w:spacing w:line="400" w:lineRule="exact"/>
              <w:ind w:firstLine="420" w:firstLineChars="200"/>
              <w:rPr>
                <w:rFonts w:ascii="宋体" w:hAnsi="宋体"/>
                <w:color w:val="auto"/>
                <w:szCs w:val="21"/>
              </w:rPr>
            </w:pPr>
          </w:p>
        </w:tc>
      </w:tr>
      <w:tr w14:paraId="53045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9007586">
            <w:pPr>
              <w:spacing w:line="400" w:lineRule="exact"/>
              <w:ind w:firstLine="420" w:firstLineChars="200"/>
              <w:rPr>
                <w:rFonts w:ascii="宋体" w:hAnsi="宋体"/>
                <w:color w:val="auto"/>
                <w:szCs w:val="21"/>
              </w:rPr>
            </w:pPr>
          </w:p>
        </w:tc>
        <w:tc>
          <w:tcPr>
            <w:tcW w:w="1418" w:type="dxa"/>
            <w:vAlign w:val="center"/>
          </w:tcPr>
          <w:p w14:paraId="2175E792">
            <w:pPr>
              <w:spacing w:line="400" w:lineRule="exact"/>
              <w:ind w:firstLine="420" w:firstLineChars="200"/>
              <w:rPr>
                <w:rFonts w:ascii="宋体" w:hAnsi="宋体"/>
                <w:color w:val="auto"/>
                <w:szCs w:val="21"/>
              </w:rPr>
            </w:pPr>
          </w:p>
        </w:tc>
        <w:tc>
          <w:tcPr>
            <w:tcW w:w="1418" w:type="dxa"/>
            <w:vAlign w:val="center"/>
          </w:tcPr>
          <w:p w14:paraId="4F3D950B">
            <w:pPr>
              <w:spacing w:line="400" w:lineRule="exact"/>
              <w:ind w:firstLine="420" w:firstLineChars="200"/>
              <w:rPr>
                <w:rFonts w:ascii="宋体" w:hAnsi="宋体"/>
                <w:color w:val="auto"/>
                <w:szCs w:val="21"/>
              </w:rPr>
            </w:pPr>
          </w:p>
        </w:tc>
        <w:tc>
          <w:tcPr>
            <w:tcW w:w="2917" w:type="dxa"/>
            <w:vAlign w:val="center"/>
          </w:tcPr>
          <w:p w14:paraId="700D8D73">
            <w:pPr>
              <w:spacing w:line="400" w:lineRule="exact"/>
              <w:ind w:firstLine="420" w:firstLineChars="200"/>
              <w:rPr>
                <w:rFonts w:ascii="宋体" w:hAnsi="宋体"/>
                <w:color w:val="auto"/>
                <w:szCs w:val="21"/>
              </w:rPr>
            </w:pPr>
          </w:p>
        </w:tc>
      </w:tr>
      <w:tr w14:paraId="10973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50B8B04">
            <w:pPr>
              <w:spacing w:line="400" w:lineRule="exact"/>
              <w:ind w:firstLine="420" w:firstLineChars="200"/>
              <w:rPr>
                <w:rFonts w:ascii="宋体" w:hAnsi="宋体"/>
                <w:color w:val="auto"/>
                <w:szCs w:val="21"/>
              </w:rPr>
            </w:pPr>
          </w:p>
        </w:tc>
        <w:tc>
          <w:tcPr>
            <w:tcW w:w="1418" w:type="dxa"/>
          </w:tcPr>
          <w:p w14:paraId="1450A952">
            <w:pPr>
              <w:spacing w:line="400" w:lineRule="exact"/>
              <w:ind w:firstLine="420" w:firstLineChars="200"/>
              <w:rPr>
                <w:rFonts w:ascii="宋体" w:hAnsi="宋体"/>
                <w:color w:val="auto"/>
                <w:szCs w:val="21"/>
              </w:rPr>
            </w:pPr>
          </w:p>
        </w:tc>
        <w:tc>
          <w:tcPr>
            <w:tcW w:w="1418" w:type="dxa"/>
          </w:tcPr>
          <w:p w14:paraId="7814DFC6">
            <w:pPr>
              <w:spacing w:line="400" w:lineRule="exact"/>
              <w:ind w:firstLine="420" w:firstLineChars="200"/>
              <w:rPr>
                <w:rFonts w:ascii="宋体" w:hAnsi="宋体"/>
                <w:color w:val="auto"/>
                <w:szCs w:val="21"/>
              </w:rPr>
            </w:pPr>
          </w:p>
        </w:tc>
        <w:tc>
          <w:tcPr>
            <w:tcW w:w="2917" w:type="dxa"/>
          </w:tcPr>
          <w:p w14:paraId="70F782FB">
            <w:pPr>
              <w:spacing w:line="400" w:lineRule="exact"/>
              <w:ind w:firstLine="420" w:firstLineChars="200"/>
              <w:rPr>
                <w:rFonts w:ascii="宋体" w:hAnsi="宋体"/>
                <w:color w:val="auto"/>
                <w:szCs w:val="21"/>
              </w:rPr>
            </w:pPr>
          </w:p>
        </w:tc>
      </w:tr>
      <w:tr w14:paraId="4917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3A2DC1EC">
            <w:pPr>
              <w:spacing w:line="400" w:lineRule="exact"/>
              <w:ind w:firstLine="420" w:firstLineChars="200"/>
              <w:rPr>
                <w:rFonts w:ascii="宋体" w:hAnsi="宋体"/>
                <w:color w:val="auto"/>
                <w:szCs w:val="21"/>
              </w:rPr>
            </w:pPr>
          </w:p>
        </w:tc>
        <w:tc>
          <w:tcPr>
            <w:tcW w:w="1418" w:type="dxa"/>
            <w:vAlign w:val="center"/>
          </w:tcPr>
          <w:p w14:paraId="6B1791D8">
            <w:pPr>
              <w:spacing w:line="400" w:lineRule="exact"/>
              <w:ind w:firstLine="420" w:firstLineChars="200"/>
              <w:rPr>
                <w:rFonts w:ascii="宋体" w:hAnsi="宋体"/>
                <w:color w:val="auto"/>
                <w:szCs w:val="21"/>
              </w:rPr>
            </w:pPr>
          </w:p>
        </w:tc>
        <w:tc>
          <w:tcPr>
            <w:tcW w:w="1418" w:type="dxa"/>
            <w:vAlign w:val="center"/>
          </w:tcPr>
          <w:p w14:paraId="616ADC5C">
            <w:pPr>
              <w:spacing w:line="400" w:lineRule="exact"/>
              <w:ind w:firstLine="420" w:firstLineChars="200"/>
              <w:rPr>
                <w:rFonts w:ascii="宋体" w:hAnsi="宋体"/>
                <w:color w:val="auto"/>
                <w:szCs w:val="21"/>
              </w:rPr>
            </w:pPr>
          </w:p>
        </w:tc>
        <w:tc>
          <w:tcPr>
            <w:tcW w:w="2917" w:type="dxa"/>
            <w:vAlign w:val="center"/>
          </w:tcPr>
          <w:p w14:paraId="3462A464">
            <w:pPr>
              <w:spacing w:line="400" w:lineRule="exact"/>
              <w:ind w:firstLine="420" w:firstLineChars="200"/>
              <w:rPr>
                <w:rFonts w:ascii="宋体" w:hAnsi="宋体"/>
                <w:color w:val="auto"/>
                <w:szCs w:val="21"/>
              </w:rPr>
            </w:pPr>
          </w:p>
        </w:tc>
      </w:tr>
      <w:tr w14:paraId="23C8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1767C0D7">
            <w:pPr>
              <w:spacing w:line="400" w:lineRule="exact"/>
              <w:ind w:firstLine="420" w:firstLineChars="200"/>
              <w:rPr>
                <w:rFonts w:ascii="宋体" w:hAnsi="宋体"/>
                <w:color w:val="auto"/>
                <w:szCs w:val="21"/>
              </w:rPr>
            </w:pPr>
          </w:p>
        </w:tc>
        <w:tc>
          <w:tcPr>
            <w:tcW w:w="1418" w:type="dxa"/>
          </w:tcPr>
          <w:p w14:paraId="01B517D8">
            <w:pPr>
              <w:spacing w:line="400" w:lineRule="exact"/>
              <w:ind w:firstLine="420" w:firstLineChars="200"/>
              <w:rPr>
                <w:rFonts w:ascii="宋体" w:hAnsi="宋体"/>
                <w:color w:val="auto"/>
                <w:szCs w:val="21"/>
              </w:rPr>
            </w:pPr>
          </w:p>
        </w:tc>
        <w:tc>
          <w:tcPr>
            <w:tcW w:w="1418" w:type="dxa"/>
          </w:tcPr>
          <w:p w14:paraId="5768EAE0">
            <w:pPr>
              <w:spacing w:line="400" w:lineRule="exact"/>
              <w:ind w:firstLine="420" w:firstLineChars="200"/>
              <w:rPr>
                <w:rFonts w:ascii="宋体" w:hAnsi="宋体"/>
                <w:color w:val="auto"/>
                <w:szCs w:val="21"/>
              </w:rPr>
            </w:pPr>
          </w:p>
        </w:tc>
        <w:tc>
          <w:tcPr>
            <w:tcW w:w="2917" w:type="dxa"/>
          </w:tcPr>
          <w:p w14:paraId="5D2D7BD0">
            <w:pPr>
              <w:spacing w:line="400" w:lineRule="exact"/>
              <w:ind w:firstLine="420" w:firstLineChars="200"/>
              <w:rPr>
                <w:rFonts w:ascii="宋体" w:hAnsi="宋体"/>
                <w:color w:val="auto"/>
                <w:szCs w:val="21"/>
              </w:rPr>
            </w:pPr>
          </w:p>
        </w:tc>
      </w:tr>
      <w:tr w14:paraId="04D3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B26A877">
            <w:pPr>
              <w:spacing w:line="400" w:lineRule="exact"/>
              <w:ind w:firstLine="420" w:firstLineChars="200"/>
              <w:rPr>
                <w:rFonts w:ascii="宋体" w:hAnsi="宋体"/>
                <w:color w:val="auto"/>
                <w:szCs w:val="21"/>
              </w:rPr>
            </w:pPr>
          </w:p>
        </w:tc>
        <w:tc>
          <w:tcPr>
            <w:tcW w:w="1418" w:type="dxa"/>
          </w:tcPr>
          <w:p w14:paraId="490018AF">
            <w:pPr>
              <w:spacing w:line="400" w:lineRule="exact"/>
              <w:ind w:firstLine="420" w:firstLineChars="200"/>
              <w:rPr>
                <w:rFonts w:ascii="宋体" w:hAnsi="宋体"/>
                <w:color w:val="auto"/>
                <w:szCs w:val="21"/>
              </w:rPr>
            </w:pPr>
          </w:p>
        </w:tc>
        <w:tc>
          <w:tcPr>
            <w:tcW w:w="1418" w:type="dxa"/>
          </w:tcPr>
          <w:p w14:paraId="6680B191">
            <w:pPr>
              <w:spacing w:line="400" w:lineRule="exact"/>
              <w:ind w:firstLine="420" w:firstLineChars="200"/>
              <w:rPr>
                <w:rFonts w:ascii="宋体" w:hAnsi="宋体"/>
                <w:color w:val="auto"/>
                <w:szCs w:val="21"/>
              </w:rPr>
            </w:pPr>
          </w:p>
        </w:tc>
        <w:tc>
          <w:tcPr>
            <w:tcW w:w="2917" w:type="dxa"/>
          </w:tcPr>
          <w:p w14:paraId="163F8051">
            <w:pPr>
              <w:spacing w:line="400" w:lineRule="exact"/>
              <w:ind w:firstLine="420" w:firstLineChars="200"/>
              <w:rPr>
                <w:rFonts w:ascii="宋体" w:hAnsi="宋体"/>
                <w:color w:val="auto"/>
                <w:szCs w:val="21"/>
              </w:rPr>
            </w:pPr>
          </w:p>
        </w:tc>
      </w:tr>
      <w:tr w14:paraId="36C9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B249FEA">
            <w:pPr>
              <w:spacing w:line="400" w:lineRule="exact"/>
              <w:ind w:firstLine="420" w:firstLineChars="200"/>
              <w:rPr>
                <w:rFonts w:ascii="宋体" w:hAnsi="宋体"/>
                <w:color w:val="auto"/>
                <w:szCs w:val="21"/>
              </w:rPr>
            </w:pPr>
          </w:p>
        </w:tc>
        <w:tc>
          <w:tcPr>
            <w:tcW w:w="1418" w:type="dxa"/>
          </w:tcPr>
          <w:p w14:paraId="01D0A2E1">
            <w:pPr>
              <w:spacing w:line="400" w:lineRule="exact"/>
              <w:ind w:firstLine="420" w:firstLineChars="200"/>
              <w:rPr>
                <w:rFonts w:ascii="宋体" w:hAnsi="宋体"/>
                <w:color w:val="auto"/>
                <w:szCs w:val="21"/>
              </w:rPr>
            </w:pPr>
          </w:p>
        </w:tc>
        <w:tc>
          <w:tcPr>
            <w:tcW w:w="1418" w:type="dxa"/>
          </w:tcPr>
          <w:p w14:paraId="6CF449F6">
            <w:pPr>
              <w:spacing w:line="400" w:lineRule="exact"/>
              <w:ind w:firstLine="420" w:firstLineChars="200"/>
              <w:rPr>
                <w:rFonts w:ascii="宋体" w:hAnsi="宋体"/>
                <w:color w:val="auto"/>
                <w:szCs w:val="21"/>
              </w:rPr>
            </w:pPr>
          </w:p>
        </w:tc>
        <w:tc>
          <w:tcPr>
            <w:tcW w:w="2917" w:type="dxa"/>
          </w:tcPr>
          <w:p w14:paraId="3F638D31">
            <w:pPr>
              <w:spacing w:line="400" w:lineRule="exact"/>
              <w:ind w:firstLine="420" w:firstLineChars="200"/>
              <w:rPr>
                <w:rFonts w:ascii="宋体" w:hAnsi="宋体"/>
                <w:color w:val="auto"/>
                <w:szCs w:val="21"/>
              </w:rPr>
            </w:pPr>
          </w:p>
        </w:tc>
      </w:tr>
      <w:tr w14:paraId="4467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15B33232">
            <w:pPr>
              <w:spacing w:line="400" w:lineRule="exact"/>
              <w:ind w:firstLine="420" w:firstLineChars="200"/>
              <w:rPr>
                <w:rFonts w:ascii="宋体" w:hAnsi="宋体"/>
                <w:color w:val="auto"/>
                <w:szCs w:val="21"/>
              </w:rPr>
            </w:pPr>
          </w:p>
        </w:tc>
        <w:tc>
          <w:tcPr>
            <w:tcW w:w="1418" w:type="dxa"/>
          </w:tcPr>
          <w:p w14:paraId="2F0C007E">
            <w:pPr>
              <w:spacing w:line="400" w:lineRule="exact"/>
              <w:ind w:firstLine="420" w:firstLineChars="200"/>
              <w:rPr>
                <w:rFonts w:ascii="宋体" w:hAnsi="宋体"/>
                <w:color w:val="auto"/>
                <w:szCs w:val="21"/>
              </w:rPr>
            </w:pPr>
          </w:p>
        </w:tc>
        <w:tc>
          <w:tcPr>
            <w:tcW w:w="1418" w:type="dxa"/>
          </w:tcPr>
          <w:p w14:paraId="57209D1F">
            <w:pPr>
              <w:spacing w:line="400" w:lineRule="exact"/>
              <w:ind w:firstLine="420" w:firstLineChars="200"/>
              <w:rPr>
                <w:rFonts w:ascii="宋体" w:hAnsi="宋体"/>
                <w:color w:val="auto"/>
                <w:szCs w:val="21"/>
              </w:rPr>
            </w:pPr>
          </w:p>
        </w:tc>
        <w:tc>
          <w:tcPr>
            <w:tcW w:w="2917" w:type="dxa"/>
          </w:tcPr>
          <w:p w14:paraId="51786AB2">
            <w:pPr>
              <w:spacing w:line="400" w:lineRule="exact"/>
              <w:ind w:firstLine="420" w:firstLineChars="200"/>
              <w:rPr>
                <w:rFonts w:ascii="宋体" w:hAnsi="宋体"/>
                <w:color w:val="auto"/>
                <w:szCs w:val="21"/>
              </w:rPr>
            </w:pPr>
          </w:p>
        </w:tc>
      </w:tr>
      <w:tr w14:paraId="09A8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011606D">
            <w:pPr>
              <w:spacing w:line="400" w:lineRule="exact"/>
              <w:ind w:firstLine="420" w:firstLineChars="200"/>
              <w:rPr>
                <w:rFonts w:ascii="宋体" w:hAnsi="宋体"/>
                <w:color w:val="auto"/>
                <w:szCs w:val="21"/>
              </w:rPr>
            </w:pPr>
          </w:p>
        </w:tc>
        <w:tc>
          <w:tcPr>
            <w:tcW w:w="1418" w:type="dxa"/>
          </w:tcPr>
          <w:p w14:paraId="3507CC65">
            <w:pPr>
              <w:spacing w:line="400" w:lineRule="exact"/>
              <w:ind w:firstLine="420" w:firstLineChars="200"/>
              <w:rPr>
                <w:rFonts w:ascii="宋体" w:hAnsi="宋体"/>
                <w:color w:val="auto"/>
                <w:szCs w:val="21"/>
              </w:rPr>
            </w:pPr>
          </w:p>
        </w:tc>
        <w:tc>
          <w:tcPr>
            <w:tcW w:w="1418" w:type="dxa"/>
          </w:tcPr>
          <w:p w14:paraId="129B622E">
            <w:pPr>
              <w:spacing w:line="400" w:lineRule="exact"/>
              <w:ind w:firstLine="420" w:firstLineChars="200"/>
              <w:rPr>
                <w:rFonts w:ascii="宋体" w:hAnsi="宋体"/>
                <w:color w:val="auto"/>
                <w:szCs w:val="21"/>
              </w:rPr>
            </w:pPr>
          </w:p>
        </w:tc>
        <w:tc>
          <w:tcPr>
            <w:tcW w:w="2917" w:type="dxa"/>
          </w:tcPr>
          <w:p w14:paraId="4EA6C2E2">
            <w:pPr>
              <w:spacing w:line="400" w:lineRule="exact"/>
              <w:ind w:firstLine="420" w:firstLineChars="200"/>
              <w:rPr>
                <w:rFonts w:ascii="宋体" w:hAnsi="宋体"/>
                <w:color w:val="auto"/>
                <w:szCs w:val="21"/>
              </w:rPr>
            </w:pPr>
          </w:p>
        </w:tc>
      </w:tr>
      <w:tr w14:paraId="4053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9669709">
            <w:pPr>
              <w:spacing w:line="400" w:lineRule="exact"/>
              <w:ind w:firstLine="420" w:firstLineChars="200"/>
              <w:rPr>
                <w:rFonts w:ascii="宋体" w:hAnsi="宋体"/>
                <w:color w:val="auto"/>
                <w:szCs w:val="21"/>
              </w:rPr>
            </w:pPr>
          </w:p>
        </w:tc>
        <w:tc>
          <w:tcPr>
            <w:tcW w:w="1418" w:type="dxa"/>
          </w:tcPr>
          <w:p w14:paraId="559BA4D8">
            <w:pPr>
              <w:spacing w:line="400" w:lineRule="exact"/>
              <w:ind w:firstLine="420" w:firstLineChars="200"/>
              <w:rPr>
                <w:rFonts w:ascii="宋体" w:hAnsi="宋体"/>
                <w:color w:val="auto"/>
                <w:szCs w:val="21"/>
              </w:rPr>
            </w:pPr>
          </w:p>
        </w:tc>
        <w:tc>
          <w:tcPr>
            <w:tcW w:w="1418" w:type="dxa"/>
          </w:tcPr>
          <w:p w14:paraId="22A682C2">
            <w:pPr>
              <w:spacing w:line="400" w:lineRule="exact"/>
              <w:ind w:firstLine="420" w:firstLineChars="200"/>
              <w:rPr>
                <w:rFonts w:ascii="宋体" w:hAnsi="宋体"/>
                <w:color w:val="auto"/>
                <w:szCs w:val="21"/>
              </w:rPr>
            </w:pPr>
          </w:p>
        </w:tc>
        <w:tc>
          <w:tcPr>
            <w:tcW w:w="2917" w:type="dxa"/>
          </w:tcPr>
          <w:p w14:paraId="7FB8C7AF">
            <w:pPr>
              <w:spacing w:line="400" w:lineRule="exact"/>
              <w:ind w:firstLine="420" w:firstLineChars="200"/>
              <w:rPr>
                <w:rFonts w:ascii="宋体" w:hAnsi="宋体"/>
                <w:color w:val="auto"/>
                <w:szCs w:val="21"/>
              </w:rPr>
            </w:pPr>
          </w:p>
        </w:tc>
      </w:tr>
      <w:tr w14:paraId="78EC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45C2703">
            <w:pPr>
              <w:spacing w:line="400" w:lineRule="exact"/>
              <w:ind w:firstLine="420" w:firstLineChars="200"/>
              <w:rPr>
                <w:rFonts w:ascii="宋体" w:hAnsi="宋体"/>
                <w:color w:val="auto"/>
                <w:szCs w:val="21"/>
              </w:rPr>
            </w:pPr>
          </w:p>
        </w:tc>
        <w:tc>
          <w:tcPr>
            <w:tcW w:w="1418" w:type="dxa"/>
          </w:tcPr>
          <w:p w14:paraId="0C355672">
            <w:pPr>
              <w:spacing w:line="400" w:lineRule="exact"/>
              <w:ind w:firstLine="420" w:firstLineChars="200"/>
              <w:rPr>
                <w:rFonts w:ascii="宋体" w:hAnsi="宋体"/>
                <w:color w:val="auto"/>
                <w:szCs w:val="21"/>
              </w:rPr>
            </w:pPr>
          </w:p>
        </w:tc>
        <w:tc>
          <w:tcPr>
            <w:tcW w:w="1418" w:type="dxa"/>
          </w:tcPr>
          <w:p w14:paraId="614F664A">
            <w:pPr>
              <w:spacing w:line="400" w:lineRule="exact"/>
              <w:ind w:firstLine="420" w:firstLineChars="200"/>
              <w:rPr>
                <w:rFonts w:ascii="宋体" w:hAnsi="宋体"/>
                <w:color w:val="auto"/>
                <w:szCs w:val="21"/>
              </w:rPr>
            </w:pPr>
          </w:p>
        </w:tc>
        <w:tc>
          <w:tcPr>
            <w:tcW w:w="2917" w:type="dxa"/>
          </w:tcPr>
          <w:p w14:paraId="153C88FF">
            <w:pPr>
              <w:spacing w:line="400" w:lineRule="exact"/>
              <w:ind w:firstLine="420" w:firstLineChars="200"/>
              <w:rPr>
                <w:rFonts w:ascii="宋体" w:hAnsi="宋体"/>
                <w:color w:val="auto"/>
                <w:szCs w:val="21"/>
              </w:rPr>
            </w:pPr>
          </w:p>
        </w:tc>
      </w:tr>
      <w:tr w14:paraId="398E4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45118CD">
            <w:pPr>
              <w:spacing w:line="400" w:lineRule="exact"/>
              <w:ind w:firstLine="420" w:firstLineChars="200"/>
              <w:rPr>
                <w:rFonts w:ascii="宋体" w:hAnsi="宋体"/>
                <w:color w:val="auto"/>
                <w:szCs w:val="21"/>
              </w:rPr>
            </w:pPr>
          </w:p>
        </w:tc>
        <w:tc>
          <w:tcPr>
            <w:tcW w:w="1418" w:type="dxa"/>
          </w:tcPr>
          <w:p w14:paraId="521306FF">
            <w:pPr>
              <w:spacing w:line="400" w:lineRule="exact"/>
              <w:ind w:firstLine="420" w:firstLineChars="200"/>
              <w:rPr>
                <w:rFonts w:ascii="宋体" w:hAnsi="宋体"/>
                <w:color w:val="auto"/>
                <w:szCs w:val="21"/>
              </w:rPr>
            </w:pPr>
          </w:p>
        </w:tc>
        <w:tc>
          <w:tcPr>
            <w:tcW w:w="1418" w:type="dxa"/>
          </w:tcPr>
          <w:p w14:paraId="787F4B55">
            <w:pPr>
              <w:spacing w:line="400" w:lineRule="exact"/>
              <w:ind w:firstLine="420" w:firstLineChars="200"/>
              <w:rPr>
                <w:rFonts w:ascii="宋体" w:hAnsi="宋体"/>
                <w:color w:val="auto"/>
                <w:szCs w:val="21"/>
              </w:rPr>
            </w:pPr>
          </w:p>
        </w:tc>
        <w:tc>
          <w:tcPr>
            <w:tcW w:w="2917" w:type="dxa"/>
          </w:tcPr>
          <w:p w14:paraId="28E21CC8">
            <w:pPr>
              <w:spacing w:line="400" w:lineRule="exact"/>
              <w:ind w:firstLine="420" w:firstLineChars="200"/>
              <w:rPr>
                <w:rFonts w:ascii="宋体" w:hAnsi="宋体"/>
                <w:color w:val="auto"/>
                <w:szCs w:val="21"/>
              </w:rPr>
            </w:pPr>
          </w:p>
        </w:tc>
      </w:tr>
    </w:tbl>
    <w:p w14:paraId="4B64675F">
      <w:pPr>
        <w:spacing w:line="360" w:lineRule="auto"/>
        <w:ind w:firstLine="420" w:firstLineChars="200"/>
        <w:rPr>
          <w:rFonts w:ascii="宋体" w:hAnsi="宋体"/>
          <w:color w:val="auto"/>
          <w:szCs w:val="21"/>
        </w:rPr>
      </w:pPr>
    </w:p>
    <w:p w14:paraId="58C3D4CF">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w:t>
      </w:r>
      <w:bookmarkStart w:id="2116" w:name="_Toc296346729"/>
      <w:bookmarkStart w:id="2117" w:name="_Toc296503228"/>
      <w:bookmarkStart w:id="2118" w:name="_Toc267261699"/>
      <w:bookmarkStart w:id="2119" w:name="_Toc296347227"/>
      <w:bookmarkStart w:id="2120" w:name="_Toc296944567"/>
      <w:bookmarkStart w:id="2121" w:name="_Toc296891056"/>
      <w:bookmarkStart w:id="2122" w:name="_Toc296891268"/>
      <w:r>
        <w:rPr>
          <w:rFonts w:hint="eastAsia" w:ascii="宋体" w:hAnsi="宋体"/>
          <w:color w:val="auto"/>
          <w:szCs w:val="21"/>
        </w:rPr>
        <w:t>件3：</w:t>
      </w:r>
    </w:p>
    <w:bookmarkEnd w:id="2116"/>
    <w:bookmarkEnd w:id="2117"/>
    <w:bookmarkEnd w:id="2118"/>
    <w:bookmarkEnd w:id="2119"/>
    <w:bookmarkEnd w:id="2120"/>
    <w:bookmarkEnd w:id="2121"/>
    <w:bookmarkEnd w:id="2122"/>
    <w:p w14:paraId="3CF3C5E9">
      <w:pPr>
        <w:spacing w:beforeLines="50" w:afterLines="50" w:line="480" w:lineRule="auto"/>
        <w:jc w:val="center"/>
        <w:rPr>
          <w:rFonts w:ascii="宋体" w:hAnsi="宋体"/>
          <w:color w:val="auto"/>
          <w:szCs w:val="21"/>
        </w:rPr>
      </w:pPr>
      <w:r>
        <w:rPr>
          <w:rFonts w:hint="eastAsia" w:ascii="宋体" w:hAnsi="宋体"/>
          <w:color w:val="auto"/>
          <w:szCs w:val="21"/>
        </w:rPr>
        <w:t>承包人项目管理机构组成表</w:t>
      </w:r>
    </w:p>
    <w:tbl>
      <w:tblPr>
        <w:tblStyle w:val="4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2F2B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58053B9">
            <w:pPr>
              <w:spacing w:line="400" w:lineRule="exact"/>
              <w:jc w:val="center"/>
              <w:rPr>
                <w:rFonts w:ascii="宋体" w:hAnsi="宋体"/>
                <w:color w:val="auto"/>
                <w:szCs w:val="21"/>
              </w:rPr>
            </w:pPr>
            <w:r>
              <w:rPr>
                <w:rFonts w:hint="eastAsia" w:ascii="宋体" w:hAnsi="宋体"/>
                <w:color w:val="auto"/>
                <w:szCs w:val="21"/>
              </w:rPr>
              <w:t>名    称</w:t>
            </w:r>
          </w:p>
        </w:tc>
        <w:tc>
          <w:tcPr>
            <w:tcW w:w="1418" w:type="dxa"/>
            <w:vAlign w:val="center"/>
          </w:tcPr>
          <w:p w14:paraId="6DD8D73C">
            <w:pPr>
              <w:spacing w:line="400" w:lineRule="exact"/>
              <w:jc w:val="center"/>
              <w:rPr>
                <w:rFonts w:ascii="宋体" w:hAnsi="宋体"/>
                <w:color w:val="auto"/>
                <w:szCs w:val="21"/>
              </w:rPr>
            </w:pPr>
            <w:r>
              <w:rPr>
                <w:rFonts w:hint="eastAsia" w:ascii="宋体" w:hAnsi="宋体"/>
                <w:color w:val="auto"/>
                <w:szCs w:val="21"/>
              </w:rPr>
              <w:t>姓名</w:t>
            </w:r>
          </w:p>
        </w:tc>
        <w:tc>
          <w:tcPr>
            <w:tcW w:w="1134" w:type="dxa"/>
            <w:vAlign w:val="center"/>
          </w:tcPr>
          <w:p w14:paraId="5E71E26F">
            <w:pPr>
              <w:spacing w:line="400" w:lineRule="exact"/>
              <w:jc w:val="center"/>
              <w:rPr>
                <w:rFonts w:ascii="宋体" w:hAnsi="宋体"/>
                <w:color w:val="auto"/>
                <w:szCs w:val="21"/>
              </w:rPr>
            </w:pPr>
            <w:r>
              <w:rPr>
                <w:rFonts w:hint="eastAsia" w:ascii="宋体" w:hAnsi="宋体"/>
                <w:color w:val="auto"/>
                <w:szCs w:val="21"/>
              </w:rPr>
              <w:t>职务</w:t>
            </w:r>
          </w:p>
        </w:tc>
        <w:tc>
          <w:tcPr>
            <w:tcW w:w="1134" w:type="dxa"/>
            <w:vAlign w:val="center"/>
          </w:tcPr>
          <w:p w14:paraId="278F4E9A">
            <w:pPr>
              <w:spacing w:line="400" w:lineRule="exact"/>
              <w:jc w:val="center"/>
              <w:rPr>
                <w:rFonts w:ascii="宋体" w:hAnsi="宋体"/>
                <w:color w:val="auto"/>
                <w:szCs w:val="21"/>
              </w:rPr>
            </w:pPr>
            <w:r>
              <w:rPr>
                <w:rFonts w:hint="eastAsia" w:ascii="宋体" w:hAnsi="宋体"/>
                <w:color w:val="auto"/>
                <w:szCs w:val="21"/>
              </w:rPr>
              <w:t>职称</w:t>
            </w:r>
          </w:p>
        </w:tc>
        <w:tc>
          <w:tcPr>
            <w:tcW w:w="4252" w:type="dxa"/>
            <w:vAlign w:val="center"/>
          </w:tcPr>
          <w:p w14:paraId="3710E4F9">
            <w:pPr>
              <w:spacing w:line="400" w:lineRule="exact"/>
              <w:jc w:val="center"/>
              <w:rPr>
                <w:rFonts w:ascii="宋体" w:hAnsi="宋体"/>
                <w:color w:val="auto"/>
                <w:szCs w:val="21"/>
              </w:rPr>
            </w:pPr>
            <w:r>
              <w:rPr>
                <w:rFonts w:hint="eastAsia" w:ascii="宋体" w:hAnsi="宋体"/>
                <w:color w:val="auto"/>
                <w:szCs w:val="21"/>
              </w:rPr>
              <w:t>主要资历、经验及承担过的项目</w:t>
            </w:r>
          </w:p>
        </w:tc>
      </w:tr>
      <w:tr w14:paraId="3604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vAlign w:val="center"/>
          </w:tcPr>
          <w:p w14:paraId="2DA7EDB2">
            <w:pPr>
              <w:spacing w:line="400" w:lineRule="exact"/>
              <w:rPr>
                <w:rFonts w:ascii="宋体" w:hAnsi="宋体"/>
                <w:color w:val="auto"/>
                <w:szCs w:val="21"/>
              </w:rPr>
            </w:pPr>
            <w:r>
              <w:rPr>
                <w:rFonts w:hint="eastAsia" w:ascii="宋体" w:hAnsi="宋体"/>
                <w:color w:val="auto"/>
                <w:szCs w:val="21"/>
              </w:rPr>
              <w:t>一、总部人员</w:t>
            </w:r>
          </w:p>
        </w:tc>
      </w:tr>
      <w:tr w14:paraId="2FA7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4E0FBE0">
            <w:pPr>
              <w:spacing w:line="400" w:lineRule="exact"/>
              <w:jc w:val="center"/>
              <w:rPr>
                <w:rFonts w:ascii="宋体" w:hAnsi="宋体"/>
                <w:color w:val="auto"/>
                <w:szCs w:val="21"/>
              </w:rPr>
            </w:pPr>
            <w:r>
              <w:rPr>
                <w:rFonts w:hint="eastAsia" w:ascii="宋体" w:hAnsi="宋体"/>
                <w:color w:val="auto"/>
                <w:szCs w:val="21"/>
              </w:rPr>
              <w:t>项目主管</w:t>
            </w:r>
          </w:p>
        </w:tc>
        <w:tc>
          <w:tcPr>
            <w:tcW w:w="1418" w:type="dxa"/>
            <w:vAlign w:val="center"/>
          </w:tcPr>
          <w:p w14:paraId="0641E0EE">
            <w:pPr>
              <w:spacing w:line="400" w:lineRule="exact"/>
              <w:ind w:firstLine="420" w:firstLineChars="200"/>
              <w:rPr>
                <w:rFonts w:ascii="宋体" w:hAnsi="宋体"/>
                <w:color w:val="auto"/>
                <w:szCs w:val="21"/>
              </w:rPr>
            </w:pPr>
          </w:p>
        </w:tc>
        <w:tc>
          <w:tcPr>
            <w:tcW w:w="1134" w:type="dxa"/>
            <w:vAlign w:val="center"/>
          </w:tcPr>
          <w:p w14:paraId="211F4AC1">
            <w:pPr>
              <w:spacing w:line="400" w:lineRule="exact"/>
              <w:ind w:firstLine="420" w:firstLineChars="200"/>
              <w:rPr>
                <w:rFonts w:ascii="宋体" w:hAnsi="宋体"/>
                <w:color w:val="auto"/>
                <w:szCs w:val="21"/>
              </w:rPr>
            </w:pPr>
          </w:p>
        </w:tc>
        <w:tc>
          <w:tcPr>
            <w:tcW w:w="1134" w:type="dxa"/>
            <w:vAlign w:val="center"/>
          </w:tcPr>
          <w:p w14:paraId="283A457C">
            <w:pPr>
              <w:spacing w:line="400" w:lineRule="exact"/>
              <w:ind w:firstLine="420" w:firstLineChars="200"/>
              <w:rPr>
                <w:rFonts w:ascii="宋体" w:hAnsi="宋体"/>
                <w:color w:val="auto"/>
                <w:szCs w:val="21"/>
              </w:rPr>
            </w:pPr>
          </w:p>
        </w:tc>
        <w:tc>
          <w:tcPr>
            <w:tcW w:w="4252" w:type="dxa"/>
            <w:vAlign w:val="center"/>
          </w:tcPr>
          <w:p w14:paraId="5C334428">
            <w:pPr>
              <w:spacing w:line="400" w:lineRule="exact"/>
              <w:ind w:firstLine="420" w:firstLineChars="200"/>
              <w:rPr>
                <w:rFonts w:ascii="宋体" w:hAnsi="宋体"/>
                <w:color w:val="auto"/>
                <w:szCs w:val="21"/>
              </w:rPr>
            </w:pPr>
          </w:p>
        </w:tc>
      </w:tr>
      <w:tr w14:paraId="235F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6C1595E">
            <w:pPr>
              <w:spacing w:line="400" w:lineRule="exact"/>
              <w:jc w:val="center"/>
              <w:rPr>
                <w:rFonts w:ascii="宋体" w:hAnsi="宋体"/>
                <w:color w:val="auto"/>
                <w:szCs w:val="21"/>
              </w:rPr>
            </w:pPr>
          </w:p>
        </w:tc>
        <w:tc>
          <w:tcPr>
            <w:tcW w:w="1418" w:type="dxa"/>
            <w:vAlign w:val="center"/>
          </w:tcPr>
          <w:p w14:paraId="58F34F32">
            <w:pPr>
              <w:spacing w:line="400" w:lineRule="exact"/>
              <w:ind w:firstLine="420" w:firstLineChars="200"/>
              <w:rPr>
                <w:rFonts w:ascii="宋体" w:hAnsi="宋体"/>
                <w:color w:val="auto"/>
                <w:szCs w:val="21"/>
              </w:rPr>
            </w:pPr>
          </w:p>
        </w:tc>
        <w:tc>
          <w:tcPr>
            <w:tcW w:w="1134" w:type="dxa"/>
            <w:vAlign w:val="center"/>
          </w:tcPr>
          <w:p w14:paraId="67A69FFE">
            <w:pPr>
              <w:spacing w:line="400" w:lineRule="exact"/>
              <w:ind w:firstLine="420" w:firstLineChars="200"/>
              <w:rPr>
                <w:rFonts w:ascii="宋体" w:hAnsi="宋体"/>
                <w:color w:val="auto"/>
                <w:szCs w:val="21"/>
              </w:rPr>
            </w:pPr>
          </w:p>
        </w:tc>
        <w:tc>
          <w:tcPr>
            <w:tcW w:w="1134" w:type="dxa"/>
            <w:vAlign w:val="center"/>
          </w:tcPr>
          <w:p w14:paraId="7C0AB7EC">
            <w:pPr>
              <w:spacing w:line="400" w:lineRule="exact"/>
              <w:ind w:firstLine="420" w:firstLineChars="200"/>
              <w:rPr>
                <w:rFonts w:ascii="宋体" w:hAnsi="宋体"/>
                <w:color w:val="auto"/>
                <w:szCs w:val="21"/>
              </w:rPr>
            </w:pPr>
          </w:p>
        </w:tc>
        <w:tc>
          <w:tcPr>
            <w:tcW w:w="4252" w:type="dxa"/>
            <w:vAlign w:val="center"/>
          </w:tcPr>
          <w:p w14:paraId="5097F8EB">
            <w:pPr>
              <w:spacing w:line="400" w:lineRule="exact"/>
              <w:ind w:firstLine="420" w:firstLineChars="200"/>
              <w:rPr>
                <w:rFonts w:ascii="宋体" w:hAnsi="宋体"/>
                <w:color w:val="auto"/>
                <w:szCs w:val="21"/>
              </w:rPr>
            </w:pPr>
          </w:p>
        </w:tc>
      </w:tr>
      <w:tr w14:paraId="6B1F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3874128">
            <w:pPr>
              <w:spacing w:line="400" w:lineRule="exact"/>
              <w:jc w:val="center"/>
              <w:rPr>
                <w:rFonts w:ascii="宋体" w:hAnsi="宋体"/>
                <w:color w:val="auto"/>
                <w:szCs w:val="21"/>
              </w:rPr>
            </w:pPr>
            <w:r>
              <w:rPr>
                <w:rFonts w:hint="eastAsia" w:ascii="宋体" w:hAnsi="宋体"/>
                <w:color w:val="auto"/>
                <w:szCs w:val="21"/>
              </w:rPr>
              <w:t>其他人员</w:t>
            </w:r>
          </w:p>
        </w:tc>
        <w:tc>
          <w:tcPr>
            <w:tcW w:w="1418" w:type="dxa"/>
            <w:vAlign w:val="center"/>
          </w:tcPr>
          <w:p w14:paraId="4950E4E3">
            <w:pPr>
              <w:spacing w:line="400" w:lineRule="exact"/>
              <w:ind w:firstLine="420" w:firstLineChars="200"/>
              <w:rPr>
                <w:rFonts w:ascii="宋体" w:hAnsi="宋体"/>
                <w:color w:val="auto"/>
                <w:szCs w:val="21"/>
              </w:rPr>
            </w:pPr>
          </w:p>
        </w:tc>
        <w:tc>
          <w:tcPr>
            <w:tcW w:w="1134" w:type="dxa"/>
            <w:vAlign w:val="center"/>
          </w:tcPr>
          <w:p w14:paraId="182F8380">
            <w:pPr>
              <w:spacing w:line="400" w:lineRule="exact"/>
              <w:ind w:firstLine="420" w:firstLineChars="200"/>
              <w:rPr>
                <w:rFonts w:ascii="宋体" w:hAnsi="宋体"/>
                <w:color w:val="auto"/>
                <w:szCs w:val="21"/>
              </w:rPr>
            </w:pPr>
          </w:p>
        </w:tc>
        <w:tc>
          <w:tcPr>
            <w:tcW w:w="1134" w:type="dxa"/>
            <w:vAlign w:val="center"/>
          </w:tcPr>
          <w:p w14:paraId="3836EA2D">
            <w:pPr>
              <w:spacing w:line="400" w:lineRule="exact"/>
              <w:ind w:firstLine="420" w:firstLineChars="200"/>
              <w:rPr>
                <w:rFonts w:ascii="宋体" w:hAnsi="宋体"/>
                <w:color w:val="auto"/>
                <w:szCs w:val="21"/>
              </w:rPr>
            </w:pPr>
          </w:p>
        </w:tc>
        <w:tc>
          <w:tcPr>
            <w:tcW w:w="4252" w:type="dxa"/>
            <w:vAlign w:val="center"/>
          </w:tcPr>
          <w:p w14:paraId="380DBD71">
            <w:pPr>
              <w:spacing w:line="400" w:lineRule="exact"/>
              <w:ind w:firstLine="420" w:firstLineChars="200"/>
              <w:rPr>
                <w:rFonts w:ascii="宋体" w:hAnsi="宋体"/>
                <w:color w:val="auto"/>
                <w:szCs w:val="21"/>
              </w:rPr>
            </w:pPr>
          </w:p>
        </w:tc>
      </w:tr>
      <w:tr w14:paraId="61D5A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39734A7">
            <w:pPr>
              <w:spacing w:line="400" w:lineRule="exact"/>
              <w:jc w:val="center"/>
              <w:rPr>
                <w:rFonts w:ascii="宋体" w:hAnsi="宋体"/>
                <w:color w:val="auto"/>
                <w:szCs w:val="21"/>
              </w:rPr>
            </w:pPr>
          </w:p>
        </w:tc>
        <w:tc>
          <w:tcPr>
            <w:tcW w:w="1418" w:type="dxa"/>
            <w:vAlign w:val="center"/>
          </w:tcPr>
          <w:p w14:paraId="4F65A8C8">
            <w:pPr>
              <w:spacing w:line="400" w:lineRule="exact"/>
              <w:ind w:firstLine="420" w:firstLineChars="200"/>
              <w:rPr>
                <w:rFonts w:ascii="宋体" w:hAnsi="宋体"/>
                <w:color w:val="auto"/>
                <w:szCs w:val="21"/>
              </w:rPr>
            </w:pPr>
          </w:p>
        </w:tc>
        <w:tc>
          <w:tcPr>
            <w:tcW w:w="1134" w:type="dxa"/>
            <w:vAlign w:val="center"/>
          </w:tcPr>
          <w:p w14:paraId="48C4E5B5">
            <w:pPr>
              <w:spacing w:line="400" w:lineRule="exact"/>
              <w:ind w:firstLine="420" w:firstLineChars="200"/>
              <w:rPr>
                <w:rFonts w:ascii="宋体" w:hAnsi="宋体"/>
                <w:color w:val="auto"/>
                <w:szCs w:val="21"/>
              </w:rPr>
            </w:pPr>
          </w:p>
        </w:tc>
        <w:tc>
          <w:tcPr>
            <w:tcW w:w="1134" w:type="dxa"/>
            <w:vAlign w:val="center"/>
          </w:tcPr>
          <w:p w14:paraId="36A1914D">
            <w:pPr>
              <w:spacing w:line="400" w:lineRule="exact"/>
              <w:ind w:firstLine="420" w:firstLineChars="200"/>
              <w:rPr>
                <w:rFonts w:ascii="宋体" w:hAnsi="宋体"/>
                <w:color w:val="auto"/>
                <w:szCs w:val="21"/>
              </w:rPr>
            </w:pPr>
          </w:p>
        </w:tc>
        <w:tc>
          <w:tcPr>
            <w:tcW w:w="4252" w:type="dxa"/>
            <w:vAlign w:val="center"/>
          </w:tcPr>
          <w:p w14:paraId="3C0A59FD">
            <w:pPr>
              <w:spacing w:line="400" w:lineRule="exact"/>
              <w:ind w:firstLine="420" w:firstLineChars="200"/>
              <w:rPr>
                <w:rFonts w:ascii="宋体" w:hAnsi="宋体"/>
                <w:color w:val="auto"/>
                <w:szCs w:val="21"/>
              </w:rPr>
            </w:pPr>
          </w:p>
        </w:tc>
      </w:tr>
      <w:tr w14:paraId="782D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51EFD797">
            <w:pPr>
              <w:spacing w:line="400" w:lineRule="exact"/>
              <w:rPr>
                <w:rFonts w:ascii="宋体" w:hAnsi="宋体"/>
                <w:color w:val="auto"/>
                <w:szCs w:val="21"/>
              </w:rPr>
            </w:pPr>
            <w:r>
              <w:rPr>
                <w:rFonts w:hint="eastAsia" w:ascii="宋体" w:hAnsi="宋体"/>
                <w:color w:val="auto"/>
                <w:szCs w:val="21"/>
              </w:rPr>
              <w:t>二、现场人员</w:t>
            </w:r>
          </w:p>
        </w:tc>
      </w:tr>
      <w:tr w14:paraId="19AC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2C826EB">
            <w:pPr>
              <w:spacing w:line="400" w:lineRule="exact"/>
              <w:jc w:val="center"/>
              <w:rPr>
                <w:rFonts w:ascii="宋体" w:hAnsi="宋体"/>
                <w:color w:val="auto"/>
                <w:szCs w:val="21"/>
              </w:rPr>
            </w:pPr>
            <w:r>
              <w:rPr>
                <w:rFonts w:hint="eastAsia" w:ascii="宋体" w:hAnsi="宋体"/>
                <w:color w:val="auto"/>
                <w:szCs w:val="21"/>
              </w:rPr>
              <w:t>项目经理</w:t>
            </w:r>
          </w:p>
        </w:tc>
        <w:tc>
          <w:tcPr>
            <w:tcW w:w="1418" w:type="dxa"/>
            <w:vAlign w:val="center"/>
          </w:tcPr>
          <w:p w14:paraId="031C256A">
            <w:pPr>
              <w:spacing w:line="400" w:lineRule="exact"/>
              <w:ind w:firstLine="420" w:firstLineChars="200"/>
              <w:rPr>
                <w:rFonts w:ascii="宋体" w:hAnsi="宋体"/>
                <w:color w:val="auto"/>
                <w:szCs w:val="21"/>
              </w:rPr>
            </w:pPr>
          </w:p>
        </w:tc>
        <w:tc>
          <w:tcPr>
            <w:tcW w:w="1134" w:type="dxa"/>
            <w:vAlign w:val="center"/>
          </w:tcPr>
          <w:p w14:paraId="313D4A87">
            <w:pPr>
              <w:spacing w:line="400" w:lineRule="exact"/>
              <w:ind w:firstLine="420" w:firstLineChars="200"/>
              <w:rPr>
                <w:rFonts w:ascii="宋体" w:hAnsi="宋体"/>
                <w:color w:val="auto"/>
                <w:szCs w:val="21"/>
              </w:rPr>
            </w:pPr>
          </w:p>
        </w:tc>
        <w:tc>
          <w:tcPr>
            <w:tcW w:w="1134" w:type="dxa"/>
            <w:vAlign w:val="center"/>
          </w:tcPr>
          <w:p w14:paraId="1C4C1649">
            <w:pPr>
              <w:spacing w:line="400" w:lineRule="exact"/>
              <w:ind w:firstLine="420" w:firstLineChars="200"/>
              <w:rPr>
                <w:rFonts w:ascii="宋体" w:hAnsi="宋体"/>
                <w:color w:val="auto"/>
                <w:szCs w:val="21"/>
              </w:rPr>
            </w:pPr>
          </w:p>
        </w:tc>
        <w:tc>
          <w:tcPr>
            <w:tcW w:w="4252" w:type="dxa"/>
            <w:vAlign w:val="center"/>
          </w:tcPr>
          <w:p w14:paraId="561AEF5D">
            <w:pPr>
              <w:spacing w:line="400" w:lineRule="exact"/>
              <w:ind w:firstLine="420" w:firstLineChars="200"/>
              <w:rPr>
                <w:rFonts w:ascii="宋体" w:hAnsi="宋体"/>
                <w:color w:val="auto"/>
                <w:szCs w:val="21"/>
              </w:rPr>
            </w:pPr>
          </w:p>
        </w:tc>
      </w:tr>
      <w:tr w14:paraId="581A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F66A627">
            <w:pPr>
              <w:spacing w:line="400" w:lineRule="exact"/>
              <w:jc w:val="center"/>
              <w:rPr>
                <w:rFonts w:ascii="宋体" w:hAnsi="宋体"/>
                <w:color w:val="auto"/>
                <w:szCs w:val="21"/>
              </w:rPr>
            </w:pPr>
            <w:r>
              <w:rPr>
                <w:rFonts w:hint="eastAsia" w:ascii="宋体" w:hAnsi="宋体"/>
                <w:color w:val="auto"/>
                <w:szCs w:val="21"/>
              </w:rPr>
              <w:t>项目副经理</w:t>
            </w:r>
          </w:p>
        </w:tc>
        <w:tc>
          <w:tcPr>
            <w:tcW w:w="1418" w:type="dxa"/>
            <w:vAlign w:val="center"/>
          </w:tcPr>
          <w:p w14:paraId="5F171464">
            <w:pPr>
              <w:spacing w:line="400" w:lineRule="exact"/>
              <w:ind w:firstLine="420" w:firstLineChars="200"/>
              <w:rPr>
                <w:rFonts w:ascii="宋体" w:hAnsi="宋体"/>
                <w:color w:val="auto"/>
                <w:szCs w:val="21"/>
              </w:rPr>
            </w:pPr>
          </w:p>
        </w:tc>
        <w:tc>
          <w:tcPr>
            <w:tcW w:w="1134" w:type="dxa"/>
            <w:vAlign w:val="center"/>
          </w:tcPr>
          <w:p w14:paraId="0C21228D">
            <w:pPr>
              <w:spacing w:line="400" w:lineRule="exact"/>
              <w:ind w:firstLine="420" w:firstLineChars="200"/>
              <w:rPr>
                <w:rFonts w:ascii="宋体" w:hAnsi="宋体"/>
                <w:color w:val="auto"/>
                <w:szCs w:val="21"/>
              </w:rPr>
            </w:pPr>
          </w:p>
        </w:tc>
        <w:tc>
          <w:tcPr>
            <w:tcW w:w="1134" w:type="dxa"/>
            <w:vAlign w:val="center"/>
          </w:tcPr>
          <w:p w14:paraId="7BA2C7DD">
            <w:pPr>
              <w:spacing w:line="400" w:lineRule="exact"/>
              <w:ind w:firstLine="420" w:firstLineChars="200"/>
              <w:rPr>
                <w:rFonts w:ascii="宋体" w:hAnsi="宋体"/>
                <w:color w:val="auto"/>
                <w:szCs w:val="21"/>
              </w:rPr>
            </w:pPr>
          </w:p>
        </w:tc>
        <w:tc>
          <w:tcPr>
            <w:tcW w:w="4252" w:type="dxa"/>
            <w:vAlign w:val="center"/>
          </w:tcPr>
          <w:p w14:paraId="0746D052">
            <w:pPr>
              <w:spacing w:line="400" w:lineRule="exact"/>
              <w:ind w:firstLine="420" w:firstLineChars="200"/>
              <w:rPr>
                <w:rFonts w:ascii="宋体" w:hAnsi="宋体"/>
                <w:color w:val="auto"/>
                <w:szCs w:val="21"/>
              </w:rPr>
            </w:pPr>
          </w:p>
        </w:tc>
      </w:tr>
      <w:tr w14:paraId="697B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066E8A3">
            <w:pPr>
              <w:spacing w:line="400" w:lineRule="exact"/>
              <w:jc w:val="center"/>
              <w:rPr>
                <w:rFonts w:ascii="宋体" w:hAnsi="宋体"/>
                <w:color w:val="auto"/>
                <w:szCs w:val="21"/>
              </w:rPr>
            </w:pPr>
            <w:r>
              <w:rPr>
                <w:rFonts w:hint="eastAsia" w:ascii="宋体" w:hAnsi="宋体"/>
                <w:color w:val="auto"/>
                <w:szCs w:val="21"/>
              </w:rPr>
              <w:t>技术负责人</w:t>
            </w:r>
          </w:p>
        </w:tc>
        <w:tc>
          <w:tcPr>
            <w:tcW w:w="1418" w:type="dxa"/>
            <w:vAlign w:val="center"/>
          </w:tcPr>
          <w:p w14:paraId="1C9CCF83">
            <w:pPr>
              <w:spacing w:line="400" w:lineRule="exact"/>
              <w:ind w:firstLine="420" w:firstLineChars="200"/>
              <w:rPr>
                <w:rFonts w:ascii="宋体" w:hAnsi="宋体"/>
                <w:color w:val="auto"/>
                <w:szCs w:val="21"/>
              </w:rPr>
            </w:pPr>
          </w:p>
        </w:tc>
        <w:tc>
          <w:tcPr>
            <w:tcW w:w="1134" w:type="dxa"/>
            <w:vAlign w:val="center"/>
          </w:tcPr>
          <w:p w14:paraId="79F235D3">
            <w:pPr>
              <w:spacing w:line="400" w:lineRule="exact"/>
              <w:ind w:firstLine="420" w:firstLineChars="200"/>
              <w:rPr>
                <w:rFonts w:ascii="宋体" w:hAnsi="宋体"/>
                <w:color w:val="auto"/>
                <w:szCs w:val="21"/>
              </w:rPr>
            </w:pPr>
          </w:p>
        </w:tc>
        <w:tc>
          <w:tcPr>
            <w:tcW w:w="1134" w:type="dxa"/>
            <w:vAlign w:val="center"/>
          </w:tcPr>
          <w:p w14:paraId="305DAA3A">
            <w:pPr>
              <w:spacing w:line="400" w:lineRule="exact"/>
              <w:ind w:firstLine="420" w:firstLineChars="200"/>
              <w:rPr>
                <w:rFonts w:ascii="宋体" w:hAnsi="宋体"/>
                <w:color w:val="auto"/>
                <w:szCs w:val="21"/>
              </w:rPr>
            </w:pPr>
          </w:p>
        </w:tc>
        <w:tc>
          <w:tcPr>
            <w:tcW w:w="4252" w:type="dxa"/>
            <w:vAlign w:val="center"/>
          </w:tcPr>
          <w:p w14:paraId="1BE25EDF">
            <w:pPr>
              <w:spacing w:line="400" w:lineRule="exact"/>
              <w:ind w:firstLine="420" w:firstLineChars="200"/>
              <w:rPr>
                <w:rFonts w:ascii="宋体" w:hAnsi="宋体"/>
                <w:color w:val="auto"/>
                <w:szCs w:val="21"/>
              </w:rPr>
            </w:pPr>
          </w:p>
        </w:tc>
      </w:tr>
      <w:tr w14:paraId="5632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8C54521">
            <w:pPr>
              <w:spacing w:line="400" w:lineRule="exact"/>
              <w:jc w:val="center"/>
              <w:rPr>
                <w:rFonts w:ascii="宋体" w:hAnsi="宋体"/>
                <w:color w:val="auto"/>
                <w:szCs w:val="21"/>
              </w:rPr>
            </w:pPr>
            <w:r>
              <w:rPr>
                <w:rFonts w:hint="eastAsia" w:ascii="宋体" w:hAnsi="宋体"/>
                <w:color w:val="auto"/>
                <w:szCs w:val="21"/>
              </w:rPr>
              <w:t>造价管理</w:t>
            </w:r>
          </w:p>
        </w:tc>
        <w:tc>
          <w:tcPr>
            <w:tcW w:w="1418" w:type="dxa"/>
            <w:vAlign w:val="center"/>
          </w:tcPr>
          <w:p w14:paraId="683C7308">
            <w:pPr>
              <w:spacing w:line="400" w:lineRule="exact"/>
              <w:ind w:firstLine="420" w:firstLineChars="200"/>
              <w:rPr>
                <w:rFonts w:ascii="宋体" w:hAnsi="宋体"/>
                <w:color w:val="auto"/>
                <w:szCs w:val="21"/>
              </w:rPr>
            </w:pPr>
          </w:p>
        </w:tc>
        <w:tc>
          <w:tcPr>
            <w:tcW w:w="1134" w:type="dxa"/>
            <w:vAlign w:val="center"/>
          </w:tcPr>
          <w:p w14:paraId="04B136D1">
            <w:pPr>
              <w:spacing w:line="400" w:lineRule="exact"/>
              <w:ind w:firstLine="420" w:firstLineChars="200"/>
              <w:rPr>
                <w:rFonts w:ascii="宋体" w:hAnsi="宋体"/>
                <w:color w:val="auto"/>
                <w:szCs w:val="21"/>
              </w:rPr>
            </w:pPr>
          </w:p>
        </w:tc>
        <w:tc>
          <w:tcPr>
            <w:tcW w:w="1134" w:type="dxa"/>
            <w:vAlign w:val="center"/>
          </w:tcPr>
          <w:p w14:paraId="339F168C">
            <w:pPr>
              <w:spacing w:line="400" w:lineRule="exact"/>
              <w:ind w:firstLine="420" w:firstLineChars="200"/>
              <w:rPr>
                <w:rFonts w:ascii="宋体" w:hAnsi="宋体"/>
                <w:color w:val="auto"/>
                <w:szCs w:val="21"/>
              </w:rPr>
            </w:pPr>
          </w:p>
        </w:tc>
        <w:tc>
          <w:tcPr>
            <w:tcW w:w="4252" w:type="dxa"/>
            <w:vAlign w:val="center"/>
          </w:tcPr>
          <w:p w14:paraId="555077E2">
            <w:pPr>
              <w:spacing w:line="400" w:lineRule="exact"/>
              <w:ind w:firstLine="420" w:firstLineChars="200"/>
              <w:rPr>
                <w:rFonts w:ascii="宋体" w:hAnsi="宋体"/>
                <w:color w:val="auto"/>
                <w:szCs w:val="21"/>
              </w:rPr>
            </w:pPr>
          </w:p>
        </w:tc>
      </w:tr>
      <w:tr w14:paraId="1F48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1112AC5">
            <w:pPr>
              <w:spacing w:line="400" w:lineRule="exact"/>
              <w:jc w:val="center"/>
              <w:rPr>
                <w:rFonts w:ascii="宋体" w:hAnsi="宋体"/>
                <w:color w:val="auto"/>
                <w:szCs w:val="21"/>
              </w:rPr>
            </w:pPr>
            <w:r>
              <w:rPr>
                <w:rFonts w:hint="eastAsia" w:ascii="宋体" w:hAnsi="宋体"/>
                <w:color w:val="auto"/>
                <w:szCs w:val="21"/>
              </w:rPr>
              <w:t>质量管理</w:t>
            </w:r>
          </w:p>
        </w:tc>
        <w:tc>
          <w:tcPr>
            <w:tcW w:w="1418" w:type="dxa"/>
            <w:vAlign w:val="center"/>
          </w:tcPr>
          <w:p w14:paraId="2249E4D0">
            <w:pPr>
              <w:spacing w:line="400" w:lineRule="exact"/>
              <w:ind w:firstLine="420" w:firstLineChars="200"/>
              <w:rPr>
                <w:rFonts w:ascii="宋体" w:hAnsi="宋体"/>
                <w:color w:val="auto"/>
                <w:szCs w:val="21"/>
              </w:rPr>
            </w:pPr>
          </w:p>
        </w:tc>
        <w:tc>
          <w:tcPr>
            <w:tcW w:w="1134" w:type="dxa"/>
            <w:vAlign w:val="center"/>
          </w:tcPr>
          <w:p w14:paraId="1168ED02">
            <w:pPr>
              <w:spacing w:line="400" w:lineRule="exact"/>
              <w:ind w:firstLine="420" w:firstLineChars="200"/>
              <w:rPr>
                <w:rFonts w:ascii="宋体" w:hAnsi="宋体"/>
                <w:color w:val="auto"/>
                <w:szCs w:val="21"/>
              </w:rPr>
            </w:pPr>
          </w:p>
        </w:tc>
        <w:tc>
          <w:tcPr>
            <w:tcW w:w="1134" w:type="dxa"/>
            <w:vAlign w:val="center"/>
          </w:tcPr>
          <w:p w14:paraId="3BA6CFB9">
            <w:pPr>
              <w:spacing w:line="400" w:lineRule="exact"/>
              <w:ind w:firstLine="420" w:firstLineChars="200"/>
              <w:rPr>
                <w:rFonts w:ascii="宋体" w:hAnsi="宋体"/>
                <w:color w:val="auto"/>
                <w:szCs w:val="21"/>
              </w:rPr>
            </w:pPr>
          </w:p>
        </w:tc>
        <w:tc>
          <w:tcPr>
            <w:tcW w:w="4252" w:type="dxa"/>
            <w:vAlign w:val="center"/>
          </w:tcPr>
          <w:p w14:paraId="36F4AC47">
            <w:pPr>
              <w:spacing w:line="400" w:lineRule="exact"/>
              <w:ind w:firstLine="420" w:firstLineChars="200"/>
              <w:rPr>
                <w:rFonts w:ascii="宋体" w:hAnsi="宋体"/>
                <w:color w:val="auto"/>
                <w:szCs w:val="21"/>
              </w:rPr>
            </w:pPr>
          </w:p>
        </w:tc>
      </w:tr>
      <w:tr w14:paraId="5446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ED9611A">
            <w:pPr>
              <w:spacing w:line="400" w:lineRule="exact"/>
              <w:jc w:val="center"/>
              <w:rPr>
                <w:rFonts w:ascii="宋体" w:hAnsi="宋体"/>
                <w:color w:val="auto"/>
                <w:szCs w:val="21"/>
              </w:rPr>
            </w:pPr>
            <w:r>
              <w:rPr>
                <w:rFonts w:hint="eastAsia" w:ascii="宋体" w:hAnsi="宋体"/>
                <w:color w:val="auto"/>
                <w:szCs w:val="21"/>
              </w:rPr>
              <w:t>材料管理</w:t>
            </w:r>
          </w:p>
        </w:tc>
        <w:tc>
          <w:tcPr>
            <w:tcW w:w="1418" w:type="dxa"/>
            <w:vAlign w:val="center"/>
          </w:tcPr>
          <w:p w14:paraId="76E5E316">
            <w:pPr>
              <w:spacing w:line="400" w:lineRule="exact"/>
              <w:ind w:firstLine="420" w:firstLineChars="200"/>
              <w:rPr>
                <w:rFonts w:ascii="宋体" w:hAnsi="宋体"/>
                <w:color w:val="auto"/>
                <w:szCs w:val="21"/>
              </w:rPr>
            </w:pPr>
          </w:p>
        </w:tc>
        <w:tc>
          <w:tcPr>
            <w:tcW w:w="1134" w:type="dxa"/>
            <w:vAlign w:val="center"/>
          </w:tcPr>
          <w:p w14:paraId="2FA8BE2B">
            <w:pPr>
              <w:spacing w:line="400" w:lineRule="exact"/>
              <w:ind w:firstLine="420" w:firstLineChars="200"/>
              <w:rPr>
                <w:rFonts w:ascii="宋体" w:hAnsi="宋体"/>
                <w:color w:val="auto"/>
                <w:szCs w:val="21"/>
              </w:rPr>
            </w:pPr>
          </w:p>
        </w:tc>
        <w:tc>
          <w:tcPr>
            <w:tcW w:w="1134" w:type="dxa"/>
            <w:vAlign w:val="center"/>
          </w:tcPr>
          <w:p w14:paraId="6DF12250">
            <w:pPr>
              <w:spacing w:line="400" w:lineRule="exact"/>
              <w:ind w:firstLine="420" w:firstLineChars="200"/>
              <w:rPr>
                <w:rFonts w:ascii="宋体" w:hAnsi="宋体"/>
                <w:color w:val="auto"/>
                <w:szCs w:val="21"/>
              </w:rPr>
            </w:pPr>
          </w:p>
        </w:tc>
        <w:tc>
          <w:tcPr>
            <w:tcW w:w="4252" w:type="dxa"/>
            <w:vAlign w:val="center"/>
          </w:tcPr>
          <w:p w14:paraId="4102AE6F">
            <w:pPr>
              <w:spacing w:line="400" w:lineRule="exact"/>
              <w:ind w:firstLine="420" w:firstLineChars="200"/>
              <w:rPr>
                <w:rFonts w:ascii="宋体" w:hAnsi="宋体"/>
                <w:color w:val="auto"/>
                <w:szCs w:val="21"/>
              </w:rPr>
            </w:pPr>
          </w:p>
        </w:tc>
      </w:tr>
      <w:tr w14:paraId="4690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9E071DD">
            <w:pPr>
              <w:spacing w:line="400" w:lineRule="exact"/>
              <w:jc w:val="center"/>
              <w:rPr>
                <w:rFonts w:ascii="宋体" w:hAnsi="宋体"/>
                <w:color w:val="auto"/>
                <w:szCs w:val="21"/>
              </w:rPr>
            </w:pPr>
            <w:r>
              <w:rPr>
                <w:rFonts w:hint="eastAsia" w:ascii="宋体" w:hAnsi="宋体"/>
                <w:color w:val="auto"/>
                <w:szCs w:val="21"/>
              </w:rPr>
              <w:t>计划管理</w:t>
            </w:r>
          </w:p>
        </w:tc>
        <w:tc>
          <w:tcPr>
            <w:tcW w:w="1418" w:type="dxa"/>
            <w:vAlign w:val="center"/>
          </w:tcPr>
          <w:p w14:paraId="728CA92F">
            <w:pPr>
              <w:spacing w:line="400" w:lineRule="exact"/>
              <w:ind w:firstLine="420" w:firstLineChars="200"/>
              <w:rPr>
                <w:rFonts w:ascii="宋体" w:hAnsi="宋体"/>
                <w:color w:val="auto"/>
                <w:szCs w:val="21"/>
              </w:rPr>
            </w:pPr>
          </w:p>
        </w:tc>
        <w:tc>
          <w:tcPr>
            <w:tcW w:w="1134" w:type="dxa"/>
            <w:vAlign w:val="center"/>
          </w:tcPr>
          <w:p w14:paraId="7A1F854E">
            <w:pPr>
              <w:spacing w:line="400" w:lineRule="exact"/>
              <w:ind w:firstLine="420" w:firstLineChars="200"/>
              <w:rPr>
                <w:rFonts w:ascii="宋体" w:hAnsi="宋体"/>
                <w:color w:val="auto"/>
                <w:szCs w:val="21"/>
              </w:rPr>
            </w:pPr>
          </w:p>
        </w:tc>
        <w:tc>
          <w:tcPr>
            <w:tcW w:w="1134" w:type="dxa"/>
            <w:vAlign w:val="center"/>
          </w:tcPr>
          <w:p w14:paraId="497785D8">
            <w:pPr>
              <w:spacing w:line="400" w:lineRule="exact"/>
              <w:ind w:firstLine="420" w:firstLineChars="200"/>
              <w:rPr>
                <w:rFonts w:ascii="宋体" w:hAnsi="宋体"/>
                <w:color w:val="auto"/>
                <w:szCs w:val="21"/>
              </w:rPr>
            </w:pPr>
          </w:p>
        </w:tc>
        <w:tc>
          <w:tcPr>
            <w:tcW w:w="4252" w:type="dxa"/>
            <w:vAlign w:val="center"/>
          </w:tcPr>
          <w:p w14:paraId="4A605799">
            <w:pPr>
              <w:spacing w:line="400" w:lineRule="exact"/>
              <w:ind w:firstLine="420" w:firstLineChars="200"/>
              <w:rPr>
                <w:rFonts w:ascii="宋体" w:hAnsi="宋体"/>
                <w:color w:val="auto"/>
                <w:szCs w:val="21"/>
              </w:rPr>
            </w:pPr>
          </w:p>
        </w:tc>
      </w:tr>
      <w:tr w14:paraId="6B76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04F6A6A">
            <w:pPr>
              <w:spacing w:line="400" w:lineRule="exact"/>
              <w:jc w:val="center"/>
              <w:rPr>
                <w:rFonts w:ascii="宋体" w:hAnsi="宋体"/>
                <w:color w:val="auto"/>
                <w:szCs w:val="21"/>
              </w:rPr>
            </w:pPr>
            <w:r>
              <w:rPr>
                <w:rFonts w:hint="eastAsia" w:ascii="宋体" w:hAnsi="宋体"/>
                <w:color w:val="auto"/>
                <w:szCs w:val="21"/>
              </w:rPr>
              <w:t>安全管理</w:t>
            </w:r>
          </w:p>
        </w:tc>
        <w:tc>
          <w:tcPr>
            <w:tcW w:w="1418" w:type="dxa"/>
            <w:vAlign w:val="center"/>
          </w:tcPr>
          <w:p w14:paraId="732F0271">
            <w:pPr>
              <w:spacing w:line="400" w:lineRule="exact"/>
              <w:ind w:firstLine="420" w:firstLineChars="200"/>
              <w:rPr>
                <w:rFonts w:ascii="宋体" w:hAnsi="宋体"/>
                <w:color w:val="auto"/>
                <w:szCs w:val="21"/>
              </w:rPr>
            </w:pPr>
          </w:p>
        </w:tc>
        <w:tc>
          <w:tcPr>
            <w:tcW w:w="1134" w:type="dxa"/>
            <w:vAlign w:val="center"/>
          </w:tcPr>
          <w:p w14:paraId="67094713">
            <w:pPr>
              <w:spacing w:line="400" w:lineRule="exact"/>
              <w:ind w:firstLine="420" w:firstLineChars="200"/>
              <w:rPr>
                <w:rFonts w:ascii="宋体" w:hAnsi="宋体"/>
                <w:color w:val="auto"/>
                <w:szCs w:val="21"/>
              </w:rPr>
            </w:pPr>
          </w:p>
        </w:tc>
        <w:tc>
          <w:tcPr>
            <w:tcW w:w="1134" w:type="dxa"/>
            <w:vAlign w:val="center"/>
          </w:tcPr>
          <w:p w14:paraId="175E5DB5">
            <w:pPr>
              <w:spacing w:line="400" w:lineRule="exact"/>
              <w:ind w:firstLine="420" w:firstLineChars="200"/>
              <w:rPr>
                <w:rFonts w:ascii="宋体" w:hAnsi="宋体"/>
                <w:color w:val="auto"/>
                <w:szCs w:val="21"/>
              </w:rPr>
            </w:pPr>
          </w:p>
        </w:tc>
        <w:tc>
          <w:tcPr>
            <w:tcW w:w="4252" w:type="dxa"/>
            <w:vAlign w:val="center"/>
          </w:tcPr>
          <w:p w14:paraId="297482E5">
            <w:pPr>
              <w:spacing w:line="400" w:lineRule="exact"/>
              <w:ind w:firstLine="420" w:firstLineChars="200"/>
              <w:rPr>
                <w:rFonts w:ascii="宋体" w:hAnsi="宋体"/>
                <w:color w:val="auto"/>
                <w:szCs w:val="21"/>
              </w:rPr>
            </w:pPr>
          </w:p>
        </w:tc>
      </w:tr>
      <w:tr w14:paraId="3FB1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vAlign w:val="center"/>
          </w:tcPr>
          <w:p w14:paraId="7EC8CF4E">
            <w:pPr>
              <w:spacing w:line="400" w:lineRule="exact"/>
              <w:jc w:val="center"/>
              <w:rPr>
                <w:rFonts w:ascii="宋体" w:hAnsi="宋体"/>
                <w:color w:val="auto"/>
                <w:szCs w:val="21"/>
              </w:rPr>
            </w:pPr>
            <w:r>
              <w:rPr>
                <w:rFonts w:hint="eastAsia" w:ascii="宋体" w:hAnsi="宋体"/>
                <w:color w:val="auto"/>
                <w:szCs w:val="21"/>
              </w:rPr>
              <w:t>其他人员</w:t>
            </w:r>
          </w:p>
        </w:tc>
        <w:tc>
          <w:tcPr>
            <w:tcW w:w="1418" w:type="dxa"/>
            <w:vAlign w:val="center"/>
          </w:tcPr>
          <w:p w14:paraId="6FC95F73">
            <w:pPr>
              <w:spacing w:line="400" w:lineRule="exact"/>
              <w:ind w:firstLine="420" w:firstLineChars="200"/>
              <w:rPr>
                <w:rFonts w:ascii="宋体" w:hAnsi="宋体"/>
                <w:color w:val="auto"/>
                <w:szCs w:val="21"/>
              </w:rPr>
            </w:pPr>
          </w:p>
        </w:tc>
        <w:tc>
          <w:tcPr>
            <w:tcW w:w="1134" w:type="dxa"/>
            <w:vAlign w:val="center"/>
          </w:tcPr>
          <w:p w14:paraId="36DFEB3B">
            <w:pPr>
              <w:spacing w:line="400" w:lineRule="exact"/>
              <w:ind w:firstLine="420" w:firstLineChars="200"/>
              <w:rPr>
                <w:rFonts w:ascii="宋体" w:hAnsi="宋体"/>
                <w:color w:val="auto"/>
                <w:szCs w:val="21"/>
              </w:rPr>
            </w:pPr>
          </w:p>
        </w:tc>
        <w:tc>
          <w:tcPr>
            <w:tcW w:w="1134" w:type="dxa"/>
            <w:vAlign w:val="center"/>
          </w:tcPr>
          <w:p w14:paraId="0310CF3A">
            <w:pPr>
              <w:spacing w:line="400" w:lineRule="exact"/>
              <w:ind w:firstLine="420" w:firstLineChars="200"/>
              <w:rPr>
                <w:rFonts w:ascii="宋体" w:hAnsi="宋体"/>
                <w:color w:val="auto"/>
                <w:szCs w:val="21"/>
              </w:rPr>
            </w:pPr>
          </w:p>
        </w:tc>
        <w:tc>
          <w:tcPr>
            <w:tcW w:w="4252" w:type="dxa"/>
            <w:vAlign w:val="center"/>
          </w:tcPr>
          <w:p w14:paraId="0EC24809">
            <w:pPr>
              <w:spacing w:line="400" w:lineRule="exact"/>
              <w:ind w:firstLine="420" w:firstLineChars="200"/>
              <w:rPr>
                <w:rFonts w:ascii="宋体" w:hAnsi="宋体"/>
                <w:color w:val="auto"/>
                <w:szCs w:val="21"/>
              </w:rPr>
            </w:pPr>
          </w:p>
        </w:tc>
      </w:tr>
      <w:tr w14:paraId="5A21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0AB268F9">
            <w:pPr>
              <w:spacing w:line="400" w:lineRule="exact"/>
              <w:ind w:firstLine="420" w:firstLineChars="200"/>
              <w:rPr>
                <w:rFonts w:ascii="宋体" w:hAnsi="宋体"/>
                <w:color w:val="auto"/>
                <w:szCs w:val="21"/>
              </w:rPr>
            </w:pPr>
          </w:p>
        </w:tc>
        <w:tc>
          <w:tcPr>
            <w:tcW w:w="1418" w:type="dxa"/>
            <w:vAlign w:val="center"/>
          </w:tcPr>
          <w:p w14:paraId="024D8F8F">
            <w:pPr>
              <w:spacing w:line="400" w:lineRule="exact"/>
              <w:ind w:firstLine="420" w:firstLineChars="200"/>
              <w:rPr>
                <w:rFonts w:ascii="宋体" w:hAnsi="宋体"/>
                <w:color w:val="auto"/>
                <w:szCs w:val="21"/>
              </w:rPr>
            </w:pPr>
          </w:p>
        </w:tc>
        <w:tc>
          <w:tcPr>
            <w:tcW w:w="1134" w:type="dxa"/>
            <w:vAlign w:val="center"/>
          </w:tcPr>
          <w:p w14:paraId="42EE44F8">
            <w:pPr>
              <w:spacing w:line="400" w:lineRule="exact"/>
              <w:ind w:firstLine="420" w:firstLineChars="200"/>
              <w:rPr>
                <w:rFonts w:ascii="宋体" w:hAnsi="宋体"/>
                <w:color w:val="auto"/>
                <w:szCs w:val="21"/>
              </w:rPr>
            </w:pPr>
          </w:p>
        </w:tc>
        <w:tc>
          <w:tcPr>
            <w:tcW w:w="1134" w:type="dxa"/>
            <w:vAlign w:val="center"/>
          </w:tcPr>
          <w:p w14:paraId="512F26EE">
            <w:pPr>
              <w:spacing w:line="400" w:lineRule="exact"/>
              <w:ind w:firstLine="420" w:firstLineChars="200"/>
              <w:rPr>
                <w:rFonts w:ascii="宋体" w:hAnsi="宋体"/>
                <w:color w:val="auto"/>
                <w:szCs w:val="21"/>
              </w:rPr>
            </w:pPr>
          </w:p>
        </w:tc>
        <w:tc>
          <w:tcPr>
            <w:tcW w:w="4252" w:type="dxa"/>
            <w:vAlign w:val="center"/>
          </w:tcPr>
          <w:p w14:paraId="451039EC">
            <w:pPr>
              <w:spacing w:line="400" w:lineRule="exact"/>
              <w:ind w:firstLine="420" w:firstLineChars="200"/>
              <w:rPr>
                <w:rFonts w:ascii="宋体" w:hAnsi="宋体"/>
                <w:color w:val="auto"/>
                <w:szCs w:val="21"/>
              </w:rPr>
            </w:pPr>
          </w:p>
        </w:tc>
      </w:tr>
      <w:tr w14:paraId="22FE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0B476435">
            <w:pPr>
              <w:spacing w:line="400" w:lineRule="exact"/>
              <w:ind w:firstLine="420" w:firstLineChars="200"/>
              <w:rPr>
                <w:rFonts w:ascii="宋体" w:hAnsi="宋体"/>
                <w:color w:val="auto"/>
                <w:szCs w:val="21"/>
              </w:rPr>
            </w:pPr>
          </w:p>
        </w:tc>
        <w:tc>
          <w:tcPr>
            <w:tcW w:w="1418" w:type="dxa"/>
            <w:vAlign w:val="center"/>
          </w:tcPr>
          <w:p w14:paraId="09DD9C84">
            <w:pPr>
              <w:spacing w:line="400" w:lineRule="exact"/>
              <w:ind w:firstLine="420" w:firstLineChars="200"/>
              <w:rPr>
                <w:rFonts w:ascii="宋体" w:hAnsi="宋体"/>
                <w:color w:val="auto"/>
                <w:szCs w:val="21"/>
              </w:rPr>
            </w:pPr>
          </w:p>
        </w:tc>
        <w:tc>
          <w:tcPr>
            <w:tcW w:w="1134" w:type="dxa"/>
            <w:vAlign w:val="center"/>
          </w:tcPr>
          <w:p w14:paraId="40200893">
            <w:pPr>
              <w:spacing w:line="400" w:lineRule="exact"/>
              <w:ind w:firstLine="420" w:firstLineChars="200"/>
              <w:rPr>
                <w:rFonts w:ascii="宋体" w:hAnsi="宋体"/>
                <w:color w:val="auto"/>
                <w:szCs w:val="21"/>
              </w:rPr>
            </w:pPr>
          </w:p>
        </w:tc>
        <w:tc>
          <w:tcPr>
            <w:tcW w:w="1134" w:type="dxa"/>
            <w:vAlign w:val="center"/>
          </w:tcPr>
          <w:p w14:paraId="54B3E0D0">
            <w:pPr>
              <w:spacing w:line="400" w:lineRule="exact"/>
              <w:ind w:firstLine="420" w:firstLineChars="200"/>
              <w:rPr>
                <w:rFonts w:ascii="宋体" w:hAnsi="宋体"/>
                <w:color w:val="auto"/>
                <w:szCs w:val="21"/>
              </w:rPr>
            </w:pPr>
          </w:p>
        </w:tc>
        <w:tc>
          <w:tcPr>
            <w:tcW w:w="4252" w:type="dxa"/>
            <w:vAlign w:val="center"/>
          </w:tcPr>
          <w:p w14:paraId="264F8E55">
            <w:pPr>
              <w:spacing w:line="400" w:lineRule="exact"/>
              <w:ind w:firstLine="420" w:firstLineChars="200"/>
              <w:rPr>
                <w:rFonts w:ascii="宋体" w:hAnsi="宋体"/>
                <w:color w:val="auto"/>
                <w:szCs w:val="21"/>
              </w:rPr>
            </w:pPr>
          </w:p>
        </w:tc>
      </w:tr>
      <w:tr w14:paraId="3B69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vAlign w:val="center"/>
          </w:tcPr>
          <w:p w14:paraId="68904DC0">
            <w:pPr>
              <w:spacing w:line="400" w:lineRule="exact"/>
              <w:ind w:firstLine="420" w:firstLineChars="200"/>
              <w:rPr>
                <w:rFonts w:ascii="宋体" w:hAnsi="宋体"/>
                <w:color w:val="auto"/>
                <w:szCs w:val="21"/>
              </w:rPr>
            </w:pPr>
          </w:p>
        </w:tc>
        <w:tc>
          <w:tcPr>
            <w:tcW w:w="1418" w:type="dxa"/>
            <w:vAlign w:val="center"/>
          </w:tcPr>
          <w:p w14:paraId="15955D2C">
            <w:pPr>
              <w:spacing w:line="400" w:lineRule="exact"/>
              <w:ind w:firstLine="420" w:firstLineChars="200"/>
              <w:rPr>
                <w:rFonts w:ascii="宋体" w:hAnsi="宋体"/>
                <w:color w:val="auto"/>
                <w:szCs w:val="21"/>
              </w:rPr>
            </w:pPr>
          </w:p>
        </w:tc>
        <w:tc>
          <w:tcPr>
            <w:tcW w:w="1134" w:type="dxa"/>
            <w:vAlign w:val="center"/>
          </w:tcPr>
          <w:p w14:paraId="551FA528">
            <w:pPr>
              <w:spacing w:line="400" w:lineRule="exact"/>
              <w:ind w:firstLine="420" w:firstLineChars="200"/>
              <w:rPr>
                <w:rFonts w:ascii="宋体" w:hAnsi="宋体"/>
                <w:color w:val="auto"/>
                <w:szCs w:val="21"/>
              </w:rPr>
            </w:pPr>
          </w:p>
        </w:tc>
        <w:tc>
          <w:tcPr>
            <w:tcW w:w="1134" w:type="dxa"/>
            <w:vAlign w:val="center"/>
          </w:tcPr>
          <w:p w14:paraId="38A8C1B9">
            <w:pPr>
              <w:spacing w:line="400" w:lineRule="exact"/>
              <w:ind w:firstLine="420" w:firstLineChars="200"/>
              <w:rPr>
                <w:rFonts w:ascii="宋体" w:hAnsi="宋体"/>
                <w:color w:val="auto"/>
                <w:szCs w:val="21"/>
              </w:rPr>
            </w:pPr>
          </w:p>
        </w:tc>
        <w:tc>
          <w:tcPr>
            <w:tcW w:w="4252" w:type="dxa"/>
            <w:vAlign w:val="center"/>
          </w:tcPr>
          <w:p w14:paraId="162D5CB7">
            <w:pPr>
              <w:spacing w:line="400" w:lineRule="exact"/>
              <w:ind w:firstLine="420" w:firstLineChars="200"/>
              <w:rPr>
                <w:rFonts w:ascii="宋体" w:hAnsi="宋体"/>
                <w:color w:val="auto"/>
                <w:szCs w:val="21"/>
              </w:rPr>
            </w:pPr>
          </w:p>
        </w:tc>
      </w:tr>
      <w:tr w14:paraId="3FC2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vAlign w:val="center"/>
          </w:tcPr>
          <w:p w14:paraId="6D47D2E6">
            <w:pPr>
              <w:spacing w:line="400" w:lineRule="exact"/>
              <w:ind w:firstLine="420" w:firstLineChars="200"/>
              <w:rPr>
                <w:rFonts w:ascii="宋体" w:hAnsi="宋体"/>
                <w:color w:val="auto"/>
                <w:szCs w:val="21"/>
              </w:rPr>
            </w:pPr>
          </w:p>
        </w:tc>
        <w:tc>
          <w:tcPr>
            <w:tcW w:w="1418" w:type="dxa"/>
            <w:vAlign w:val="center"/>
          </w:tcPr>
          <w:p w14:paraId="04979EC4">
            <w:pPr>
              <w:spacing w:line="400" w:lineRule="exact"/>
              <w:ind w:firstLine="420" w:firstLineChars="200"/>
              <w:rPr>
                <w:rFonts w:ascii="宋体" w:hAnsi="宋体"/>
                <w:color w:val="auto"/>
                <w:szCs w:val="21"/>
              </w:rPr>
            </w:pPr>
          </w:p>
        </w:tc>
        <w:tc>
          <w:tcPr>
            <w:tcW w:w="1134" w:type="dxa"/>
            <w:vAlign w:val="center"/>
          </w:tcPr>
          <w:p w14:paraId="65ED880D">
            <w:pPr>
              <w:spacing w:line="400" w:lineRule="exact"/>
              <w:ind w:firstLine="420" w:firstLineChars="200"/>
              <w:rPr>
                <w:rFonts w:ascii="宋体" w:hAnsi="宋体"/>
                <w:color w:val="auto"/>
                <w:szCs w:val="21"/>
              </w:rPr>
            </w:pPr>
          </w:p>
        </w:tc>
        <w:tc>
          <w:tcPr>
            <w:tcW w:w="1134" w:type="dxa"/>
            <w:vAlign w:val="center"/>
          </w:tcPr>
          <w:p w14:paraId="0C75F61C">
            <w:pPr>
              <w:spacing w:line="400" w:lineRule="exact"/>
              <w:ind w:firstLine="420" w:firstLineChars="200"/>
              <w:rPr>
                <w:rFonts w:ascii="宋体" w:hAnsi="宋体"/>
                <w:color w:val="auto"/>
                <w:szCs w:val="21"/>
              </w:rPr>
            </w:pPr>
          </w:p>
        </w:tc>
        <w:tc>
          <w:tcPr>
            <w:tcW w:w="4252" w:type="dxa"/>
            <w:vAlign w:val="center"/>
          </w:tcPr>
          <w:p w14:paraId="06CCDC35">
            <w:pPr>
              <w:spacing w:line="400" w:lineRule="exact"/>
              <w:ind w:firstLine="420" w:firstLineChars="200"/>
              <w:rPr>
                <w:rFonts w:ascii="宋体" w:hAnsi="宋体"/>
                <w:color w:val="auto"/>
                <w:szCs w:val="21"/>
              </w:rPr>
            </w:pPr>
          </w:p>
        </w:tc>
      </w:tr>
    </w:tbl>
    <w:p w14:paraId="071F67A3">
      <w:pPr>
        <w:spacing w:line="480" w:lineRule="auto"/>
        <w:rPr>
          <w:rFonts w:ascii="宋体" w:hAnsi="宋体"/>
          <w:color w:val="auto"/>
          <w:szCs w:val="21"/>
        </w:rPr>
      </w:pPr>
      <w:r>
        <w:rPr>
          <w:rFonts w:hint="eastAsia" w:ascii="宋体" w:hAnsi="宋体"/>
          <w:color w:val="auto"/>
          <w:szCs w:val="21"/>
        </w:rPr>
        <w:br w:type="page"/>
      </w:r>
      <w:bookmarkStart w:id="2123" w:name="_Toc267261701"/>
      <w:r>
        <w:rPr>
          <w:rFonts w:hint="eastAsia" w:ascii="宋体" w:hAnsi="宋体"/>
          <w:color w:val="auto"/>
          <w:szCs w:val="21"/>
        </w:rPr>
        <w:t>附</w:t>
      </w:r>
      <w:bookmarkStart w:id="2124" w:name="_Toc296347230"/>
      <w:bookmarkStart w:id="2125" w:name="_Toc296891271"/>
      <w:bookmarkStart w:id="2126" w:name="_Toc296346732"/>
      <w:bookmarkStart w:id="2127" w:name="_Toc296944570"/>
      <w:bookmarkStart w:id="2128" w:name="_Toc296891059"/>
      <w:bookmarkStart w:id="2129" w:name="_Toc296503231"/>
      <w:r>
        <w:rPr>
          <w:rFonts w:hint="eastAsia" w:ascii="宋体" w:hAnsi="宋体"/>
          <w:color w:val="auto"/>
          <w:szCs w:val="21"/>
        </w:rPr>
        <w:t>件4：</w:t>
      </w:r>
    </w:p>
    <w:bookmarkEnd w:id="2123"/>
    <w:bookmarkEnd w:id="2124"/>
    <w:bookmarkEnd w:id="2125"/>
    <w:bookmarkEnd w:id="2126"/>
    <w:bookmarkEnd w:id="2127"/>
    <w:bookmarkEnd w:id="2128"/>
    <w:bookmarkEnd w:id="2129"/>
    <w:p w14:paraId="73E53AFB">
      <w:pPr>
        <w:spacing w:beforeLines="50" w:afterLines="50" w:line="480" w:lineRule="auto"/>
        <w:jc w:val="center"/>
        <w:rPr>
          <w:rFonts w:ascii="宋体" w:hAnsi="宋体"/>
          <w:color w:val="auto"/>
          <w:szCs w:val="21"/>
        </w:rPr>
      </w:pPr>
      <w:r>
        <w:rPr>
          <w:rFonts w:hint="eastAsia" w:ascii="宋体" w:hAnsi="宋体"/>
          <w:color w:val="auto"/>
          <w:szCs w:val="21"/>
        </w:rPr>
        <w:t>履约担保（如有）</w:t>
      </w:r>
    </w:p>
    <w:p w14:paraId="52EF7359">
      <w:pPr>
        <w:spacing w:line="360" w:lineRule="auto"/>
        <w:ind w:firstLine="420" w:firstLineChars="200"/>
        <w:rPr>
          <w:rFonts w:ascii="宋体" w:hAnsi="宋体"/>
          <w:color w:val="auto"/>
          <w:szCs w:val="21"/>
        </w:rPr>
      </w:pP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rPr>
        <w:t>（发包人名称）：</w:t>
      </w:r>
    </w:p>
    <w:p w14:paraId="2068CC75">
      <w:pPr>
        <w:spacing w:line="360" w:lineRule="auto"/>
        <w:ind w:firstLine="420" w:firstLineChars="200"/>
        <w:rPr>
          <w:rFonts w:ascii="宋体" w:hAnsi="宋体"/>
          <w:color w:val="auto"/>
          <w:szCs w:val="21"/>
        </w:rPr>
      </w:pPr>
    </w:p>
    <w:p w14:paraId="0E58599B">
      <w:pPr>
        <w:spacing w:line="360" w:lineRule="auto"/>
        <w:ind w:firstLine="420" w:firstLineChars="200"/>
        <w:rPr>
          <w:rFonts w:ascii="宋体" w:hAnsi="宋体"/>
          <w:color w:val="auto"/>
          <w:szCs w:val="21"/>
        </w:rPr>
      </w:pPr>
      <w:r>
        <w:rPr>
          <w:rFonts w:hint="eastAsia" w:ascii="宋体" w:hAnsi="宋体"/>
          <w:color w:val="auto"/>
          <w:szCs w:val="21"/>
        </w:rPr>
        <w:t>鉴于</w:t>
      </w:r>
      <w:r>
        <w:rPr>
          <w:rFonts w:hint="eastAsia" w:ascii="宋体" w:hAnsi="宋体"/>
          <w:color w:val="auto"/>
          <w:szCs w:val="21"/>
          <w:u w:val="single"/>
        </w:rPr>
        <w:t xml:space="preserve">                </w:t>
      </w:r>
      <w:r>
        <w:rPr>
          <w:rFonts w:hint="eastAsia" w:ascii="宋体" w:hAnsi="宋体"/>
          <w:color w:val="auto"/>
          <w:szCs w:val="21"/>
        </w:rPr>
        <w:t>（发包人名称，以下简称“发包人”）与</w:t>
      </w:r>
    </w:p>
    <w:p w14:paraId="00C2B8FC">
      <w:pPr>
        <w:spacing w:line="360" w:lineRule="auto"/>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u w:val="single"/>
        </w:rPr>
        <w:t xml:space="preserve">                           </w:t>
      </w:r>
      <w:r>
        <w:rPr>
          <w:rFonts w:hint="eastAsia" w:ascii="宋体" w:hAnsi="宋体"/>
          <w:color w:val="auto"/>
          <w:szCs w:val="21"/>
        </w:rPr>
        <w:t>（承包人名称）（以下称“承包人”）于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日就</w:t>
      </w:r>
      <w:r>
        <w:rPr>
          <w:rFonts w:hint="eastAsia" w:ascii="宋体" w:hAnsi="宋体"/>
          <w:color w:val="auto"/>
          <w:szCs w:val="21"/>
          <w:u w:val="single"/>
        </w:rPr>
        <w:t xml:space="preserve">                         </w:t>
      </w:r>
      <w:r>
        <w:rPr>
          <w:rFonts w:hint="eastAsia" w:ascii="宋体" w:hAnsi="宋体"/>
          <w:color w:val="auto"/>
          <w:szCs w:val="21"/>
        </w:rPr>
        <w:t>（工程名称）施工及有关事项协商一致共同签订《建设工程施工合同》。我方愿意无条件地、不可撤销地就承包人履行与你方签订的合同，向你方提供连带责任担保。</w:t>
      </w:r>
    </w:p>
    <w:p w14:paraId="3432E823">
      <w:pPr>
        <w:spacing w:line="360" w:lineRule="auto"/>
        <w:ind w:firstLine="420" w:firstLineChars="200"/>
        <w:rPr>
          <w:rFonts w:ascii="宋体" w:hAnsi="宋体"/>
          <w:color w:val="auto"/>
          <w:szCs w:val="21"/>
        </w:rPr>
      </w:pPr>
      <w:r>
        <w:rPr>
          <w:rFonts w:hint="eastAsia" w:ascii="宋体" w:hAnsi="宋体"/>
          <w:color w:val="auto"/>
          <w:szCs w:val="21"/>
        </w:rPr>
        <w:t>1. 担保金额人民币（大写）</w:t>
      </w:r>
      <w:r>
        <w:rPr>
          <w:rFonts w:hint="eastAsia" w:ascii="宋体" w:hAnsi="宋体"/>
          <w:color w:val="auto"/>
          <w:szCs w:val="21"/>
          <w:u w:val="single"/>
        </w:rPr>
        <w:t xml:space="preserve">        </w:t>
      </w:r>
      <w:r>
        <w:rPr>
          <w:rFonts w:hint="eastAsia" w:ascii="宋体" w:hAnsi="宋体"/>
          <w:color w:val="auto"/>
          <w:szCs w:val="21"/>
        </w:rPr>
        <w:t>元（¥</w:t>
      </w:r>
      <w:r>
        <w:rPr>
          <w:rFonts w:hint="eastAsia" w:ascii="宋体" w:hAnsi="宋体"/>
          <w:color w:val="auto"/>
          <w:szCs w:val="21"/>
          <w:u w:val="single"/>
        </w:rPr>
        <w:t xml:space="preserve">        </w:t>
      </w:r>
      <w:r>
        <w:rPr>
          <w:rFonts w:hint="eastAsia" w:ascii="宋体" w:hAnsi="宋体"/>
          <w:color w:val="auto"/>
          <w:szCs w:val="21"/>
        </w:rPr>
        <w:t>）。</w:t>
      </w:r>
    </w:p>
    <w:p w14:paraId="1F4C2D2D">
      <w:pPr>
        <w:spacing w:line="360" w:lineRule="auto"/>
        <w:ind w:firstLine="420" w:firstLineChars="200"/>
        <w:rPr>
          <w:rFonts w:ascii="宋体" w:hAnsi="宋体"/>
          <w:color w:val="auto"/>
          <w:szCs w:val="21"/>
        </w:rPr>
      </w:pPr>
      <w:r>
        <w:rPr>
          <w:rFonts w:hint="eastAsia" w:ascii="宋体" w:hAnsi="宋体"/>
          <w:color w:val="auto"/>
          <w:szCs w:val="21"/>
        </w:rPr>
        <w:t>2. 担保有效期：</w:t>
      </w:r>
      <w:r>
        <w:rPr>
          <w:rFonts w:hint="eastAsia" w:ascii="宋体" w:hAnsi="宋体"/>
          <w:color w:val="auto"/>
          <w:szCs w:val="21"/>
          <w:u w:val="single"/>
        </w:rPr>
        <w:t>自</w:t>
      </w:r>
      <w:r>
        <w:rPr>
          <w:rStyle w:val="54"/>
          <w:rFonts w:hint="eastAsia"/>
          <w:color w:val="auto"/>
        </w:rPr>
        <w:t>我</w:t>
      </w:r>
      <w:r>
        <w:rPr>
          <w:rFonts w:hint="eastAsia" w:ascii="宋体" w:hAnsi="宋体"/>
          <w:color w:val="auto"/>
          <w:szCs w:val="21"/>
          <w:u w:val="single"/>
        </w:rPr>
        <w:t>方法定代表人（或其委托代理人）签字并加盖公章之日起至你方签发或应签发工程接收证书之日止</w:t>
      </w:r>
      <w:r>
        <w:rPr>
          <w:rFonts w:hint="eastAsia" w:ascii="宋体" w:hAnsi="宋体"/>
          <w:color w:val="auto"/>
          <w:szCs w:val="21"/>
        </w:rPr>
        <w:t>。</w:t>
      </w:r>
    </w:p>
    <w:p w14:paraId="7947A64D">
      <w:pPr>
        <w:spacing w:line="360" w:lineRule="auto"/>
        <w:ind w:firstLine="420" w:firstLineChars="200"/>
        <w:rPr>
          <w:rFonts w:ascii="宋体" w:hAnsi="宋体"/>
          <w:color w:val="auto"/>
          <w:szCs w:val="21"/>
        </w:rPr>
      </w:pPr>
      <w:r>
        <w:rPr>
          <w:rFonts w:hint="eastAsia" w:ascii="宋体" w:hAnsi="宋体"/>
          <w:color w:val="auto"/>
          <w:szCs w:val="21"/>
        </w:rPr>
        <w:t>3. 在本担保有效期内，因承包人违反合同约定的义务给你方造成经济损失时，我方在收到你方以书面形式提出的在担保金额内的赔偿要求后，在7天内无条件支付。</w:t>
      </w:r>
    </w:p>
    <w:p w14:paraId="597642DB">
      <w:pPr>
        <w:spacing w:line="360" w:lineRule="auto"/>
        <w:ind w:firstLine="420" w:firstLineChars="200"/>
        <w:rPr>
          <w:rFonts w:ascii="宋体" w:hAnsi="宋体"/>
          <w:color w:val="auto"/>
          <w:szCs w:val="21"/>
        </w:rPr>
      </w:pPr>
      <w:r>
        <w:rPr>
          <w:rFonts w:hint="eastAsia" w:ascii="宋体" w:hAnsi="宋体"/>
          <w:color w:val="auto"/>
          <w:szCs w:val="21"/>
        </w:rPr>
        <w:t>4. 你方和承包人按合同约定变更合同时，我方承担本担保规定的义务不变。</w:t>
      </w:r>
    </w:p>
    <w:p w14:paraId="7F490480">
      <w:pPr>
        <w:spacing w:line="360" w:lineRule="auto"/>
        <w:ind w:firstLine="420" w:firstLineChars="200"/>
        <w:rPr>
          <w:rFonts w:ascii="宋体" w:hAnsi="宋体"/>
          <w:color w:val="auto"/>
          <w:szCs w:val="21"/>
        </w:rPr>
      </w:pPr>
      <w:r>
        <w:rPr>
          <w:rFonts w:hint="eastAsia" w:ascii="宋体" w:hAnsi="宋体"/>
          <w:color w:val="auto"/>
          <w:szCs w:val="21"/>
        </w:rPr>
        <w:t>5. 因本保函发生的纠纷，可由双方协商解决，协商不成的，按下列第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51A3E406">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246B42DC">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7A5FA97A">
      <w:pPr>
        <w:spacing w:line="360" w:lineRule="auto"/>
        <w:ind w:firstLine="420" w:firstLineChars="200"/>
        <w:rPr>
          <w:rFonts w:ascii="宋体" w:hAnsi="宋体"/>
          <w:color w:val="auto"/>
          <w:szCs w:val="21"/>
        </w:rPr>
      </w:pPr>
      <w:r>
        <w:rPr>
          <w:rFonts w:hint="eastAsia" w:ascii="宋体" w:hAnsi="宋体"/>
          <w:color w:val="auto"/>
          <w:szCs w:val="21"/>
        </w:rPr>
        <w:t>6. 本保函自我方法定代表人（或其委托代理人）签字并加盖公章之日起生效。</w:t>
      </w:r>
    </w:p>
    <w:p w14:paraId="2284099C">
      <w:pPr>
        <w:spacing w:line="360" w:lineRule="auto"/>
        <w:rPr>
          <w:rFonts w:ascii="宋体" w:hAnsi="宋体"/>
          <w:color w:val="auto"/>
          <w:szCs w:val="21"/>
        </w:rPr>
      </w:pPr>
    </w:p>
    <w:p w14:paraId="541C0773">
      <w:pPr>
        <w:spacing w:line="360" w:lineRule="auto"/>
        <w:rPr>
          <w:rFonts w:ascii="宋体" w:hAnsi="宋体"/>
          <w:color w:val="auto"/>
          <w:szCs w:val="21"/>
        </w:rPr>
      </w:pPr>
    </w:p>
    <w:p w14:paraId="4FE19A52">
      <w:pPr>
        <w:spacing w:line="360" w:lineRule="auto"/>
        <w:ind w:firstLine="420" w:firstLineChars="200"/>
        <w:rPr>
          <w:rFonts w:ascii="宋体" w:hAnsi="宋体"/>
          <w:color w:val="auto"/>
          <w:szCs w:val="21"/>
        </w:rPr>
      </w:pPr>
      <w:r>
        <w:rPr>
          <w:rFonts w:hint="eastAsia" w:ascii="宋体" w:hAnsi="宋体"/>
          <w:color w:val="auto"/>
          <w:szCs w:val="21"/>
        </w:rPr>
        <w:t>担 保 人：</w:t>
      </w:r>
      <w:r>
        <w:rPr>
          <w:rFonts w:hint="eastAsia" w:ascii="宋体" w:hAnsi="宋体"/>
          <w:color w:val="auto"/>
          <w:szCs w:val="21"/>
          <w:u w:val="single"/>
        </w:rPr>
        <w:t xml:space="preserve">                           </w:t>
      </w:r>
      <w:r>
        <w:rPr>
          <w:rFonts w:hint="eastAsia" w:ascii="宋体" w:hAnsi="宋体"/>
          <w:color w:val="auto"/>
          <w:szCs w:val="21"/>
        </w:rPr>
        <w:t>（盖单位章）</w:t>
      </w:r>
    </w:p>
    <w:p w14:paraId="419B09FF">
      <w:pPr>
        <w:spacing w:line="360" w:lineRule="auto"/>
        <w:ind w:firstLine="420" w:firstLineChars="200"/>
        <w:rPr>
          <w:rFonts w:ascii="宋体" w:hAnsi="宋体"/>
          <w:color w:val="auto"/>
          <w:szCs w:val="21"/>
        </w:rPr>
      </w:pPr>
      <w:r>
        <w:rPr>
          <w:rFonts w:hint="eastAsia" w:ascii="宋体" w:hAnsi="宋体"/>
          <w:color w:val="auto"/>
          <w:szCs w:val="21"/>
        </w:rPr>
        <w:t>法定代表人或其委托代理人：</w:t>
      </w:r>
      <w:r>
        <w:rPr>
          <w:rFonts w:hint="eastAsia" w:ascii="宋体" w:hAnsi="宋体"/>
          <w:color w:val="auto"/>
          <w:szCs w:val="21"/>
          <w:u w:val="single"/>
        </w:rPr>
        <w:t xml:space="preserve">               </w:t>
      </w:r>
      <w:r>
        <w:rPr>
          <w:rFonts w:hint="eastAsia" w:ascii="宋体" w:hAnsi="宋体"/>
          <w:color w:val="auto"/>
          <w:szCs w:val="21"/>
        </w:rPr>
        <w:t>（签字）</w:t>
      </w:r>
    </w:p>
    <w:p w14:paraId="0937F6B8">
      <w:pPr>
        <w:spacing w:line="360" w:lineRule="auto"/>
        <w:ind w:firstLine="420" w:firstLineChars="200"/>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 xml:space="preserve">                                      </w:t>
      </w:r>
    </w:p>
    <w:p w14:paraId="4835DA5B">
      <w:pPr>
        <w:spacing w:line="360" w:lineRule="auto"/>
        <w:ind w:firstLine="420" w:firstLineChars="200"/>
        <w:rPr>
          <w:rFonts w:ascii="宋体" w:hAnsi="宋体"/>
          <w:color w:val="auto"/>
          <w:szCs w:val="21"/>
        </w:rPr>
      </w:pPr>
      <w:r>
        <w:rPr>
          <w:rFonts w:hint="eastAsia" w:ascii="宋体" w:hAnsi="宋体"/>
          <w:color w:val="auto"/>
          <w:szCs w:val="21"/>
        </w:rPr>
        <w:t>邮政编码：</w:t>
      </w:r>
      <w:r>
        <w:rPr>
          <w:rFonts w:hint="eastAsia" w:ascii="宋体" w:hAnsi="宋体"/>
          <w:color w:val="auto"/>
          <w:szCs w:val="21"/>
          <w:u w:val="single"/>
        </w:rPr>
        <w:t xml:space="preserve">                                      </w:t>
      </w:r>
    </w:p>
    <w:p w14:paraId="7D099CFB">
      <w:pPr>
        <w:spacing w:line="360" w:lineRule="auto"/>
        <w:ind w:firstLine="420" w:firstLineChars="200"/>
        <w:rPr>
          <w:rFonts w:ascii="宋体" w:hAnsi="宋体"/>
          <w:color w:val="auto"/>
          <w:szCs w:val="21"/>
          <w:u w:val="single"/>
        </w:rPr>
      </w:pPr>
      <w:r>
        <w:rPr>
          <w:rFonts w:hint="eastAsia" w:ascii="宋体" w:hAnsi="宋体"/>
          <w:color w:val="auto"/>
          <w:szCs w:val="21"/>
        </w:rPr>
        <w:t>电    话：</w:t>
      </w:r>
      <w:r>
        <w:rPr>
          <w:rFonts w:hint="eastAsia" w:ascii="宋体" w:hAnsi="宋体"/>
          <w:color w:val="auto"/>
          <w:szCs w:val="21"/>
          <w:u w:val="single"/>
        </w:rPr>
        <w:t xml:space="preserve">                                      </w:t>
      </w:r>
    </w:p>
    <w:p w14:paraId="46BBD70E">
      <w:pPr>
        <w:spacing w:line="360" w:lineRule="auto"/>
        <w:ind w:firstLine="420" w:firstLineChars="200"/>
        <w:rPr>
          <w:rFonts w:ascii="宋体" w:hAnsi="宋体"/>
          <w:color w:val="auto"/>
          <w:szCs w:val="21"/>
        </w:rPr>
      </w:pPr>
      <w:r>
        <w:rPr>
          <w:rFonts w:hint="eastAsia" w:ascii="宋体" w:hAnsi="宋体"/>
          <w:color w:val="auto"/>
          <w:szCs w:val="21"/>
        </w:rPr>
        <w:t>传    真：</w:t>
      </w:r>
      <w:r>
        <w:rPr>
          <w:rFonts w:hint="eastAsia" w:ascii="宋体" w:hAnsi="宋体"/>
          <w:color w:val="auto"/>
          <w:szCs w:val="21"/>
          <w:u w:val="single"/>
        </w:rPr>
        <w:t xml:space="preserve">                                      </w:t>
      </w:r>
    </w:p>
    <w:p w14:paraId="156BC3C4">
      <w:pPr>
        <w:spacing w:line="360" w:lineRule="auto"/>
        <w:ind w:right="840"/>
        <w:rPr>
          <w:rFonts w:ascii="宋体" w:hAnsi="宋体"/>
          <w:color w:val="auto"/>
          <w:szCs w:val="21"/>
          <w:u w:val="single"/>
        </w:rPr>
      </w:pPr>
    </w:p>
    <w:p w14:paraId="0E331B0F">
      <w:pPr>
        <w:spacing w:line="360" w:lineRule="auto"/>
        <w:ind w:firstLine="420" w:firstLineChars="200"/>
        <w:jc w:val="right"/>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191D8967">
      <w:pPr>
        <w:widowControl/>
        <w:spacing w:line="360" w:lineRule="auto"/>
        <w:jc w:val="left"/>
        <w:rPr>
          <w:rFonts w:ascii="宋体" w:hAnsi="宋体"/>
          <w:color w:val="auto"/>
          <w:szCs w:val="21"/>
        </w:rPr>
      </w:pPr>
      <w:r>
        <w:rPr>
          <w:rFonts w:ascii="宋体" w:hAnsi="宋体"/>
          <w:color w:val="auto"/>
          <w:szCs w:val="21"/>
        </w:rPr>
        <w:br w:type="page"/>
      </w:r>
    </w:p>
    <w:p w14:paraId="3D2A540B">
      <w:pPr>
        <w:spacing w:line="480" w:lineRule="auto"/>
        <w:rPr>
          <w:rFonts w:ascii="宋体" w:hAnsi="宋体"/>
          <w:color w:val="auto"/>
          <w:szCs w:val="21"/>
        </w:rPr>
      </w:pPr>
      <w:r>
        <w:rPr>
          <w:rFonts w:hint="eastAsia" w:ascii="宋体" w:hAnsi="宋体"/>
          <w:color w:val="auto"/>
          <w:szCs w:val="21"/>
        </w:rPr>
        <w:t>附</w:t>
      </w:r>
      <w:bookmarkStart w:id="2130" w:name="_Toc296503232"/>
      <w:bookmarkStart w:id="2131" w:name="_Toc296347231"/>
      <w:bookmarkStart w:id="2132" w:name="_Toc296891060"/>
      <w:bookmarkStart w:id="2133" w:name="_Toc296891272"/>
      <w:bookmarkStart w:id="2134" w:name="_Toc296944571"/>
      <w:bookmarkStart w:id="2135" w:name="_Toc296346733"/>
      <w:bookmarkStart w:id="2136" w:name="_Toc267261702"/>
      <w:r>
        <w:rPr>
          <w:rFonts w:hint="eastAsia" w:ascii="宋体" w:hAnsi="宋体"/>
          <w:color w:val="auto"/>
          <w:szCs w:val="21"/>
        </w:rPr>
        <w:t>件</w:t>
      </w:r>
      <w:r>
        <w:rPr>
          <w:rFonts w:ascii="宋体" w:hAnsi="宋体"/>
          <w:color w:val="auto"/>
          <w:szCs w:val="21"/>
        </w:rPr>
        <w:t>5</w:t>
      </w:r>
      <w:r>
        <w:rPr>
          <w:rFonts w:hint="eastAsia" w:ascii="宋体" w:hAnsi="宋体"/>
          <w:color w:val="auto"/>
          <w:szCs w:val="21"/>
        </w:rPr>
        <w:t>：</w:t>
      </w:r>
    </w:p>
    <w:bookmarkEnd w:id="2130"/>
    <w:bookmarkEnd w:id="2131"/>
    <w:bookmarkEnd w:id="2132"/>
    <w:bookmarkEnd w:id="2133"/>
    <w:bookmarkEnd w:id="2134"/>
    <w:bookmarkEnd w:id="2135"/>
    <w:bookmarkEnd w:id="2136"/>
    <w:p w14:paraId="1C42BCDA">
      <w:pPr>
        <w:spacing w:beforeLines="50" w:afterLines="50" w:line="480" w:lineRule="auto"/>
        <w:jc w:val="center"/>
        <w:rPr>
          <w:rFonts w:ascii="宋体" w:hAnsi="宋体"/>
          <w:color w:val="auto"/>
          <w:szCs w:val="21"/>
        </w:rPr>
      </w:pPr>
      <w:r>
        <w:rPr>
          <w:rFonts w:hint="eastAsia" w:ascii="宋体" w:hAnsi="宋体"/>
          <w:color w:val="auto"/>
          <w:szCs w:val="21"/>
        </w:rPr>
        <w:t>预付款担保（如有）</w:t>
      </w:r>
    </w:p>
    <w:p w14:paraId="58C578B0">
      <w:pPr>
        <w:spacing w:line="360" w:lineRule="auto"/>
        <w:ind w:firstLine="420" w:firstLineChars="200"/>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rPr>
        <w:t xml:space="preserve"> （发包人名称）：</w:t>
      </w:r>
    </w:p>
    <w:p w14:paraId="1BE209B8">
      <w:pPr>
        <w:spacing w:line="360" w:lineRule="auto"/>
        <w:ind w:firstLine="420" w:firstLineChars="200"/>
        <w:rPr>
          <w:rFonts w:ascii="宋体" w:hAnsi="宋体"/>
          <w:color w:val="auto"/>
          <w:szCs w:val="21"/>
        </w:rPr>
      </w:pPr>
      <w:r>
        <w:rPr>
          <w:rFonts w:hint="eastAsia" w:ascii="宋体" w:hAnsi="宋体"/>
          <w:color w:val="auto"/>
          <w:szCs w:val="21"/>
        </w:rPr>
        <w:t>根据</w:t>
      </w:r>
      <w:r>
        <w:rPr>
          <w:rFonts w:hint="eastAsia" w:ascii="宋体" w:hAnsi="宋体"/>
          <w:color w:val="auto"/>
          <w:szCs w:val="21"/>
          <w:u w:val="single"/>
        </w:rPr>
        <w:t xml:space="preserve">       </w:t>
      </w:r>
      <w:r>
        <w:rPr>
          <w:rFonts w:hint="eastAsia" w:ascii="宋体" w:hAnsi="宋体"/>
          <w:color w:val="auto"/>
          <w:szCs w:val="21"/>
        </w:rPr>
        <w:t>（承包人名称）（以下称“承包人”）与</w:t>
      </w:r>
      <w:r>
        <w:rPr>
          <w:rFonts w:hint="eastAsia" w:ascii="宋体" w:hAnsi="宋体"/>
          <w:color w:val="auto"/>
          <w:szCs w:val="21"/>
          <w:u w:val="single"/>
        </w:rPr>
        <w:t xml:space="preserve">         </w:t>
      </w:r>
      <w:r>
        <w:rPr>
          <w:rFonts w:hint="eastAsia" w:ascii="宋体" w:hAnsi="宋体"/>
          <w:color w:val="auto"/>
          <w:szCs w:val="21"/>
        </w:rPr>
        <w:t>（发包人名称）（以下简称“发包人”）于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日签订的</w:t>
      </w:r>
      <w:r>
        <w:rPr>
          <w:rFonts w:hint="eastAsia" w:ascii="宋体" w:hAnsi="宋体"/>
          <w:color w:val="auto"/>
          <w:szCs w:val="21"/>
          <w:u w:val="single"/>
        </w:rPr>
        <w:t xml:space="preserve">            </w:t>
      </w:r>
      <w:r>
        <w:rPr>
          <w:rFonts w:hint="eastAsia" w:ascii="宋体" w:hAnsi="宋体"/>
          <w:color w:val="auto"/>
          <w:szCs w:val="21"/>
        </w:rPr>
        <w:t>（工程名称）《建设工程施工合同》，承包人按约定的金额向你方提交一份预付款担保，即有权得到你方支付相等金额的预付款。我方愿意就你方提供给承包人的预付款为承包人提供连带责任担保。</w:t>
      </w:r>
    </w:p>
    <w:p w14:paraId="0910F05D">
      <w:pPr>
        <w:spacing w:line="360" w:lineRule="auto"/>
        <w:ind w:firstLine="420" w:firstLineChars="200"/>
        <w:rPr>
          <w:rFonts w:ascii="宋体" w:hAnsi="宋体"/>
          <w:color w:val="auto"/>
          <w:szCs w:val="21"/>
        </w:rPr>
      </w:pPr>
      <w:r>
        <w:rPr>
          <w:rFonts w:hint="eastAsia" w:ascii="宋体" w:hAnsi="宋体"/>
          <w:color w:val="auto"/>
          <w:szCs w:val="21"/>
        </w:rPr>
        <w:t>1. 担保金额人民币（大写）</w:t>
      </w:r>
      <w:r>
        <w:rPr>
          <w:rFonts w:hint="eastAsia" w:ascii="宋体" w:hAnsi="宋体"/>
          <w:color w:val="auto"/>
          <w:szCs w:val="21"/>
          <w:u w:val="single"/>
        </w:rPr>
        <w:t xml:space="preserve">        </w:t>
      </w:r>
      <w:r>
        <w:rPr>
          <w:rFonts w:hint="eastAsia" w:ascii="宋体" w:hAnsi="宋体"/>
          <w:color w:val="auto"/>
          <w:szCs w:val="21"/>
        </w:rPr>
        <w:t>元（¥</w:t>
      </w:r>
      <w:r>
        <w:rPr>
          <w:rFonts w:hint="eastAsia" w:ascii="宋体" w:hAnsi="宋体"/>
          <w:color w:val="auto"/>
          <w:szCs w:val="21"/>
          <w:u w:val="single"/>
        </w:rPr>
        <w:t xml:space="preserve">        </w:t>
      </w:r>
      <w:r>
        <w:rPr>
          <w:rFonts w:hint="eastAsia" w:ascii="宋体" w:hAnsi="宋体"/>
          <w:color w:val="auto"/>
          <w:szCs w:val="21"/>
        </w:rPr>
        <w:t>）。</w:t>
      </w:r>
    </w:p>
    <w:p w14:paraId="30DDF784">
      <w:pPr>
        <w:spacing w:line="360" w:lineRule="auto"/>
        <w:ind w:firstLine="420" w:firstLineChars="200"/>
        <w:rPr>
          <w:rFonts w:ascii="宋体" w:hAnsi="宋体"/>
          <w:color w:val="auto"/>
          <w:szCs w:val="21"/>
        </w:rPr>
      </w:pPr>
      <w:r>
        <w:rPr>
          <w:rFonts w:hint="eastAsia" w:ascii="宋体" w:hAnsi="宋体"/>
          <w:color w:val="auto"/>
          <w:szCs w:val="21"/>
        </w:rPr>
        <w:t>2. 担保有效期自预付款支付给承包人起生效，至你方签发的进度款支付证书说明已完全扣清止。</w:t>
      </w:r>
    </w:p>
    <w:p w14:paraId="3903C865">
      <w:pPr>
        <w:spacing w:line="360" w:lineRule="auto"/>
        <w:ind w:firstLine="420" w:firstLineChars="200"/>
        <w:rPr>
          <w:rFonts w:ascii="宋体" w:hAnsi="宋体"/>
          <w:color w:val="auto"/>
          <w:szCs w:val="21"/>
        </w:rPr>
      </w:pPr>
      <w:r>
        <w:rPr>
          <w:rFonts w:hint="eastAsia" w:ascii="宋体" w:hAnsi="宋体"/>
          <w:color w:val="auto"/>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3F51966B">
      <w:pPr>
        <w:spacing w:line="360" w:lineRule="auto"/>
        <w:ind w:firstLine="420" w:firstLineChars="200"/>
        <w:rPr>
          <w:rFonts w:ascii="宋体" w:hAnsi="宋体"/>
          <w:color w:val="auto"/>
          <w:szCs w:val="21"/>
        </w:rPr>
      </w:pPr>
      <w:r>
        <w:rPr>
          <w:rFonts w:hint="eastAsia" w:ascii="宋体" w:hAnsi="宋体"/>
          <w:color w:val="auto"/>
          <w:szCs w:val="21"/>
        </w:rPr>
        <w:t>4. 你方和承包人按合同约定变更合同时，我方承担本保函规定的义务不变。</w:t>
      </w:r>
    </w:p>
    <w:p w14:paraId="107E253D">
      <w:pPr>
        <w:spacing w:line="360" w:lineRule="auto"/>
        <w:ind w:firstLine="420" w:firstLineChars="200"/>
        <w:rPr>
          <w:rFonts w:ascii="宋体" w:hAnsi="宋体"/>
          <w:color w:val="auto"/>
          <w:szCs w:val="21"/>
        </w:rPr>
      </w:pPr>
      <w:r>
        <w:rPr>
          <w:rFonts w:hint="eastAsia" w:ascii="宋体" w:hAnsi="宋体"/>
          <w:color w:val="auto"/>
          <w:szCs w:val="21"/>
        </w:rPr>
        <w:t>5. 因本保函发生的纠纷，可由双方协商解决，协商不成的，按下列第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46AF476B">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3E4CAD08">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56BC09D8">
      <w:pPr>
        <w:spacing w:line="360" w:lineRule="auto"/>
        <w:ind w:firstLine="420" w:firstLineChars="200"/>
        <w:rPr>
          <w:rFonts w:ascii="宋体" w:hAnsi="宋体"/>
          <w:color w:val="auto"/>
          <w:szCs w:val="21"/>
        </w:rPr>
      </w:pPr>
      <w:r>
        <w:rPr>
          <w:rFonts w:hint="eastAsia" w:ascii="宋体" w:hAnsi="宋体"/>
          <w:color w:val="auto"/>
          <w:szCs w:val="21"/>
        </w:rPr>
        <w:t>6. 本保函自我方法定代表人（或其委托代理人）签字并加盖公章之日起生效。</w:t>
      </w:r>
    </w:p>
    <w:p w14:paraId="7CC80E6F">
      <w:pPr>
        <w:pStyle w:val="2"/>
        <w:spacing w:line="360" w:lineRule="auto"/>
        <w:ind w:firstLine="420" w:firstLineChars="200"/>
        <w:rPr>
          <w:rFonts w:ascii="宋体" w:hAnsi="宋体"/>
          <w:color w:val="auto"/>
          <w:szCs w:val="21"/>
        </w:rPr>
      </w:pPr>
    </w:p>
    <w:p w14:paraId="72C5837D">
      <w:pPr>
        <w:spacing w:line="360" w:lineRule="auto"/>
        <w:ind w:firstLine="420" w:firstLineChars="200"/>
        <w:rPr>
          <w:rFonts w:ascii="宋体" w:hAnsi="宋体"/>
          <w:color w:val="auto"/>
          <w:szCs w:val="21"/>
        </w:rPr>
      </w:pPr>
      <w:r>
        <w:rPr>
          <w:rFonts w:hint="eastAsia" w:ascii="宋体" w:hAnsi="宋体"/>
          <w:color w:val="auto"/>
          <w:szCs w:val="21"/>
        </w:rPr>
        <w:t>担保人：</w:t>
      </w:r>
      <w:r>
        <w:rPr>
          <w:rFonts w:hint="eastAsia" w:ascii="宋体" w:hAnsi="宋体"/>
          <w:color w:val="auto"/>
          <w:szCs w:val="21"/>
          <w:u w:val="single"/>
        </w:rPr>
        <w:t xml:space="preserve">                           </w:t>
      </w:r>
      <w:r>
        <w:rPr>
          <w:rFonts w:hint="eastAsia" w:ascii="宋体" w:hAnsi="宋体"/>
          <w:color w:val="auto"/>
          <w:szCs w:val="21"/>
        </w:rPr>
        <w:t>（盖单位章）</w:t>
      </w:r>
    </w:p>
    <w:p w14:paraId="380162B2">
      <w:pPr>
        <w:spacing w:line="360" w:lineRule="auto"/>
        <w:ind w:firstLine="420" w:firstLineChars="200"/>
        <w:rPr>
          <w:rFonts w:ascii="宋体" w:hAnsi="宋体"/>
          <w:color w:val="auto"/>
          <w:szCs w:val="21"/>
        </w:rPr>
      </w:pPr>
      <w:r>
        <w:rPr>
          <w:rFonts w:hint="eastAsia" w:ascii="宋体" w:hAnsi="宋体"/>
          <w:color w:val="auto"/>
          <w:szCs w:val="21"/>
        </w:rPr>
        <w:t>法定代表人或其委托代理人：</w:t>
      </w:r>
      <w:r>
        <w:rPr>
          <w:rFonts w:hint="eastAsia" w:ascii="宋体" w:hAnsi="宋体"/>
          <w:color w:val="auto"/>
          <w:szCs w:val="21"/>
          <w:u w:val="single"/>
        </w:rPr>
        <w:t xml:space="preserve">          </w:t>
      </w:r>
      <w:r>
        <w:rPr>
          <w:rFonts w:hint="eastAsia" w:ascii="宋体" w:hAnsi="宋体"/>
          <w:color w:val="auto"/>
          <w:szCs w:val="21"/>
        </w:rPr>
        <w:t>（签字）</w:t>
      </w:r>
    </w:p>
    <w:p w14:paraId="7FB0F67F">
      <w:pPr>
        <w:spacing w:line="360" w:lineRule="auto"/>
        <w:ind w:firstLine="420" w:firstLineChars="200"/>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6ABE97F4">
      <w:pPr>
        <w:spacing w:line="360" w:lineRule="auto"/>
        <w:ind w:firstLine="420" w:firstLineChars="200"/>
        <w:rPr>
          <w:rFonts w:ascii="宋体" w:hAnsi="宋体"/>
          <w:color w:val="auto"/>
          <w:szCs w:val="21"/>
          <w:u w:val="single"/>
        </w:rPr>
      </w:pPr>
      <w:r>
        <w:rPr>
          <w:rFonts w:hint="eastAsia" w:ascii="宋体" w:hAnsi="宋体"/>
          <w:color w:val="auto"/>
          <w:szCs w:val="21"/>
        </w:rPr>
        <w:t>邮政编码：</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6DD5CDB3">
      <w:pPr>
        <w:spacing w:line="360" w:lineRule="auto"/>
        <w:ind w:firstLine="420" w:firstLineChars="200"/>
        <w:rPr>
          <w:rFonts w:ascii="宋体" w:hAnsi="宋体"/>
          <w:color w:val="auto"/>
          <w:szCs w:val="21"/>
          <w:u w:val="single"/>
        </w:rPr>
      </w:pPr>
      <w:r>
        <w:rPr>
          <w:rFonts w:hint="eastAsia" w:ascii="宋体" w:hAnsi="宋体"/>
          <w:color w:val="auto"/>
          <w:szCs w:val="21"/>
        </w:rPr>
        <w:t>电    话：</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795E19A8">
      <w:pPr>
        <w:spacing w:line="360" w:lineRule="auto"/>
        <w:ind w:firstLine="420" w:firstLineChars="200"/>
        <w:rPr>
          <w:rFonts w:ascii="宋体" w:hAnsi="宋体"/>
          <w:color w:val="auto"/>
          <w:szCs w:val="21"/>
          <w:u w:val="single"/>
        </w:rPr>
      </w:pPr>
      <w:r>
        <w:rPr>
          <w:rFonts w:hint="eastAsia" w:ascii="宋体" w:hAnsi="宋体"/>
          <w:color w:val="auto"/>
          <w:szCs w:val="21"/>
        </w:rPr>
        <w:t>传    真：</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4D4065BC">
      <w:pPr>
        <w:spacing w:line="360" w:lineRule="auto"/>
        <w:ind w:firstLine="420" w:firstLineChars="200"/>
        <w:rPr>
          <w:rFonts w:ascii="宋体" w:hAnsi="宋体"/>
          <w:color w:val="auto"/>
          <w:szCs w:val="21"/>
          <w:u w:val="single"/>
        </w:rPr>
      </w:pPr>
    </w:p>
    <w:p w14:paraId="7E2D96BA">
      <w:pPr>
        <w:spacing w:line="360" w:lineRule="auto"/>
        <w:ind w:firstLine="420" w:firstLineChars="200"/>
        <w:jc w:val="right"/>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21809A6F">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w:t>
      </w:r>
      <w:bookmarkStart w:id="2137" w:name="_Toc296891273"/>
      <w:bookmarkStart w:id="2138" w:name="_Toc296944572"/>
      <w:bookmarkStart w:id="2139" w:name="_Toc296347232"/>
      <w:bookmarkStart w:id="2140" w:name="_Toc296891061"/>
      <w:bookmarkStart w:id="2141" w:name="_Toc296503233"/>
      <w:bookmarkStart w:id="2142" w:name="_Toc296346734"/>
      <w:r>
        <w:rPr>
          <w:rFonts w:hint="eastAsia" w:ascii="宋体" w:hAnsi="宋体"/>
          <w:color w:val="auto"/>
          <w:szCs w:val="21"/>
        </w:rPr>
        <w:t>件</w:t>
      </w:r>
      <w:r>
        <w:rPr>
          <w:rFonts w:ascii="宋体" w:hAnsi="宋体"/>
          <w:color w:val="auto"/>
          <w:szCs w:val="21"/>
        </w:rPr>
        <w:t>6</w:t>
      </w:r>
      <w:r>
        <w:rPr>
          <w:rFonts w:hint="eastAsia" w:ascii="宋体" w:hAnsi="宋体"/>
          <w:color w:val="auto"/>
          <w:szCs w:val="21"/>
        </w:rPr>
        <w:t>：</w:t>
      </w:r>
    </w:p>
    <w:bookmarkEnd w:id="2137"/>
    <w:bookmarkEnd w:id="2138"/>
    <w:bookmarkEnd w:id="2139"/>
    <w:bookmarkEnd w:id="2140"/>
    <w:bookmarkEnd w:id="2141"/>
    <w:bookmarkEnd w:id="2142"/>
    <w:p w14:paraId="73DEEFE2">
      <w:pPr>
        <w:spacing w:line="360" w:lineRule="auto"/>
        <w:ind w:firstLine="420" w:firstLineChars="200"/>
        <w:jc w:val="center"/>
        <w:rPr>
          <w:rFonts w:ascii="宋体" w:hAnsi="宋体"/>
          <w:color w:val="auto"/>
          <w:szCs w:val="21"/>
        </w:rPr>
      </w:pPr>
      <w:r>
        <w:rPr>
          <w:rFonts w:hint="eastAsia" w:ascii="宋体" w:hAnsi="宋体"/>
          <w:color w:val="auto"/>
          <w:szCs w:val="21"/>
        </w:rPr>
        <w:t>支付担保（如有）</w:t>
      </w:r>
    </w:p>
    <w:p w14:paraId="2EBC370F">
      <w:pPr>
        <w:spacing w:line="360" w:lineRule="auto"/>
        <w:ind w:firstLine="420" w:firstLineChars="200"/>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（承包人）：</w:t>
      </w:r>
    </w:p>
    <w:p w14:paraId="3244A6EC">
      <w:pPr>
        <w:spacing w:line="360" w:lineRule="auto"/>
        <w:ind w:firstLine="420" w:firstLineChars="200"/>
        <w:rPr>
          <w:rFonts w:ascii="宋体" w:hAnsi="宋体"/>
          <w:color w:val="auto"/>
          <w:szCs w:val="21"/>
        </w:rPr>
      </w:pPr>
      <w:r>
        <w:rPr>
          <w:rFonts w:hint="eastAsia" w:ascii="宋体" w:hAnsi="宋体"/>
          <w:color w:val="auto"/>
          <w:szCs w:val="21"/>
        </w:rPr>
        <w:t xml:space="preserve">鉴于你方作为承包人已经与 </w:t>
      </w:r>
      <w:r>
        <w:rPr>
          <w:rFonts w:hint="eastAsia" w:ascii="宋体" w:hAnsi="宋体"/>
          <w:color w:val="auto"/>
          <w:szCs w:val="21"/>
          <w:u w:val="single"/>
        </w:rPr>
        <w:t xml:space="preserve">            </w:t>
      </w:r>
      <w:r>
        <w:rPr>
          <w:rFonts w:hint="eastAsia" w:ascii="宋体" w:hAnsi="宋体"/>
          <w:color w:val="auto"/>
          <w:szCs w:val="21"/>
        </w:rPr>
        <w:t>（发包人名称）（以下称“发包人”）于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日签订了</w:t>
      </w:r>
      <w:r>
        <w:rPr>
          <w:rFonts w:hint="eastAsia" w:ascii="宋体" w:hAnsi="宋体"/>
          <w:color w:val="auto"/>
          <w:szCs w:val="21"/>
          <w:u w:val="single"/>
        </w:rPr>
        <w:t xml:space="preserve">             </w:t>
      </w:r>
      <w:r>
        <w:rPr>
          <w:rFonts w:hint="eastAsia" w:ascii="宋体" w:hAnsi="宋体"/>
          <w:color w:val="auto"/>
          <w:szCs w:val="21"/>
        </w:rPr>
        <w:t>（工程名称）《建设工程施工合同》（以下称“主合同”），应发包人的申请，我方愿就发包人履行主合同约定的工程款支付义务以保证的方式向你方提供如下担保：</w:t>
      </w:r>
    </w:p>
    <w:p w14:paraId="1369DD0F">
      <w:pPr>
        <w:spacing w:line="360" w:lineRule="auto"/>
        <w:ind w:firstLine="420" w:firstLineChars="200"/>
        <w:rPr>
          <w:rFonts w:ascii="宋体" w:hAnsi="宋体"/>
          <w:color w:val="auto"/>
          <w:szCs w:val="21"/>
        </w:rPr>
      </w:pPr>
      <w:bookmarkStart w:id="2143" w:name="_Toc532375692"/>
      <w:r>
        <w:rPr>
          <w:rFonts w:hint="eastAsia" w:ascii="宋体" w:hAnsi="宋体"/>
          <w:color w:val="auto"/>
          <w:szCs w:val="21"/>
        </w:rPr>
        <w:t>一、保证的范围及保证金额</w:t>
      </w:r>
      <w:bookmarkEnd w:id="2143"/>
    </w:p>
    <w:p w14:paraId="040EE2CD">
      <w:pPr>
        <w:spacing w:line="360" w:lineRule="auto"/>
        <w:ind w:firstLine="420" w:firstLineChars="200"/>
        <w:rPr>
          <w:rFonts w:ascii="宋体" w:hAnsi="宋体"/>
          <w:color w:val="auto"/>
          <w:szCs w:val="21"/>
        </w:rPr>
      </w:pPr>
      <w:r>
        <w:rPr>
          <w:rFonts w:hint="eastAsia" w:ascii="宋体" w:hAnsi="宋体"/>
          <w:color w:val="auto"/>
          <w:szCs w:val="21"/>
        </w:rPr>
        <w:t>1. 我方的保证范围是主合同约定的工程款。</w:t>
      </w:r>
    </w:p>
    <w:p w14:paraId="24B1E448">
      <w:pPr>
        <w:spacing w:line="360" w:lineRule="auto"/>
        <w:ind w:firstLine="420" w:firstLineChars="200"/>
        <w:rPr>
          <w:rFonts w:ascii="宋体" w:hAnsi="宋体"/>
          <w:color w:val="auto"/>
          <w:szCs w:val="21"/>
        </w:rPr>
      </w:pPr>
      <w:r>
        <w:rPr>
          <w:rFonts w:hint="eastAsia" w:ascii="宋体" w:hAnsi="宋体"/>
          <w:color w:val="auto"/>
          <w:szCs w:val="21"/>
        </w:rPr>
        <w:t>2. 本保函所称主合同约定的工程款是指主合同约定的除工程质量保证金以外的合同价款。</w:t>
      </w:r>
    </w:p>
    <w:p w14:paraId="1EF07102">
      <w:pPr>
        <w:spacing w:line="360" w:lineRule="auto"/>
        <w:ind w:firstLine="420" w:firstLineChars="200"/>
        <w:rPr>
          <w:rFonts w:ascii="宋体" w:hAnsi="宋体"/>
          <w:color w:val="auto"/>
          <w:szCs w:val="21"/>
        </w:rPr>
      </w:pPr>
      <w:r>
        <w:rPr>
          <w:rFonts w:hint="eastAsia" w:ascii="宋体" w:hAnsi="宋体"/>
          <w:color w:val="auto"/>
          <w:szCs w:val="21"/>
        </w:rPr>
        <w:t>3. 我方保证的金额是主合同约定的工程款的</w:t>
      </w:r>
      <w:r>
        <w:rPr>
          <w:rFonts w:hint="eastAsia" w:ascii="宋体" w:hAnsi="宋体"/>
          <w:color w:val="auto"/>
          <w:szCs w:val="21"/>
          <w:u w:val="single"/>
        </w:rPr>
        <w:t xml:space="preserve">      </w:t>
      </w:r>
      <w:r>
        <w:rPr>
          <w:rFonts w:hint="eastAsia" w:ascii="宋体" w:hAnsi="宋体"/>
          <w:color w:val="auto"/>
          <w:szCs w:val="21"/>
        </w:rPr>
        <w:t xml:space="preserve"> %，数额最高不超过人民币元（大写：</w:t>
      </w:r>
      <w:r>
        <w:rPr>
          <w:rFonts w:hint="eastAsia" w:ascii="宋体" w:hAnsi="宋体"/>
          <w:color w:val="auto"/>
          <w:szCs w:val="21"/>
          <w:u w:val="single"/>
        </w:rPr>
        <w:t xml:space="preserve">      </w:t>
      </w:r>
      <w:r>
        <w:rPr>
          <w:rFonts w:hint="eastAsia" w:ascii="宋体" w:hAnsi="宋体"/>
          <w:color w:val="auto"/>
          <w:szCs w:val="21"/>
        </w:rPr>
        <w:t>）。</w:t>
      </w:r>
    </w:p>
    <w:p w14:paraId="48FE39BF">
      <w:pPr>
        <w:spacing w:line="360" w:lineRule="auto"/>
        <w:ind w:firstLine="420" w:firstLineChars="200"/>
        <w:rPr>
          <w:rFonts w:ascii="宋体" w:hAnsi="宋体"/>
          <w:color w:val="auto"/>
          <w:szCs w:val="21"/>
        </w:rPr>
      </w:pPr>
      <w:bookmarkStart w:id="2144" w:name="_Toc532375693"/>
      <w:r>
        <w:rPr>
          <w:rFonts w:hint="eastAsia" w:ascii="宋体" w:hAnsi="宋体"/>
          <w:color w:val="auto"/>
          <w:szCs w:val="21"/>
        </w:rPr>
        <w:t>二、保证的方式及保证期间</w:t>
      </w:r>
      <w:bookmarkEnd w:id="2144"/>
    </w:p>
    <w:p w14:paraId="38EEDFAC">
      <w:pPr>
        <w:spacing w:line="360" w:lineRule="auto"/>
        <w:ind w:firstLine="420" w:firstLineChars="200"/>
        <w:rPr>
          <w:rFonts w:ascii="宋体" w:hAnsi="宋体"/>
          <w:color w:val="auto"/>
          <w:szCs w:val="21"/>
        </w:rPr>
      </w:pPr>
      <w:r>
        <w:rPr>
          <w:rFonts w:hint="eastAsia" w:ascii="宋体" w:hAnsi="宋体"/>
          <w:color w:val="auto"/>
          <w:szCs w:val="21"/>
        </w:rPr>
        <w:t>1. 我方保证的方式为：连带责任保证。</w:t>
      </w:r>
    </w:p>
    <w:p w14:paraId="4CB6B840">
      <w:pPr>
        <w:spacing w:line="360" w:lineRule="auto"/>
        <w:ind w:firstLine="420" w:firstLineChars="200"/>
        <w:rPr>
          <w:rFonts w:ascii="宋体" w:hAnsi="宋体"/>
          <w:color w:val="auto"/>
          <w:szCs w:val="21"/>
        </w:rPr>
      </w:pPr>
      <w:r>
        <w:rPr>
          <w:rFonts w:hint="eastAsia" w:ascii="宋体" w:hAnsi="宋体"/>
          <w:color w:val="auto"/>
          <w:szCs w:val="21"/>
        </w:rPr>
        <w:t>2. 我方保证的期间为：自合同生效之日起至主合同约定的工程款支付完毕之日后</w:t>
      </w:r>
      <w:r>
        <w:rPr>
          <w:rFonts w:hint="eastAsia" w:ascii="宋体" w:hAnsi="宋体"/>
          <w:color w:val="auto"/>
          <w:szCs w:val="21"/>
          <w:u w:val="single"/>
        </w:rPr>
        <w:t xml:space="preserve">    </w:t>
      </w:r>
      <w:r>
        <w:rPr>
          <w:rFonts w:hint="eastAsia" w:ascii="宋体" w:hAnsi="宋体"/>
          <w:color w:val="auto"/>
          <w:szCs w:val="21"/>
        </w:rPr>
        <w:t>日内。</w:t>
      </w:r>
    </w:p>
    <w:p w14:paraId="3191761F">
      <w:pPr>
        <w:spacing w:line="360" w:lineRule="auto"/>
        <w:ind w:firstLine="420" w:firstLineChars="200"/>
        <w:rPr>
          <w:rFonts w:ascii="宋体" w:hAnsi="宋体"/>
          <w:color w:val="auto"/>
          <w:szCs w:val="21"/>
        </w:rPr>
      </w:pPr>
      <w:r>
        <w:rPr>
          <w:rFonts w:hint="eastAsia" w:ascii="宋体" w:hAnsi="宋体"/>
          <w:color w:val="auto"/>
          <w:szCs w:val="21"/>
        </w:rPr>
        <w:t>3. 你方与发包人协议变更工程款支付日期的，经我方书面同意后，保证期间按照变更后的支付日期做相应调整。</w:t>
      </w:r>
    </w:p>
    <w:p w14:paraId="38FB34D9">
      <w:pPr>
        <w:spacing w:line="360" w:lineRule="auto"/>
        <w:ind w:firstLine="420" w:firstLineChars="200"/>
        <w:rPr>
          <w:rFonts w:ascii="宋体" w:hAnsi="宋体"/>
          <w:color w:val="auto"/>
          <w:szCs w:val="21"/>
        </w:rPr>
      </w:pPr>
      <w:bookmarkStart w:id="2145" w:name="_Toc532375694"/>
      <w:r>
        <w:rPr>
          <w:rFonts w:hint="eastAsia" w:ascii="宋体" w:hAnsi="宋体"/>
          <w:color w:val="auto"/>
          <w:szCs w:val="21"/>
        </w:rPr>
        <w:t>三、承担保证责任的形式</w:t>
      </w:r>
      <w:bookmarkEnd w:id="2145"/>
    </w:p>
    <w:p w14:paraId="109371AD">
      <w:pPr>
        <w:spacing w:line="360" w:lineRule="auto"/>
        <w:ind w:firstLine="420" w:firstLineChars="200"/>
        <w:rPr>
          <w:rFonts w:ascii="宋体" w:hAnsi="宋体"/>
          <w:color w:val="auto"/>
          <w:szCs w:val="21"/>
        </w:rPr>
      </w:pPr>
      <w:r>
        <w:rPr>
          <w:rFonts w:hint="eastAsia" w:ascii="宋体" w:hAnsi="宋体"/>
          <w:color w:val="auto"/>
          <w:szCs w:val="21"/>
        </w:rPr>
        <w:t>我方承担保证责任的形式是代为支付。发包人未按主合同约定向你方支付工程款的，由我方在保证金额内代为支付。</w:t>
      </w:r>
    </w:p>
    <w:p w14:paraId="3CE9EF24">
      <w:pPr>
        <w:spacing w:line="360" w:lineRule="auto"/>
        <w:ind w:firstLine="420" w:firstLineChars="200"/>
        <w:rPr>
          <w:rFonts w:ascii="宋体" w:hAnsi="宋体"/>
          <w:color w:val="auto"/>
          <w:szCs w:val="21"/>
        </w:rPr>
      </w:pPr>
      <w:bookmarkStart w:id="2146" w:name="_Toc532375695"/>
      <w:r>
        <w:rPr>
          <w:rFonts w:hint="eastAsia" w:ascii="宋体" w:hAnsi="宋体"/>
          <w:color w:val="auto"/>
          <w:szCs w:val="21"/>
        </w:rPr>
        <w:t>四、代偿的安排</w:t>
      </w:r>
      <w:bookmarkEnd w:id="2146"/>
    </w:p>
    <w:p w14:paraId="1F925030">
      <w:pPr>
        <w:spacing w:line="360" w:lineRule="auto"/>
        <w:ind w:firstLine="420" w:firstLineChars="200"/>
        <w:rPr>
          <w:rFonts w:ascii="宋体" w:hAnsi="宋体"/>
          <w:color w:val="auto"/>
          <w:szCs w:val="21"/>
        </w:rPr>
      </w:pPr>
      <w:r>
        <w:rPr>
          <w:rFonts w:hint="eastAsia" w:ascii="宋体" w:hAnsi="宋体"/>
          <w:color w:val="auto"/>
          <w:szCs w:val="21"/>
        </w:rPr>
        <w:t>1. 你方要求我方承担保证责任的，应向我方发出书面索赔通知及发包人未支付主合同约定工程款的证明材料。索赔通知应写明要求索赔的金额，支付款项应到达的账号。</w:t>
      </w:r>
    </w:p>
    <w:p w14:paraId="7AE48FA2">
      <w:pPr>
        <w:spacing w:line="360" w:lineRule="auto"/>
        <w:ind w:firstLine="420" w:firstLineChars="200"/>
        <w:rPr>
          <w:rFonts w:ascii="宋体" w:hAnsi="宋体"/>
          <w:color w:val="auto"/>
          <w:szCs w:val="21"/>
        </w:rPr>
      </w:pPr>
      <w:r>
        <w:rPr>
          <w:rFonts w:hint="eastAsia" w:ascii="宋体" w:hAnsi="宋体"/>
          <w:color w:val="auto"/>
          <w:szCs w:val="21"/>
        </w:rPr>
        <w:t>2. 在出现你方与发包人因工程质量发生争议，发包人拒绝向你方支付工程款的情形时，你方要求我方履行保证责任代为支付的，需提供符合相应条件要求的工程质量检测机构出具的质量说明材料。</w:t>
      </w:r>
    </w:p>
    <w:p w14:paraId="73106859">
      <w:pPr>
        <w:spacing w:line="360" w:lineRule="auto"/>
        <w:ind w:firstLine="420" w:firstLineChars="200"/>
        <w:rPr>
          <w:rFonts w:ascii="宋体" w:hAnsi="宋体"/>
          <w:color w:val="auto"/>
          <w:szCs w:val="21"/>
        </w:rPr>
      </w:pPr>
      <w:r>
        <w:rPr>
          <w:rFonts w:hint="eastAsia" w:ascii="宋体" w:hAnsi="宋体"/>
          <w:color w:val="auto"/>
          <w:szCs w:val="21"/>
        </w:rPr>
        <w:t>3. 我方收到你方的书面索赔通知及相应的证明材料后７天内无条件支付。</w:t>
      </w:r>
    </w:p>
    <w:p w14:paraId="0F439800">
      <w:pPr>
        <w:spacing w:line="360" w:lineRule="auto"/>
        <w:ind w:firstLine="420" w:firstLineChars="200"/>
        <w:rPr>
          <w:rFonts w:ascii="宋体" w:hAnsi="宋体"/>
          <w:color w:val="auto"/>
          <w:szCs w:val="21"/>
        </w:rPr>
      </w:pPr>
      <w:bookmarkStart w:id="2147" w:name="_Toc532375696"/>
      <w:r>
        <w:rPr>
          <w:rFonts w:hint="eastAsia" w:ascii="宋体" w:hAnsi="宋体"/>
          <w:color w:val="auto"/>
          <w:szCs w:val="21"/>
        </w:rPr>
        <w:t>五、保证责任的解除</w:t>
      </w:r>
      <w:bookmarkEnd w:id="2147"/>
    </w:p>
    <w:p w14:paraId="76BB0307">
      <w:pPr>
        <w:spacing w:line="360" w:lineRule="auto"/>
        <w:ind w:firstLine="420" w:firstLineChars="200"/>
        <w:rPr>
          <w:rFonts w:ascii="宋体" w:hAnsi="宋体"/>
          <w:color w:val="auto"/>
          <w:szCs w:val="21"/>
        </w:rPr>
      </w:pPr>
      <w:r>
        <w:rPr>
          <w:rFonts w:hint="eastAsia" w:ascii="宋体" w:hAnsi="宋体"/>
          <w:color w:val="auto"/>
          <w:szCs w:val="21"/>
        </w:rPr>
        <w:t>1. 在本保函承诺的保证期间内，你方未书面向我方主张保证责任的，自保证期间届满次日起，我方保证责任解除。</w:t>
      </w:r>
    </w:p>
    <w:p w14:paraId="016FA58E">
      <w:pPr>
        <w:spacing w:line="360" w:lineRule="auto"/>
        <w:ind w:firstLine="420" w:firstLineChars="200"/>
        <w:rPr>
          <w:rFonts w:ascii="宋体" w:hAnsi="宋体"/>
          <w:color w:val="auto"/>
          <w:szCs w:val="21"/>
        </w:rPr>
      </w:pPr>
      <w:r>
        <w:rPr>
          <w:rFonts w:hint="eastAsia" w:ascii="宋体" w:hAnsi="宋体"/>
          <w:color w:val="auto"/>
          <w:szCs w:val="21"/>
        </w:rPr>
        <w:t>2. 发包人按主合同约定履行了工程款的全部支付义务的，自本保函承诺的保证期间届满次日起，我方保证责任解除。</w:t>
      </w:r>
    </w:p>
    <w:p w14:paraId="4F541199">
      <w:pPr>
        <w:spacing w:line="360" w:lineRule="auto"/>
        <w:ind w:firstLine="420" w:firstLineChars="200"/>
        <w:rPr>
          <w:rFonts w:ascii="宋体" w:hAnsi="宋体"/>
          <w:color w:val="auto"/>
          <w:szCs w:val="21"/>
        </w:rPr>
      </w:pPr>
      <w:r>
        <w:rPr>
          <w:rFonts w:hint="eastAsia" w:ascii="宋体" w:hAnsi="宋体"/>
          <w:color w:val="auto"/>
          <w:szCs w:val="21"/>
        </w:rPr>
        <w:t>3. 我方按照本保函向你方履行保证责任所支付金额达到本保函保证金额时，自我方向你方支付（支付款项从我方账户划出）之日起，保证责任即解除。</w:t>
      </w:r>
    </w:p>
    <w:p w14:paraId="72FE2337">
      <w:pPr>
        <w:spacing w:line="360" w:lineRule="auto"/>
        <w:ind w:firstLine="420" w:firstLineChars="200"/>
        <w:rPr>
          <w:rFonts w:ascii="宋体" w:hAnsi="宋体"/>
          <w:color w:val="auto"/>
          <w:szCs w:val="21"/>
        </w:rPr>
      </w:pPr>
      <w:r>
        <w:rPr>
          <w:rFonts w:hint="eastAsia" w:ascii="宋体" w:hAnsi="宋体"/>
          <w:color w:val="auto"/>
          <w:szCs w:val="21"/>
        </w:rPr>
        <w:t>4. 按照法律法规的规定或出现应解除我方保证责任的其他情形的，我方在本保函项下的保证责任亦解除。</w:t>
      </w:r>
    </w:p>
    <w:p w14:paraId="4987AB1C">
      <w:pPr>
        <w:spacing w:line="360" w:lineRule="auto"/>
        <w:ind w:firstLine="420" w:firstLineChars="200"/>
        <w:rPr>
          <w:rFonts w:ascii="宋体" w:hAnsi="宋体"/>
          <w:color w:val="auto"/>
          <w:szCs w:val="21"/>
        </w:rPr>
      </w:pPr>
      <w:r>
        <w:rPr>
          <w:rFonts w:hint="eastAsia" w:ascii="宋体" w:hAnsi="宋体"/>
          <w:color w:val="auto"/>
          <w:szCs w:val="21"/>
        </w:rPr>
        <w:t>5. 我方解除保证责任后，你方应自我方保证责任解除之日起  个工作日内，将本保函原件返还我方。</w:t>
      </w:r>
    </w:p>
    <w:p w14:paraId="666B34F5">
      <w:pPr>
        <w:spacing w:line="360" w:lineRule="auto"/>
        <w:ind w:firstLine="420" w:firstLineChars="200"/>
        <w:rPr>
          <w:rFonts w:ascii="宋体" w:hAnsi="宋体"/>
          <w:color w:val="auto"/>
          <w:szCs w:val="21"/>
        </w:rPr>
      </w:pPr>
      <w:bookmarkStart w:id="2148" w:name="_Toc532375697"/>
      <w:r>
        <w:rPr>
          <w:rFonts w:hint="eastAsia" w:ascii="宋体" w:hAnsi="宋体"/>
          <w:color w:val="auto"/>
          <w:szCs w:val="21"/>
        </w:rPr>
        <w:t>六、免责条款</w:t>
      </w:r>
      <w:bookmarkEnd w:id="2148"/>
    </w:p>
    <w:p w14:paraId="16DB3D90">
      <w:pPr>
        <w:spacing w:line="360" w:lineRule="auto"/>
        <w:ind w:firstLine="420" w:firstLineChars="200"/>
        <w:rPr>
          <w:rFonts w:ascii="宋体" w:hAnsi="宋体"/>
          <w:color w:val="auto"/>
          <w:szCs w:val="21"/>
        </w:rPr>
      </w:pPr>
      <w:r>
        <w:rPr>
          <w:rFonts w:hint="eastAsia" w:ascii="宋体" w:hAnsi="宋体"/>
          <w:color w:val="auto"/>
          <w:szCs w:val="21"/>
        </w:rPr>
        <w:t>1. 因你方违约致使发包人不能履行义务的，我方不承担保证责任。</w:t>
      </w:r>
    </w:p>
    <w:p w14:paraId="59983ED2">
      <w:pPr>
        <w:spacing w:line="360" w:lineRule="auto"/>
        <w:ind w:firstLine="420" w:firstLineChars="200"/>
        <w:rPr>
          <w:rFonts w:ascii="宋体" w:hAnsi="宋体"/>
          <w:color w:val="auto"/>
          <w:szCs w:val="21"/>
        </w:rPr>
      </w:pPr>
      <w:r>
        <w:rPr>
          <w:rFonts w:hint="eastAsia" w:ascii="宋体" w:hAnsi="宋体"/>
          <w:color w:val="auto"/>
          <w:szCs w:val="21"/>
        </w:rPr>
        <w:t>2. 依照法律法规的规定或你方与发包人的另行约定，免除发包人部分或全部义务的，我方亦免除其相应的保证责任。</w:t>
      </w:r>
    </w:p>
    <w:p w14:paraId="5FC29FE8">
      <w:pPr>
        <w:spacing w:line="360" w:lineRule="auto"/>
        <w:ind w:firstLine="420" w:firstLineChars="200"/>
        <w:rPr>
          <w:rFonts w:ascii="宋体" w:hAnsi="宋体"/>
          <w:color w:val="auto"/>
          <w:szCs w:val="21"/>
        </w:rPr>
      </w:pPr>
      <w:r>
        <w:rPr>
          <w:rFonts w:hint="eastAsia" w:ascii="宋体" w:hAnsi="宋体"/>
          <w:color w:val="auto"/>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14:paraId="71881095">
      <w:pPr>
        <w:spacing w:line="360" w:lineRule="auto"/>
        <w:ind w:firstLine="420" w:firstLineChars="200"/>
        <w:rPr>
          <w:rFonts w:ascii="宋体" w:hAnsi="宋体"/>
          <w:color w:val="auto"/>
          <w:szCs w:val="21"/>
        </w:rPr>
      </w:pPr>
      <w:r>
        <w:rPr>
          <w:rFonts w:hint="eastAsia" w:ascii="宋体" w:hAnsi="宋体"/>
          <w:color w:val="auto"/>
          <w:szCs w:val="21"/>
        </w:rPr>
        <w:t>4. 因不可抗力造成发包人不能履行义务的，我方不承担保证责任。</w:t>
      </w:r>
    </w:p>
    <w:p w14:paraId="373E40F1">
      <w:pPr>
        <w:spacing w:line="360" w:lineRule="auto"/>
        <w:ind w:firstLine="420" w:firstLineChars="200"/>
        <w:rPr>
          <w:rFonts w:ascii="宋体" w:hAnsi="宋体"/>
          <w:color w:val="auto"/>
          <w:szCs w:val="21"/>
        </w:rPr>
      </w:pPr>
      <w:bookmarkStart w:id="2149" w:name="_Toc532375698"/>
      <w:r>
        <w:rPr>
          <w:rFonts w:hint="eastAsia" w:ascii="宋体" w:hAnsi="宋体"/>
          <w:color w:val="auto"/>
          <w:szCs w:val="21"/>
        </w:rPr>
        <w:t>七、争议解决</w:t>
      </w:r>
      <w:bookmarkEnd w:id="2149"/>
    </w:p>
    <w:p w14:paraId="3B11F583">
      <w:pPr>
        <w:spacing w:line="360" w:lineRule="auto"/>
        <w:ind w:firstLine="420" w:firstLineChars="200"/>
        <w:rPr>
          <w:rFonts w:ascii="宋体" w:hAnsi="宋体"/>
          <w:color w:val="auto"/>
          <w:szCs w:val="21"/>
        </w:rPr>
      </w:pPr>
      <w:r>
        <w:rPr>
          <w:rFonts w:hint="eastAsia" w:ascii="宋体" w:hAnsi="宋体"/>
          <w:color w:val="auto"/>
          <w:szCs w:val="21"/>
        </w:rPr>
        <w:t>因本保函或本保函相关事项发生的纠纷，可由双方协商解决，协商不成的，按下列第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495DDAE9">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4BEAD1D6">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248FD3DD">
      <w:pPr>
        <w:spacing w:line="360" w:lineRule="auto"/>
        <w:ind w:firstLine="420" w:firstLineChars="200"/>
        <w:rPr>
          <w:rFonts w:ascii="宋体" w:hAnsi="宋体"/>
          <w:color w:val="auto"/>
          <w:szCs w:val="21"/>
        </w:rPr>
      </w:pPr>
      <w:bookmarkStart w:id="2150" w:name="_Toc532375699"/>
      <w:r>
        <w:rPr>
          <w:rFonts w:hint="eastAsia" w:ascii="宋体" w:hAnsi="宋体"/>
          <w:color w:val="auto"/>
          <w:szCs w:val="21"/>
        </w:rPr>
        <w:t>八、保函的生效</w:t>
      </w:r>
      <w:bookmarkEnd w:id="2150"/>
    </w:p>
    <w:p w14:paraId="783A220C">
      <w:pPr>
        <w:spacing w:line="360" w:lineRule="auto"/>
        <w:ind w:firstLine="420" w:firstLineChars="200"/>
        <w:rPr>
          <w:rFonts w:ascii="宋体" w:hAnsi="宋体"/>
          <w:color w:val="auto"/>
          <w:szCs w:val="21"/>
        </w:rPr>
      </w:pPr>
      <w:r>
        <w:rPr>
          <w:rFonts w:hint="eastAsia" w:ascii="宋体" w:hAnsi="宋体"/>
          <w:color w:val="auto"/>
          <w:szCs w:val="21"/>
        </w:rPr>
        <w:t>本保函自我方法定代表人（或其委托代理人）签字并加盖公章之日起生效。</w:t>
      </w:r>
    </w:p>
    <w:p w14:paraId="07545DF9">
      <w:pPr>
        <w:spacing w:line="360" w:lineRule="auto"/>
        <w:ind w:firstLine="420" w:firstLineChars="200"/>
        <w:jc w:val="left"/>
        <w:rPr>
          <w:rFonts w:ascii="宋体" w:hAnsi="宋体"/>
          <w:color w:val="auto"/>
          <w:szCs w:val="21"/>
        </w:rPr>
      </w:pPr>
    </w:p>
    <w:p w14:paraId="14D08BA3">
      <w:pPr>
        <w:spacing w:line="360" w:lineRule="auto"/>
        <w:ind w:firstLine="420" w:firstLineChars="200"/>
        <w:jc w:val="left"/>
        <w:rPr>
          <w:rFonts w:ascii="宋体" w:hAnsi="宋体"/>
          <w:color w:val="auto"/>
          <w:szCs w:val="21"/>
        </w:rPr>
      </w:pPr>
    </w:p>
    <w:p w14:paraId="122529F4">
      <w:pPr>
        <w:spacing w:line="360" w:lineRule="auto"/>
        <w:ind w:firstLine="420" w:firstLineChars="200"/>
        <w:jc w:val="left"/>
        <w:rPr>
          <w:rFonts w:ascii="宋体" w:hAnsi="宋体"/>
          <w:color w:val="auto"/>
          <w:szCs w:val="21"/>
        </w:rPr>
      </w:pPr>
      <w:r>
        <w:rPr>
          <w:rFonts w:hint="eastAsia" w:ascii="宋体" w:hAnsi="宋体"/>
          <w:color w:val="auto"/>
          <w:szCs w:val="21"/>
        </w:rPr>
        <w:t>担保人：</w:t>
      </w:r>
      <w:r>
        <w:rPr>
          <w:rFonts w:hint="eastAsia" w:ascii="宋体" w:hAnsi="宋体"/>
          <w:color w:val="auto"/>
          <w:szCs w:val="21"/>
          <w:u w:val="single"/>
        </w:rPr>
        <w:t xml:space="preserve">                                   </w:t>
      </w:r>
      <w:r>
        <w:rPr>
          <w:rFonts w:hint="eastAsia" w:ascii="宋体" w:hAnsi="宋体"/>
          <w:color w:val="auto"/>
          <w:szCs w:val="21"/>
        </w:rPr>
        <w:t>（盖章）</w:t>
      </w:r>
    </w:p>
    <w:p w14:paraId="0BAA6A1B">
      <w:pPr>
        <w:spacing w:line="360" w:lineRule="auto"/>
        <w:ind w:firstLine="420" w:firstLineChars="200"/>
        <w:rPr>
          <w:rFonts w:ascii="宋体" w:hAnsi="宋体"/>
          <w:color w:val="auto"/>
          <w:szCs w:val="21"/>
        </w:rPr>
      </w:pPr>
      <w:r>
        <w:rPr>
          <w:rFonts w:hint="eastAsia" w:ascii="宋体" w:hAnsi="宋体"/>
          <w:color w:val="auto"/>
          <w:szCs w:val="21"/>
        </w:rPr>
        <w:t>法定代表人或委托代理人：</w:t>
      </w:r>
      <w:r>
        <w:rPr>
          <w:rFonts w:hint="eastAsia" w:ascii="宋体" w:hAnsi="宋体"/>
          <w:color w:val="auto"/>
          <w:szCs w:val="21"/>
          <w:u w:val="single"/>
        </w:rPr>
        <w:t xml:space="preserve">                   </w:t>
      </w:r>
      <w:r>
        <w:rPr>
          <w:rFonts w:hint="eastAsia" w:ascii="宋体" w:hAnsi="宋体"/>
          <w:color w:val="auto"/>
          <w:szCs w:val="21"/>
        </w:rPr>
        <w:t>（签字）</w:t>
      </w:r>
    </w:p>
    <w:p w14:paraId="09FE5AB8">
      <w:pPr>
        <w:spacing w:line="360" w:lineRule="auto"/>
        <w:ind w:firstLine="420" w:firstLineChars="200"/>
        <w:jc w:val="left"/>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 xml:space="preserve">                                        </w:t>
      </w:r>
    </w:p>
    <w:p w14:paraId="0B3F8CD2">
      <w:pPr>
        <w:spacing w:line="360" w:lineRule="auto"/>
        <w:ind w:firstLine="420" w:firstLineChars="200"/>
        <w:jc w:val="left"/>
        <w:rPr>
          <w:rFonts w:ascii="宋体" w:hAnsi="宋体"/>
          <w:color w:val="auto"/>
          <w:szCs w:val="21"/>
        </w:rPr>
      </w:pPr>
      <w:r>
        <w:rPr>
          <w:rFonts w:hint="eastAsia" w:ascii="宋体" w:hAnsi="宋体"/>
          <w:color w:val="auto"/>
          <w:szCs w:val="21"/>
        </w:rPr>
        <w:t>邮政编码：</w:t>
      </w:r>
      <w:r>
        <w:rPr>
          <w:rFonts w:hint="eastAsia" w:ascii="宋体" w:hAnsi="宋体"/>
          <w:color w:val="auto"/>
          <w:szCs w:val="21"/>
          <w:u w:val="single"/>
        </w:rPr>
        <w:t xml:space="preserve">                                        </w:t>
      </w:r>
    </w:p>
    <w:p w14:paraId="733ACB56">
      <w:pPr>
        <w:spacing w:line="360" w:lineRule="auto"/>
        <w:ind w:firstLine="420" w:firstLineChars="200"/>
        <w:jc w:val="left"/>
        <w:rPr>
          <w:rFonts w:ascii="宋体" w:hAnsi="宋体"/>
          <w:color w:val="auto"/>
          <w:szCs w:val="21"/>
        </w:rPr>
      </w:pPr>
      <w:r>
        <w:rPr>
          <w:rFonts w:hint="eastAsia" w:ascii="宋体" w:hAnsi="宋体"/>
          <w:color w:val="auto"/>
          <w:szCs w:val="21"/>
        </w:rPr>
        <w:t>传    真：</w:t>
      </w:r>
      <w:r>
        <w:rPr>
          <w:rFonts w:hint="eastAsia" w:ascii="宋体" w:hAnsi="宋体"/>
          <w:color w:val="auto"/>
          <w:szCs w:val="21"/>
          <w:u w:val="single"/>
        </w:rPr>
        <w:t xml:space="preserve">                                        </w:t>
      </w:r>
    </w:p>
    <w:p w14:paraId="16D9462E">
      <w:pPr>
        <w:spacing w:line="360" w:lineRule="auto"/>
        <w:ind w:firstLine="420" w:firstLineChars="200"/>
        <w:rPr>
          <w:rFonts w:ascii="宋体" w:hAnsi="宋体"/>
          <w:color w:val="auto"/>
          <w:szCs w:val="21"/>
        </w:rPr>
      </w:pPr>
      <w:r>
        <w:rPr>
          <w:rFonts w:hint="eastAsia" w:ascii="宋体" w:hAnsi="宋体"/>
          <w:color w:val="auto"/>
          <w:szCs w:val="21"/>
        </w:rPr>
        <w:t xml:space="preserve">           </w:t>
      </w:r>
    </w:p>
    <w:p w14:paraId="75A22256">
      <w:pPr>
        <w:spacing w:line="360" w:lineRule="auto"/>
        <w:ind w:firstLine="420" w:firstLineChars="200"/>
        <w:jc w:val="left"/>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r>
        <w:rPr>
          <w:rFonts w:hint="eastAsia" w:ascii="宋体" w:hAnsi="宋体"/>
          <w:color w:val="auto"/>
          <w:szCs w:val="21"/>
        </w:rPr>
        <w:br w:type="page"/>
      </w:r>
    </w:p>
    <w:p w14:paraId="597A091E">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7</w:t>
      </w:r>
      <w:r>
        <w:rPr>
          <w:rFonts w:hint="eastAsia" w:ascii="宋体" w:hAnsi="宋体"/>
          <w:color w:val="auto"/>
          <w:szCs w:val="21"/>
        </w:rPr>
        <w:t>：</w:t>
      </w:r>
    </w:p>
    <w:p w14:paraId="3AC75F4E">
      <w:pPr>
        <w:spacing w:beforeLines="50" w:afterLines="50" w:line="480" w:lineRule="auto"/>
        <w:jc w:val="center"/>
        <w:rPr>
          <w:rFonts w:ascii="宋体" w:hAnsi="宋体"/>
          <w:color w:val="auto"/>
          <w:szCs w:val="21"/>
        </w:rPr>
      </w:pPr>
      <w:r>
        <w:rPr>
          <w:rFonts w:hint="eastAsia" w:ascii="宋体" w:hAnsi="宋体"/>
          <w:color w:val="auto"/>
          <w:szCs w:val="21"/>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6CEC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BFA21CB">
            <w:pPr>
              <w:spacing w:line="400" w:lineRule="exact"/>
              <w:jc w:val="center"/>
              <w:rPr>
                <w:rFonts w:ascii="宋体" w:hAnsi="宋体"/>
                <w:color w:val="auto"/>
                <w:szCs w:val="21"/>
              </w:rPr>
            </w:pPr>
            <w:r>
              <w:rPr>
                <w:rFonts w:hint="eastAsia" w:ascii="宋体" w:hAnsi="宋体"/>
                <w:color w:val="auto"/>
                <w:szCs w:val="21"/>
              </w:rPr>
              <w:t>序号</w:t>
            </w:r>
          </w:p>
        </w:tc>
        <w:tc>
          <w:tcPr>
            <w:tcW w:w="1984" w:type="dxa"/>
          </w:tcPr>
          <w:p w14:paraId="028E67CC">
            <w:pPr>
              <w:spacing w:line="400" w:lineRule="exact"/>
              <w:jc w:val="center"/>
              <w:rPr>
                <w:rFonts w:ascii="宋体" w:hAnsi="宋体"/>
                <w:color w:val="auto"/>
                <w:szCs w:val="21"/>
              </w:rPr>
            </w:pPr>
            <w:r>
              <w:rPr>
                <w:rFonts w:hint="eastAsia" w:ascii="宋体" w:hAnsi="宋体"/>
                <w:color w:val="auto"/>
                <w:szCs w:val="21"/>
              </w:rPr>
              <w:t>专业工程名称</w:t>
            </w:r>
          </w:p>
        </w:tc>
        <w:tc>
          <w:tcPr>
            <w:tcW w:w="5103" w:type="dxa"/>
          </w:tcPr>
          <w:p w14:paraId="5FC91F34">
            <w:pPr>
              <w:spacing w:line="400" w:lineRule="exact"/>
              <w:jc w:val="center"/>
              <w:rPr>
                <w:rFonts w:ascii="宋体" w:hAnsi="宋体"/>
                <w:color w:val="auto"/>
                <w:szCs w:val="21"/>
              </w:rPr>
            </w:pPr>
            <w:r>
              <w:rPr>
                <w:rFonts w:hint="eastAsia" w:ascii="宋体" w:hAnsi="宋体"/>
                <w:color w:val="auto"/>
                <w:szCs w:val="21"/>
              </w:rPr>
              <w:t>工程内容</w:t>
            </w:r>
          </w:p>
        </w:tc>
        <w:tc>
          <w:tcPr>
            <w:tcW w:w="1560" w:type="dxa"/>
          </w:tcPr>
          <w:p w14:paraId="61C8DFA7">
            <w:pPr>
              <w:spacing w:line="400" w:lineRule="exact"/>
              <w:jc w:val="center"/>
              <w:rPr>
                <w:rFonts w:ascii="宋体" w:hAnsi="宋体"/>
                <w:color w:val="auto"/>
                <w:szCs w:val="21"/>
              </w:rPr>
            </w:pPr>
            <w:r>
              <w:rPr>
                <w:rFonts w:hint="eastAsia" w:ascii="宋体" w:hAnsi="宋体"/>
                <w:color w:val="auto"/>
                <w:szCs w:val="21"/>
              </w:rPr>
              <w:t>金额</w:t>
            </w:r>
          </w:p>
        </w:tc>
      </w:tr>
      <w:tr w14:paraId="5E31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C37D040">
            <w:pPr>
              <w:spacing w:line="400" w:lineRule="exact"/>
              <w:ind w:firstLine="420" w:firstLineChars="200"/>
              <w:rPr>
                <w:rFonts w:ascii="宋体" w:hAnsi="宋体"/>
                <w:color w:val="auto"/>
                <w:szCs w:val="21"/>
              </w:rPr>
            </w:pPr>
          </w:p>
        </w:tc>
        <w:tc>
          <w:tcPr>
            <w:tcW w:w="1984" w:type="dxa"/>
          </w:tcPr>
          <w:p w14:paraId="4B98E99A">
            <w:pPr>
              <w:spacing w:line="400" w:lineRule="exact"/>
              <w:ind w:firstLine="420" w:firstLineChars="200"/>
              <w:rPr>
                <w:rFonts w:ascii="宋体" w:hAnsi="宋体"/>
                <w:color w:val="auto"/>
                <w:szCs w:val="21"/>
              </w:rPr>
            </w:pPr>
          </w:p>
        </w:tc>
        <w:tc>
          <w:tcPr>
            <w:tcW w:w="5103" w:type="dxa"/>
          </w:tcPr>
          <w:p w14:paraId="454DA0A9">
            <w:pPr>
              <w:spacing w:line="400" w:lineRule="exact"/>
              <w:ind w:firstLine="420" w:firstLineChars="200"/>
              <w:rPr>
                <w:rFonts w:ascii="宋体" w:hAnsi="宋体"/>
                <w:color w:val="auto"/>
                <w:szCs w:val="21"/>
              </w:rPr>
            </w:pPr>
          </w:p>
        </w:tc>
        <w:tc>
          <w:tcPr>
            <w:tcW w:w="1560" w:type="dxa"/>
          </w:tcPr>
          <w:p w14:paraId="0F552628">
            <w:pPr>
              <w:spacing w:line="400" w:lineRule="exact"/>
              <w:ind w:firstLine="420" w:firstLineChars="200"/>
              <w:rPr>
                <w:rFonts w:ascii="宋体" w:hAnsi="宋体"/>
                <w:color w:val="auto"/>
                <w:szCs w:val="21"/>
              </w:rPr>
            </w:pPr>
          </w:p>
        </w:tc>
      </w:tr>
      <w:tr w14:paraId="3E9A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0C159DA">
            <w:pPr>
              <w:spacing w:line="400" w:lineRule="exact"/>
              <w:ind w:firstLine="420" w:firstLineChars="200"/>
              <w:rPr>
                <w:rFonts w:ascii="宋体" w:hAnsi="宋体"/>
                <w:color w:val="auto"/>
                <w:szCs w:val="21"/>
              </w:rPr>
            </w:pPr>
          </w:p>
        </w:tc>
        <w:tc>
          <w:tcPr>
            <w:tcW w:w="1984" w:type="dxa"/>
          </w:tcPr>
          <w:p w14:paraId="12AD908A">
            <w:pPr>
              <w:spacing w:line="400" w:lineRule="exact"/>
              <w:ind w:firstLine="420" w:firstLineChars="200"/>
              <w:rPr>
                <w:rFonts w:ascii="宋体" w:hAnsi="宋体"/>
                <w:color w:val="auto"/>
                <w:szCs w:val="21"/>
              </w:rPr>
            </w:pPr>
          </w:p>
        </w:tc>
        <w:tc>
          <w:tcPr>
            <w:tcW w:w="5103" w:type="dxa"/>
          </w:tcPr>
          <w:p w14:paraId="4ECA038C">
            <w:pPr>
              <w:spacing w:line="400" w:lineRule="exact"/>
              <w:ind w:firstLine="420" w:firstLineChars="200"/>
              <w:rPr>
                <w:rFonts w:ascii="宋体" w:hAnsi="宋体"/>
                <w:color w:val="auto"/>
                <w:szCs w:val="21"/>
              </w:rPr>
            </w:pPr>
          </w:p>
        </w:tc>
        <w:tc>
          <w:tcPr>
            <w:tcW w:w="1560" w:type="dxa"/>
          </w:tcPr>
          <w:p w14:paraId="7C3D592E">
            <w:pPr>
              <w:spacing w:line="400" w:lineRule="exact"/>
              <w:ind w:firstLine="420" w:firstLineChars="200"/>
              <w:rPr>
                <w:rFonts w:ascii="宋体" w:hAnsi="宋体"/>
                <w:color w:val="auto"/>
                <w:szCs w:val="21"/>
              </w:rPr>
            </w:pPr>
          </w:p>
        </w:tc>
      </w:tr>
      <w:tr w14:paraId="4113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02BDCD7">
            <w:pPr>
              <w:spacing w:line="400" w:lineRule="exact"/>
              <w:ind w:firstLine="420" w:firstLineChars="200"/>
              <w:rPr>
                <w:rFonts w:ascii="宋体" w:hAnsi="宋体"/>
                <w:color w:val="auto"/>
                <w:szCs w:val="21"/>
              </w:rPr>
            </w:pPr>
          </w:p>
        </w:tc>
        <w:tc>
          <w:tcPr>
            <w:tcW w:w="1984" w:type="dxa"/>
          </w:tcPr>
          <w:p w14:paraId="19B9BAA0">
            <w:pPr>
              <w:spacing w:line="400" w:lineRule="exact"/>
              <w:ind w:firstLine="420" w:firstLineChars="200"/>
              <w:rPr>
                <w:rFonts w:ascii="宋体" w:hAnsi="宋体"/>
                <w:color w:val="auto"/>
                <w:szCs w:val="21"/>
              </w:rPr>
            </w:pPr>
          </w:p>
        </w:tc>
        <w:tc>
          <w:tcPr>
            <w:tcW w:w="5103" w:type="dxa"/>
          </w:tcPr>
          <w:p w14:paraId="16F1100F">
            <w:pPr>
              <w:spacing w:line="400" w:lineRule="exact"/>
              <w:ind w:firstLine="420" w:firstLineChars="200"/>
              <w:rPr>
                <w:rFonts w:ascii="宋体" w:hAnsi="宋体"/>
                <w:color w:val="auto"/>
                <w:szCs w:val="21"/>
              </w:rPr>
            </w:pPr>
          </w:p>
        </w:tc>
        <w:tc>
          <w:tcPr>
            <w:tcW w:w="1560" w:type="dxa"/>
          </w:tcPr>
          <w:p w14:paraId="06D0DF6E">
            <w:pPr>
              <w:spacing w:line="400" w:lineRule="exact"/>
              <w:ind w:firstLine="420" w:firstLineChars="200"/>
              <w:rPr>
                <w:rFonts w:ascii="宋体" w:hAnsi="宋体"/>
                <w:color w:val="auto"/>
                <w:szCs w:val="21"/>
              </w:rPr>
            </w:pPr>
          </w:p>
        </w:tc>
      </w:tr>
      <w:tr w14:paraId="423E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4CB49DAB">
            <w:pPr>
              <w:spacing w:line="400" w:lineRule="exact"/>
              <w:ind w:firstLine="420" w:firstLineChars="200"/>
              <w:rPr>
                <w:rFonts w:ascii="宋体" w:hAnsi="宋体"/>
                <w:color w:val="auto"/>
                <w:szCs w:val="21"/>
              </w:rPr>
            </w:pPr>
          </w:p>
        </w:tc>
        <w:tc>
          <w:tcPr>
            <w:tcW w:w="1984" w:type="dxa"/>
          </w:tcPr>
          <w:p w14:paraId="57A4B1F7">
            <w:pPr>
              <w:spacing w:line="400" w:lineRule="exact"/>
              <w:ind w:firstLine="420" w:firstLineChars="200"/>
              <w:rPr>
                <w:rFonts w:ascii="宋体" w:hAnsi="宋体"/>
                <w:color w:val="auto"/>
                <w:szCs w:val="21"/>
              </w:rPr>
            </w:pPr>
          </w:p>
        </w:tc>
        <w:tc>
          <w:tcPr>
            <w:tcW w:w="5103" w:type="dxa"/>
          </w:tcPr>
          <w:p w14:paraId="078E61D8">
            <w:pPr>
              <w:spacing w:line="400" w:lineRule="exact"/>
              <w:ind w:firstLine="420" w:firstLineChars="200"/>
              <w:rPr>
                <w:rFonts w:ascii="宋体" w:hAnsi="宋体"/>
                <w:color w:val="auto"/>
                <w:szCs w:val="21"/>
              </w:rPr>
            </w:pPr>
          </w:p>
        </w:tc>
        <w:tc>
          <w:tcPr>
            <w:tcW w:w="1560" w:type="dxa"/>
          </w:tcPr>
          <w:p w14:paraId="32AC439E">
            <w:pPr>
              <w:spacing w:line="400" w:lineRule="exact"/>
              <w:ind w:firstLine="420" w:firstLineChars="200"/>
              <w:rPr>
                <w:rFonts w:ascii="宋体" w:hAnsi="宋体"/>
                <w:color w:val="auto"/>
                <w:szCs w:val="21"/>
              </w:rPr>
            </w:pPr>
          </w:p>
        </w:tc>
      </w:tr>
      <w:tr w14:paraId="50E9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EBC7DF7">
            <w:pPr>
              <w:spacing w:line="400" w:lineRule="exact"/>
              <w:ind w:firstLine="420" w:firstLineChars="200"/>
              <w:rPr>
                <w:rFonts w:ascii="宋体" w:hAnsi="宋体"/>
                <w:color w:val="auto"/>
                <w:szCs w:val="21"/>
              </w:rPr>
            </w:pPr>
          </w:p>
        </w:tc>
        <w:tc>
          <w:tcPr>
            <w:tcW w:w="1984" w:type="dxa"/>
          </w:tcPr>
          <w:p w14:paraId="422D3794">
            <w:pPr>
              <w:spacing w:line="400" w:lineRule="exact"/>
              <w:ind w:firstLine="420" w:firstLineChars="200"/>
              <w:rPr>
                <w:rFonts w:ascii="宋体" w:hAnsi="宋体"/>
                <w:color w:val="auto"/>
                <w:szCs w:val="21"/>
              </w:rPr>
            </w:pPr>
          </w:p>
        </w:tc>
        <w:tc>
          <w:tcPr>
            <w:tcW w:w="5103" w:type="dxa"/>
          </w:tcPr>
          <w:p w14:paraId="6B2C5790">
            <w:pPr>
              <w:spacing w:line="400" w:lineRule="exact"/>
              <w:ind w:firstLine="420" w:firstLineChars="200"/>
              <w:rPr>
                <w:rFonts w:ascii="宋体" w:hAnsi="宋体"/>
                <w:color w:val="auto"/>
                <w:szCs w:val="21"/>
              </w:rPr>
            </w:pPr>
          </w:p>
        </w:tc>
        <w:tc>
          <w:tcPr>
            <w:tcW w:w="1560" w:type="dxa"/>
          </w:tcPr>
          <w:p w14:paraId="66340CD9">
            <w:pPr>
              <w:spacing w:line="400" w:lineRule="exact"/>
              <w:ind w:firstLine="420" w:firstLineChars="200"/>
              <w:rPr>
                <w:rFonts w:ascii="宋体" w:hAnsi="宋体"/>
                <w:color w:val="auto"/>
                <w:szCs w:val="21"/>
              </w:rPr>
            </w:pPr>
          </w:p>
        </w:tc>
      </w:tr>
      <w:tr w14:paraId="331B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8CD997">
            <w:pPr>
              <w:spacing w:line="400" w:lineRule="exact"/>
              <w:ind w:firstLine="420" w:firstLineChars="200"/>
              <w:rPr>
                <w:rFonts w:ascii="宋体" w:hAnsi="宋体"/>
                <w:color w:val="auto"/>
                <w:szCs w:val="21"/>
              </w:rPr>
            </w:pPr>
          </w:p>
        </w:tc>
        <w:tc>
          <w:tcPr>
            <w:tcW w:w="1984" w:type="dxa"/>
          </w:tcPr>
          <w:p w14:paraId="544649A6">
            <w:pPr>
              <w:spacing w:line="400" w:lineRule="exact"/>
              <w:ind w:firstLine="420" w:firstLineChars="200"/>
              <w:rPr>
                <w:rFonts w:ascii="宋体" w:hAnsi="宋体"/>
                <w:color w:val="auto"/>
                <w:szCs w:val="21"/>
              </w:rPr>
            </w:pPr>
          </w:p>
        </w:tc>
        <w:tc>
          <w:tcPr>
            <w:tcW w:w="5103" w:type="dxa"/>
          </w:tcPr>
          <w:p w14:paraId="47E1118B">
            <w:pPr>
              <w:spacing w:line="400" w:lineRule="exact"/>
              <w:ind w:firstLine="420" w:firstLineChars="200"/>
              <w:rPr>
                <w:rFonts w:ascii="宋体" w:hAnsi="宋体"/>
                <w:color w:val="auto"/>
                <w:szCs w:val="21"/>
              </w:rPr>
            </w:pPr>
          </w:p>
        </w:tc>
        <w:tc>
          <w:tcPr>
            <w:tcW w:w="1560" w:type="dxa"/>
          </w:tcPr>
          <w:p w14:paraId="1B278E7F">
            <w:pPr>
              <w:spacing w:line="400" w:lineRule="exact"/>
              <w:ind w:firstLine="420" w:firstLineChars="200"/>
              <w:rPr>
                <w:rFonts w:ascii="宋体" w:hAnsi="宋体"/>
                <w:color w:val="auto"/>
                <w:szCs w:val="21"/>
              </w:rPr>
            </w:pPr>
          </w:p>
        </w:tc>
      </w:tr>
      <w:tr w14:paraId="6457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60597F">
            <w:pPr>
              <w:spacing w:line="400" w:lineRule="exact"/>
              <w:ind w:firstLine="420" w:firstLineChars="200"/>
              <w:rPr>
                <w:rFonts w:ascii="宋体" w:hAnsi="宋体"/>
                <w:color w:val="auto"/>
                <w:szCs w:val="21"/>
              </w:rPr>
            </w:pPr>
          </w:p>
        </w:tc>
        <w:tc>
          <w:tcPr>
            <w:tcW w:w="1984" w:type="dxa"/>
          </w:tcPr>
          <w:p w14:paraId="460D8B27">
            <w:pPr>
              <w:spacing w:line="400" w:lineRule="exact"/>
              <w:ind w:firstLine="420" w:firstLineChars="200"/>
              <w:rPr>
                <w:rFonts w:ascii="宋体" w:hAnsi="宋体"/>
                <w:color w:val="auto"/>
                <w:szCs w:val="21"/>
              </w:rPr>
            </w:pPr>
          </w:p>
        </w:tc>
        <w:tc>
          <w:tcPr>
            <w:tcW w:w="5103" w:type="dxa"/>
          </w:tcPr>
          <w:p w14:paraId="264DB928">
            <w:pPr>
              <w:spacing w:line="400" w:lineRule="exact"/>
              <w:ind w:firstLine="420" w:firstLineChars="200"/>
              <w:rPr>
                <w:rFonts w:ascii="宋体" w:hAnsi="宋体"/>
                <w:color w:val="auto"/>
                <w:szCs w:val="21"/>
              </w:rPr>
            </w:pPr>
          </w:p>
        </w:tc>
        <w:tc>
          <w:tcPr>
            <w:tcW w:w="1560" w:type="dxa"/>
          </w:tcPr>
          <w:p w14:paraId="3D5B5CE4">
            <w:pPr>
              <w:spacing w:line="400" w:lineRule="exact"/>
              <w:ind w:firstLine="420" w:firstLineChars="200"/>
              <w:rPr>
                <w:rFonts w:ascii="宋体" w:hAnsi="宋体"/>
                <w:color w:val="auto"/>
                <w:szCs w:val="21"/>
              </w:rPr>
            </w:pPr>
          </w:p>
        </w:tc>
      </w:tr>
      <w:tr w14:paraId="70F5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8B41BCB">
            <w:pPr>
              <w:spacing w:line="400" w:lineRule="exact"/>
              <w:ind w:firstLine="420" w:firstLineChars="200"/>
              <w:rPr>
                <w:rFonts w:ascii="宋体" w:hAnsi="宋体"/>
                <w:color w:val="auto"/>
                <w:szCs w:val="21"/>
              </w:rPr>
            </w:pPr>
          </w:p>
        </w:tc>
        <w:tc>
          <w:tcPr>
            <w:tcW w:w="1984" w:type="dxa"/>
          </w:tcPr>
          <w:p w14:paraId="1028F622">
            <w:pPr>
              <w:spacing w:line="400" w:lineRule="exact"/>
              <w:ind w:firstLine="420" w:firstLineChars="200"/>
              <w:rPr>
                <w:rFonts w:ascii="宋体" w:hAnsi="宋体"/>
                <w:color w:val="auto"/>
                <w:szCs w:val="21"/>
              </w:rPr>
            </w:pPr>
          </w:p>
        </w:tc>
        <w:tc>
          <w:tcPr>
            <w:tcW w:w="5103" w:type="dxa"/>
          </w:tcPr>
          <w:p w14:paraId="19C0E9CA">
            <w:pPr>
              <w:spacing w:line="400" w:lineRule="exact"/>
              <w:ind w:firstLine="420" w:firstLineChars="200"/>
              <w:rPr>
                <w:rFonts w:ascii="宋体" w:hAnsi="宋体"/>
                <w:color w:val="auto"/>
                <w:szCs w:val="21"/>
              </w:rPr>
            </w:pPr>
          </w:p>
        </w:tc>
        <w:tc>
          <w:tcPr>
            <w:tcW w:w="1560" w:type="dxa"/>
          </w:tcPr>
          <w:p w14:paraId="29421B2F">
            <w:pPr>
              <w:spacing w:line="400" w:lineRule="exact"/>
              <w:ind w:firstLine="420" w:firstLineChars="200"/>
              <w:rPr>
                <w:rFonts w:ascii="宋体" w:hAnsi="宋体"/>
                <w:color w:val="auto"/>
                <w:szCs w:val="21"/>
              </w:rPr>
            </w:pPr>
          </w:p>
        </w:tc>
      </w:tr>
      <w:tr w14:paraId="613A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AD8BA1F">
            <w:pPr>
              <w:spacing w:line="400" w:lineRule="exact"/>
              <w:ind w:firstLine="420" w:firstLineChars="200"/>
              <w:rPr>
                <w:rFonts w:ascii="宋体" w:hAnsi="宋体"/>
                <w:color w:val="auto"/>
                <w:szCs w:val="21"/>
              </w:rPr>
            </w:pPr>
          </w:p>
        </w:tc>
        <w:tc>
          <w:tcPr>
            <w:tcW w:w="1984" w:type="dxa"/>
          </w:tcPr>
          <w:p w14:paraId="57F67C0F">
            <w:pPr>
              <w:spacing w:line="400" w:lineRule="exact"/>
              <w:ind w:firstLine="420" w:firstLineChars="200"/>
              <w:rPr>
                <w:rFonts w:ascii="宋体" w:hAnsi="宋体"/>
                <w:color w:val="auto"/>
                <w:szCs w:val="21"/>
              </w:rPr>
            </w:pPr>
          </w:p>
        </w:tc>
        <w:tc>
          <w:tcPr>
            <w:tcW w:w="5103" w:type="dxa"/>
          </w:tcPr>
          <w:p w14:paraId="6AA7C4C1">
            <w:pPr>
              <w:spacing w:line="400" w:lineRule="exact"/>
              <w:ind w:firstLine="420" w:firstLineChars="200"/>
              <w:rPr>
                <w:rFonts w:ascii="宋体" w:hAnsi="宋体"/>
                <w:color w:val="auto"/>
                <w:szCs w:val="21"/>
              </w:rPr>
            </w:pPr>
          </w:p>
        </w:tc>
        <w:tc>
          <w:tcPr>
            <w:tcW w:w="1560" w:type="dxa"/>
          </w:tcPr>
          <w:p w14:paraId="41E3C5B3">
            <w:pPr>
              <w:spacing w:line="400" w:lineRule="exact"/>
              <w:ind w:firstLine="420" w:firstLineChars="200"/>
              <w:rPr>
                <w:rFonts w:ascii="宋体" w:hAnsi="宋体"/>
                <w:color w:val="auto"/>
                <w:szCs w:val="21"/>
              </w:rPr>
            </w:pPr>
          </w:p>
        </w:tc>
      </w:tr>
      <w:tr w14:paraId="5CC0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6E46BE8">
            <w:pPr>
              <w:spacing w:line="400" w:lineRule="exact"/>
              <w:ind w:firstLine="420" w:firstLineChars="200"/>
              <w:rPr>
                <w:rFonts w:ascii="宋体" w:hAnsi="宋体"/>
                <w:color w:val="auto"/>
                <w:szCs w:val="21"/>
              </w:rPr>
            </w:pPr>
          </w:p>
        </w:tc>
        <w:tc>
          <w:tcPr>
            <w:tcW w:w="1984" w:type="dxa"/>
          </w:tcPr>
          <w:p w14:paraId="3CF398EB">
            <w:pPr>
              <w:spacing w:line="400" w:lineRule="exact"/>
              <w:ind w:firstLine="420" w:firstLineChars="200"/>
              <w:rPr>
                <w:rFonts w:ascii="宋体" w:hAnsi="宋体"/>
                <w:color w:val="auto"/>
                <w:szCs w:val="21"/>
              </w:rPr>
            </w:pPr>
          </w:p>
        </w:tc>
        <w:tc>
          <w:tcPr>
            <w:tcW w:w="5103" w:type="dxa"/>
          </w:tcPr>
          <w:p w14:paraId="11E3D26B">
            <w:pPr>
              <w:spacing w:line="400" w:lineRule="exact"/>
              <w:ind w:firstLine="420" w:firstLineChars="200"/>
              <w:rPr>
                <w:rFonts w:ascii="宋体" w:hAnsi="宋体"/>
                <w:color w:val="auto"/>
                <w:szCs w:val="21"/>
              </w:rPr>
            </w:pPr>
          </w:p>
        </w:tc>
        <w:tc>
          <w:tcPr>
            <w:tcW w:w="1560" w:type="dxa"/>
          </w:tcPr>
          <w:p w14:paraId="79FBD13C">
            <w:pPr>
              <w:spacing w:line="400" w:lineRule="exact"/>
              <w:ind w:firstLine="420" w:firstLineChars="200"/>
              <w:rPr>
                <w:rFonts w:ascii="宋体" w:hAnsi="宋体"/>
                <w:color w:val="auto"/>
                <w:szCs w:val="21"/>
              </w:rPr>
            </w:pPr>
          </w:p>
        </w:tc>
      </w:tr>
      <w:tr w14:paraId="42EB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DCFE33">
            <w:pPr>
              <w:spacing w:line="400" w:lineRule="exact"/>
              <w:ind w:firstLine="420" w:firstLineChars="200"/>
              <w:rPr>
                <w:rFonts w:ascii="宋体" w:hAnsi="宋体"/>
                <w:color w:val="auto"/>
                <w:szCs w:val="21"/>
              </w:rPr>
            </w:pPr>
          </w:p>
        </w:tc>
        <w:tc>
          <w:tcPr>
            <w:tcW w:w="1984" w:type="dxa"/>
          </w:tcPr>
          <w:p w14:paraId="4C4071C3">
            <w:pPr>
              <w:spacing w:line="400" w:lineRule="exact"/>
              <w:ind w:firstLine="420" w:firstLineChars="200"/>
              <w:rPr>
                <w:rFonts w:ascii="宋体" w:hAnsi="宋体"/>
                <w:color w:val="auto"/>
                <w:szCs w:val="21"/>
              </w:rPr>
            </w:pPr>
          </w:p>
        </w:tc>
        <w:tc>
          <w:tcPr>
            <w:tcW w:w="5103" w:type="dxa"/>
          </w:tcPr>
          <w:p w14:paraId="3898DE1D">
            <w:pPr>
              <w:spacing w:line="400" w:lineRule="exact"/>
              <w:ind w:firstLine="420" w:firstLineChars="200"/>
              <w:rPr>
                <w:rFonts w:ascii="宋体" w:hAnsi="宋体"/>
                <w:color w:val="auto"/>
                <w:szCs w:val="21"/>
              </w:rPr>
            </w:pPr>
          </w:p>
        </w:tc>
        <w:tc>
          <w:tcPr>
            <w:tcW w:w="1560" w:type="dxa"/>
          </w:tcPr>
          <w:p w14:paraId="434CB6B5">
            <w:pPr>
              <w:spacing w:line="400" w:lineRule="exact"/>
              <w:ind w:firstLine="420" w:firstLineChars="200"/>
              <w:rPr>
                <w:rFonts w:ascii="宋体" w:hAnsi="宋体"/>
                <w:color w:val="auto"/>
                <w:szCs w:val="21"/>
              </w:rPr>
            </w:pPr>
          </w:p>
        </w:tc>
      </w:tr>
      <w:tr w14:paraId="1D45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9BD65E2">
            <w:pPr>
              <w:spacing w:line="400" w:lineRule="exact"/>
              <w:ind w:firstLine="420" w:firstLineChars="200"/>
              <w:rPr>
                <w:rFonts w:ascii="宋体" w:hAnsi="宋体"/>
                <w:color w:val="auto"/>
                <w:szCs w:val="21"/>
              </w:rPr>
            </w:pPr>
          </w:p>
        </w:tc>
        <w:tc>
          <w:tcPr>
            <w:tcW w:w="1984" w:type="dxa"/>
          </w:tcPr>
          <w:p w14:paraId="4EDE17A3">
            <w:pPr>
              <w:spacing w:line="400" w:lineRule="exact"/>
              <w:ind w:firstLine="420" w:firstLineChars="200"/>
              <w:rPr>
                <w:rFonts w:ascii="宋体" w:hAnsi="宋体"/>
                <w:color w:val="auto"/>
                <w:szCs w:val="21"/>
              </w:rPr>
            </w:pPr>
          </w:p>
        </w:tc>
        <w:tc>
          <w:tcPr>
            <w:tcW w:w="5103" w:type="dxa"/>
          </w:tcPr>
          <w:p w14:paraId="3CF01605">
            <w:pPr>
              <w:spacing w:line="400" w:lineRule="exact"/>
              <w:ind w:firstLine="420" w:firstLineChars="200"/>
              <w:rPr>
                <w:rFonts w:ascii="宋体" w:hAnsi="宋体"/>
                <w:color w:val="auto"/>
                <w:szCs w:val="21"/>
              </w:rPr>
            </w:pPr>
          </w:p>
        </w:tc>
        <w:tc>
          <w:tcPr>
            <w:tcW w:w="1560" w:type="dxa"/>
          </w:tcPr>
          <w:p w14:paraId="50F389FF">
            <w:pPr>
              <w:spacing w:line="400" w:lineRule="exact"/>
              <w:ind w:firstLine="420" w:firstLineChars="200"/>
              <w:rPr>
                <w:rFonts w:ascii="宋体" w:hAnsi="宋体"/>
                <w:color w:val="auto"/>
                <w:szCs w:val="21"/>
              </w:rPr>
            </w:pPr>
          </w:p>
        </w:tc>
      </w:tr>
      <w:tr w14:paraId="2F64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66BD011">
            <w:pPr>
              <w:spacing w:line="400" w:lineRule="exact"/>
              <w:ind w:firstLine="420" w:firstLineChars="200"/>
              <w:rPr>
                <w:rFonts w:ascii="宋体" w:hAnsi="宋体"/>
                <w:color w:val="auto"/>
                <w:szCs w:val="21"/>
              </w:rPr>
            </w:pPr>
          </w:p>
        </w:tc>
        <w:tc>
          <w:tcPr>
            <w:tcW w:w="1984" w:type="dxa"/>
          </w:tcPr>
          <w:p w14:paraId="41FF6AB9">
            <w:pPr>
              <w:spacing w:line="400" w:lineRule="exact"/>
              <w:ind w:firstLine="420" w:firstLineChars="200"/>
              <w:rPr>
                <w:rFonts w:ascii="宋体" w:hAnsi="宋体"/>
                <w:color w:val="auto"/>
                <w:szCs w:val="21"/>
              </w:rPr>
            </w:pPr>
          </w:p>
        </w:tc>
        <w:tc>
          <w:tcPr>
            <w:tcW w:w="5103" w:type="dxa"/>
          </w:tcPr>
          <w:p w14:paraId="6EC951DC">
            <w:pPr>
              <w:spacing w:line="400" w:lineRule="exact"/>
              <w:ind w:firstLine="420" w:firstLineChars="200"/>
              <w:rPr>
                <w:rFonts w:ascii="宋体" w:hAnsi="宋体"/>
                <w:color w:val="auto"/>
                <w:szCs w:val="21"/>
              </w:rPr>
            </w:pPr>
          </w:p>
        </w:tc>
        <w:tc>
          <w:tcPr>
            <w:tcW w:w="1560" w:type="dxa"/>
          </w:tcPr>
          <w:p w14:paraId="795692F5">
            <w:pPr>
              <w:spacing w:line="400" w:lineRule="exact"/>
              <w:ind w:firstLine="420" w:firstLineChars="200"/>
              <w:rPr>
                <w:rFonts w:ascii="宋体" w:hAnsi="宋体"/>
                <w:color w:val="auto"/>
                <w:szCs w:val="21"/>
              </w:rPr>
            </w:pPr>
          </w:p>
        </w:tc>
      </w:tr>
      <w:tr w14:paraId="1171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1815EC5">
            <w:pPr>
              <w:spacing w:line="400" w:lineRule="exact"/>
              <w:ind w:firstLine="420" w:firstLineChars="200"/>
              <w:rPr>
                <w:rFonts w:ascii="宋体" w:hAnsi="宋体"/>
                <w:color w:val="auto"/>
                <w:szCs w:val="21"/>
              </w:rPr>
            </w:pPr>
          </w:p>
        </w:tc>
        <w:tc>
          <w:tcPr>
            <w:tcW w:w="1984" w:type="dxa"/>
          </w:tcPr>
          <w:p w14:paraId="64FAC333">
            <w:pPr>
              <w:spacing w:line="400" w:lineRule="exact"/>
              <w:ind w:firstLine="420" w:firstLineChars="200"/>
              <w:rPr>
                <w:rFonts w:ascii="宋体" w:hAnsi="宋体"/>
                <w:color w:val="auto"/>
                <w:szCs w:val="21"/>
              </w:rPr>
            </w:pPr>
          </w:p>
        </w:tc>
        <w:tc>
          <w:tcPr>
            <w:tcW w:w="5103" w:type="dxa"/>
          </w:tcPr>
          <w:p w14:paraId="15E93E32">
            <w:pPr>
              <w:spacing w:line="400" w:lineRule="exact"/>
              <w:ind w:firstLine="420" w:firstLineChars="200"/>
              <w:rPr>
                <w:rFonts w:ascii="宋体" w:hAnsi="宋体"/>
                <w:color w:val="auto"/>
                <w:szCs w:val="21"/>
              </w:rPr>
            </w:pPr>
          </w:p>
        </w:tc>
        <w:tc>
          <w:tcPr>
            <w:tcW w:w="1560" w:type="dxa"/>
          </w:tcPr>
          <w:p w14:paraId="223005F9">
            <w:pPr>
              <w:spacing w:line="400" w:lineRule="exact"/>
              <w:ind w:firstLine="420" w:firstLineChars="200"/>
              <w:rPr>
                <w:rFonts w:ascii="宋体" w:hAnsi="宋体"/>
                <w:color w:val="auto"/>
                <w:szCs w:val="21"/>
              </w:rPr>
            </w:pPr>
          </w:p>
        </w:tc>
      </w:tr>
      <w:tr w14:paraId="2347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D61A973">
            <w:pPr>
              <w:spacing w:line="400" w:lineRule="exact"/>
              <w:ind w:firstLine="420" w:firstLineChars="200"/>
              <w:rPr>
                <w:rFonts w:ascii="宋体" w:hAnsi="宋体"/>
                <w:color w:val="auto"/>
                <w:szCs w:val="21"/>
              </w:rPr>
            </w:pPr>
          </w:p>
        </w:tc>
        <w:tc>
          <w:tcPr>
            <w:tcW w:w="1984" w:type="dxa"/>
          </w:tcPr>
          <w:p w14:paraId="3C9641B6">
            <w:pPr>
              <w:spacing w:line="400" w:lineRule="exact"/>
              <w:ind w:firstLine="420" w:firstLineChars="200"/>
              <w:rPr>
                <w:rFonts w:ascii="宋体" w:hAnsi="宋体"/>
                <w:color w:val="auto"/>
                <w:szCs w:val="21"/>
              </w:rPr>
            </w:pPr>
          </w:p>
        </w:tc>
        <w:tc>
          <w:tcPr>
            <w:tcW w:w="5103" w:type="dxa"/>
          </w:tcPr>
          <w:p w14:paraId="0D8F6A23">
            <w:pPr>
              <w:spacing w:line="400" w:lineRule="exact"/>
              <w:ind w:firstLine="420" w:firstLineChars="200"/>
              <w:rPr>
                <w:rFonts w:ascii="宋体" w:hAnsi="宋体"/>
                <w:color w:val="auto"/>
                <w:szCs w:val="21"/>
              </w:rPr>
            </w:pPr>
          </w:p>
        </w:tc>
        <w:tc>
          <w:tcPr>
            <w:tcW w:w="1560" w:type="dxa"/>
          </w:tcPr>
          <w:p w14:paraId="298CFA93">
            <w:pPr>
              <w:spacing w:line="400" w:lineRule="exact"/>
              <w:ind w:firstLine="420" w:firstLineChars="200"/>
              <w:rPr>
                <w:rFonts w:ascii="宋体" w:hAnsi="宋体"/>
                <w:color w:val="auto"/>
                <w:szCs w:val="21"/>
              </w:rPr>
            </w:pPr>
          </w:p>
        </w:tc>
      </w:tr>
      <w:tr w14:paraId="4570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A7C80A4">
            <w:pPr>
              <w:spacing w:line="400" w:lineRule="exact"/>
              <w:ind w:firstLine="420" w:firstLineChars="200"/>
              <w:rPr>
                <w:rFonts w:ascii="宋体" w:hAnsi="宋体"/>
                <w:color w:val="auto"/>
                <w:szCs w:val="21"/>
              </w:rPr>
            </w:pPr>
          </w:p>
        </w:tc>
        <w:tc>
          <w:tcPr>
            <w:tcW w:w="1984" w:type="dxa"/>
          </w:tcPr>
          <w:p w14:paraId="4472ED5F">
            <w:pPr>
              <w:spacing w:line="400" w:lineRule="exact"/>
              <w:ind w:firstLine="420" w:firstLineChars="200"/>
              <w:rPr>
                <w:rFonts w:ascii="宋体" w:hAnsi="宋体"/>
                <w:color w:val="auto"/>
                <w:szCs w:val="21"/>
              </w:rPr>
            </w:pPr>
          </w:p>
        </w:tc>
        <w:tc>
          <w:tcPr>
            <w:tcW w:w="5103" w:type="dxa"/>
          </w:tcPr>
          <w:p w14:paraId="42F4A62E">
            <w:pPr>
              <w:spacing w:line="400" w:lineRule="exact"/>
              <w:ind w:firstLine="420" w:firstLineChars="200"/>
              <w:rPr>
                <w:rFonts w:ascii="宋体" w:hAnsi="宋体"/>
                <w:color w:val="auto"/>
                <w:szCs w:val="21"/>
              </w:rPr>
            </w:pPr>
          </w:p>
        </w:tc>
        <w:tc>
          <w:tcPr>
            <w:tcW w:w="1560" w:type="dxa"/>
          </w:tcPr>
          <w:p w14:paraId="27C52C79">
            <w:pPr>
              <w:spacing w:line="400" w:lineRule="exact"/>
              <w:ind w:firstLine="420" w:firstLineChars="200"/>
              <w:rPr>
                <w:rFonts w:ascii="宋体" w:hAnsi="宋体"/>
                <w:color w:val="auto"/>
                <w:szCs w:val="21"/>
              </w:rPr>
            </w:pPr>
          </w:p>
        </w:tc>
      </w:tr>
      <w:tr w14:paraId="17BE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EC280AC">
            <w:pPr>
              <w:spacing w:line="400" w:lineRule="exact"/>
              <w:ind w:firstLine="420" w:firstLineChars="200"/>
              <w:rPr>
                <w:rFonts w:ascii="宋体" w:hAnsi="宋体"/>
                <w:color w:val="auto"/>
                <w:szCs w:val="21"/>
              </w:rPr>
            </w:pPr>
          </w:p>
        </w:tc>
        <w:tc>
          <w:tcPr>
            <w:tcW w:w="1984" w:type="dxa"/>
          </w:tcPr>
          <w:p w14:paraId="622D4747">
            <w:pPr>
              <w:spacing w:line="400" w:lineRule="exact"/>
              <w:ind w:firstLine="420" w:firstLineChars="200"/>
              <w:rPr>
                <w:rFonts w:ascii="宋体" w:hAnsi="宋体"/>
                <w:color w:val="auto"/>
                <w:szCs w:val="21"/>
              </w:rPr>
            </w:pPr>
          </w:p>
        </w:tc>
        <w:tc>
          <w:tcPr>
            <w:tcW w:w="5103" w:type="dxa"/>
          </w:tcPr>
          <w:p w14:paraId="4E5ED2DE">
            <w:pPr>
              <w:spacing w:line="400" w:lineRule="exact"/>
              <w:ind w:firstLine="420" w:firstLineChars="200"/>
              <w:rPr>
                <w:rFonts w:ascii="宋体" w:hAnsi="宋体"/>
                <w:color w:val="auto"/>
                <w:szCs w:val="21"/>
              </w:rPr>
            </w:pPr>
          </w:p>
        </w:tc>
        <w:tc>
          <w:tcPr>
            <w:tcW w:w="1560" w:type="dxa"/>
          </w:tcPr>
          <w:p w14:paraId="69F44708">
            <w:pPr>
              <w:spacing w:line="400" w:lineRule="exact"/>
              <w:ind w:firstLine="420" w:firstLineChars="200"/>
              <w:rPr>
                <w:rFonts w:ascii="宋体" w:hAnsi="宋体"/>
                <w:color w:val="auto"/>
                <w:szCs w:val="21"/>
              </w:rPr>
            </w:pPr>
          </w:p>
        </w:tc>
      </w:tr>
      <w:tr w14:paraId="0533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FD8FADE">
            <w:pPr>
              <w:spacing w:line="400" w:lineRule="exact"/>
              <w:ind w:firstLine="420" w:firstLineChars="200"/>
              <w:rPr>
                <w:rFonts w:ascii="宋体" w:hAnsi="宋体"/>
                <w:color w:val="auto"/>
                <w:szCs w:val="21"/>
              </w:rPr>
            </w:pPr>
          </w:p>
        </w:tc>
        <w:tc>
          <w:tcPr>
            <w:tcW w:w="1984" w:type="dxa"/>
          </w:tcPr>
          <w:p w14:paraId="273262F3">
            <w:pPr>
              <w:spacing w:line="400" w:lineRule="exact"/>
              <w:ind w:firstLine="420" w:firstLineChars="200"/>
              <w:rPr>
                <w:rFonts w:ascii="宋体" w:hAnsi="宋体"/>
                <w:color w:val="auto"/>
                <w:szCs w:val="21"/>
              </w:rPr>
            </w:pPr>
          </w:p>
        </w:tc>
        <w:tc>
          <w:tcPr>
            <w:tcW w:w="5103" w:type="dxa"/>
          </w:tcPr>
          <w:p w14:paraId="08B4DFAA">
            <w:pPr>
              <w:spacing w:line="400" w:lineRule="exact"/>
              <w:ind w:firstLine="420" w:firstLineChars="200"/>
              <w:rPr>
                <w:rFonts w:ascii="宋体" w:hAnsi="宋体"/>
                <w:color w:val="auto"/>
                <w:szCs w:val="21"/>
              </w:rPr>
            </w:pPr>
          </w:p>
        </w:tc>
        <w:tc>
          <w:tcPr>
            <w:tcW w:w="1560" w:type="dxa"/>
          </w:tcPr>
          <w:p w14:paraId="79F8F87A">
            <w:pPr>
              <w:spacing w:line="400" w:lineRule="exact"/>
              <w:ind w:firstLine="420" w:firstLineChars="200"/>
              <w:rPr>
                <w:rFonts w:ascii="宋体" w:hAnsi="宋体"/>
                <w:color w:val="auto"/>
                <w:szCs w:val="21"/>
              </w:rPr>
            </w:pPr>
          </w:p>
        </w:tc>
      </w:tr>
      <w:tr w14:paraId="5EF7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EA4D5E5">
            <w:pPr>
              <w:spacing w:line="400" w:lineRule="exact"/>
              <w:ind w:firstLine="420" w:firstLineChars="200"/>
              <w:rPr>
                <w:rFonts w:ascii="宋体" w:hAnsi="宋体"/>
                <w:color w:val="auto"/>
                <w:szCs w:val="21"/>
              </w:rPr>
            </w:pPr>
          </w:p>
        </w:tc>
        <w:tc>
          <w:tcPr>
            <w:tcW w:w="1984" w:type="dxa"/>
          </w:tcPr>
          <w:p w14:paraId="362B9C1D">
            <w:pPr>
              <w:spacing w:line="400" w:lineRule="exact"/>
              <w:ind w:firstLine="420" w:firstLineChars="200"/>
              <w:rPr>
                <w:rFonts w:ascii="宋体" w:hAnsi="宋体"/>
                <w:color w:val="auto"/>
                <w:szCs w:val="21"/>
              </w:rPr>
            </w:pPr>
          </w:p>
        </w:tc>
        <w:tc>
          <w:tcPr>
            <w:tcW w:w="5103" w:type="dxa"/>
          </w:tcPr>
          <w:p w14:paraId="126C31F9">
            <w:pPr>
              <w:spacing w:line="400" w:lineRule="exact"/>
              <w:ind w:firstLine="420" w:firstLineChars="200"/>
              <w:rPr>
                <w:rFonts w:ascii="宋体" w:hAnsi="宋体"/>
                <w:color w:val="auto"/>
                <w:szCs w:val="21"/>
              </w:rPr>
            </w:pPr>
          </w:p>
        </w:tc>
        <w:tc>
          <w:tcPr>
            <w:tcW w:w="1560" w:type="dxa"/>
          </w:tcPr>
          <w:p w14:paraId="4B34E565">
            <w:pPr>
              <w:spacing w:line="400" w:lineRule="exact"/>
              <w:ind w:firstLine="420" w:firstLineChars="200"/>
              <w:rPr>
                <w:rFonts w:ascii="宋体" w:hAnsi="宋体"/>
                <w:color w:val="auto"/>
                <w:szCs w:val="21"/>
              </w:rPr>
            </w:pPr>
          </w:p>
        </w:tc>
      </w:tr>
      <w:tr w14:paraId="5A5C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6A79DBB">
            <w:pPr>
              <w:spacing w:line="400" w:lineRule="exact"/>
              <w:ind w:firstLine="420" w:firstLineChars="200"/>
              <w:rPr>
                <w:rFonts w:ascii="宋体" w:hAnsi="宋体"/>
                <w:color w:val="auto"/>
                <w:szCs w:val="21"/>
              </w:rPr>
            </w:pPr>
          </w:p>
        </w:tc>
        <w:tc>
          <w:tcPr>
            <w:tcW w:w="1984" w:type="dxa"/>
          </w:tcPr>
          <w:p w14:paraId="3BCD6A8C">
            <w:pPr>
              <w:spacing w:line="400" w:lineRule="exact"/>
              <w:ind w:firstLine="420" w:firstLineChars="200"/>
              <w:rPr>
                <w:rFonts w:ascii="宋体" w:hAnsi="宋体"/>
                <w:color w:val="auto"/>
                <w:szCs w:val="21"/>
              </w:rPr>
            </w:pPr>
          </w:p>
        </w:tc>
        <w:tc>
          <w:tcPr>
            <w:tcW w:w="5103" w:type="dxa"/>
          </w:tcPr>
          <w:p w14:paraId="58B7C3FE">
            <w:pPr>
              <w:spacing w:line="400" w:lineRule="exact"/>
              <w:ind w:firstLine="420" w:firstLineChars="200"/>
              <w:rPr>
                <w:rFonts w:ascii="宋体" w:hAnsi="宋体"/>
                <w:color w:val="auto"/>
                <w:szCs w:val="21"/>
              </w:rPr>
            </w:pPr>
          </w:p>
        </w:tc>
        <w:tc>
          <w:tcPr>
            <w:tcW w:w="1560" w:type="dxa"/>
          </w:tcPr>
          <w:p w14:paraId="1C0499B5">
            <w:pPr>
              <w:spacing w:line="400" w:lineRule="exact"/>
              <w:ind w:firstLine="420" w:firstLineChars="200"/>
              <w:rPr>
                <w:rFonts w:ascii="宋体" w:hAnsi="宋体"/>
                <w:color w:val="auto"/>
                <w:szCs w:val="21"/>
              </w:rPr>
            </w:pPr>
          </w:p>
        </w:tc>
      </w:tr>
      <w:tr w14:paraId="341A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26B6477">
            <w:pPr>
              <w:spacing w:line="400" w:lineRule="exact"/>
              <w:ind w:firstLine="420" w:firstLineChars="200"/>
              <w:rPr>
                <w:rFonts w:ascii="宋体" w:hAnsi="宋体"/>
                <w:color w:val="auto"/>
                <w:szCs w:val="21"/>
              </w:rPr>
            </w:pPr>
          </w:p>
        </w:tc>
        <w:tc>
          <w:tcPr>
            <w:tcW w:w="1984" w:type="dxa"/>
          </w:tcPr>
          <w:p w14:paraId="1D30E5A5">
            <w:pPr>
              <w:spacing w:line="400" w:lineRule="exact"/>
              <w:ind w:firstLine="420" w:firstLineChars="200"/>
              <w:rPr>
                <w:rFonts w:ascii="宋体" w:hAnsi="宋体"/>
                <w:color w:val="auto"/>
                <w:szCs w:val="21"/>
              </w:rPr>
            </w:pPr>
          </w:p>
        </w:tc>
        <w:tc>
          <w:tcPr>
            <w:tcW w:w="5103" w:type="dxa"/>
          </w:tcPr>
          <w:p w14:paraId="500FF069">
            <w:pPr>
              <w:spacing w:line="400" w:lineRule="exact"/>
              <w:ind w:firstLine="420" w:firstLineChars="200"/>
              <w:rPr>
                <w:rFonts w:ascii="宋体" w:hAnsi="宋体"/>
                <w:color w:val="auto"/>
                <w:szCs w:val="21"/>
              </w:rPr>
            </w:pPr>
          </w:p>
        </w:tc>
        <w:tc>
          <w:tcPr>
            <w:tcW w:w="1560" w:type="dxa"/>
          </w:tcPr>
          <w:p w14:paraId="5AF6E7D3">
            <w:pPr>
              <w:spacing w:line="400" w:lineRule="exact"/>
              <w:ind w:firstLine="420" w:firstLineChars="200"/>
              <w:rPr>
                <w:rFonts w:ascii="宋体" w:hAnsi="宋体"/>
                <w:color w:val="auto"/>
                <w:szCs w:val="21"/>
              </w:rPr>
            </w:pPr>
          </w:p>
        </w:tc>
      </w:tr>
      <w:tr w14:paraId="24CC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C22753F">
            <w:pPr>
              <w:spacing w:line="400" w:lineRule="exact"/>
              <w:ind w:firstLine="420" w:firstLineChars="200"/>
              <w:rPr>
                <w:rFonts w:ascii="宋体" w:hAnsi="宋体"/>
                <w:color w:val="auto"/>
                <w:szCs w:val="21"/>
              </w:rPr>
            </w:pPr>
          </w:p>
        </w:tc>
        <w:tc>
          <w:tcPr>
            <w:tcW w:w="1984" w:type="dxa"/>
          </w:tcPr>
          <w:p w14:paraId="1F9C1158">
            <w:pPr>
              <w:spacing w:line="400" w:lineRule="exact"/>
              <w:ind w:firstLine="420" w:firstLineChars="200"/>
              <w:rPr>
                <w:rFonts w:ascii="宋体" w:hAnsi="宋体"/>
                <w:color w:val="auto"/>
                <w:szCs w:val="21"/>
              </w:rPr>
            </w:pPr>
          </w:p>
        </w:tc>
        <w:tc>
          <w:tcPr>
            <w:tcW w:w="5103" w:type="dxa"/>
          </w:tcPr>
          <w:p w14:paraId="17B82DC3">
            <w:pPr>
              <w:spacing w:line="400" w:lineRule="exact"/>
              <w:ind w:firstLine="420" w:firstLineChars="200"/>
              <w:rPr>
                <w:rFonts w:ascii="宋体" w:hAnsi="宋体"/>
                <w:color w:val="auto"/>
                <w:szCs w:val="21"/>
              </w:rPr>
            </w:pPr>
          </w:p>
        </w:tc>
        <w:tc>
          <w:tcPr>
            <w:tcW w:w="1560" w:type="dxa"/>
          </w:tcPr>
          <w:p w14:paraId="6ECB1490">
            <w:pPr>
              <w:spacing w:line="400" w:lineRule="exact"/>
              <w:ind w:firstLine="420" w:firstLineChars="200"/>
              <w:rPr>
                <w:rFonts w:ascii="宋体" w:hAnsi="宋体"/>
                <w:color w:val="auto"/>
                <w:szCs w:val="21"/>
              </w:rPr>
            </w:pPr>
          </w:p>
        </w:tc>
      </w:tr>
      <w:tr w14:paraId="1CD9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tcPr>
          <w:p w14:paraId="37C333BB">
            <w:pPr>
              <w:spacing w:line="400" w:lineRule="exact"/>
              <w:ind w:firstLine="420" w:firstLineChars="200"/>
              <w:rPr>
                <w:rFonts w:ascii="宋体" w:hAnsi="宋体"/>
                <w:color w:val="auto"/>
                <w:szCs w:val="21"/>
              </w:rPr>
            </w:pPr>
            <w:r>
              <w:rPr>
                <w:rFonts w:hint="eastAsia" w:ascii="宋体" w:hAnsi="宋体"/>
                <w:color w:val="auto"/>
                <w:szCs w:val="21"/>
              </w:rPr>
              <w:t>小计：</w:t>
            </w:r>
          </w:p>
        </w:tc>
      </w:tr>
    </w:tbl>
    <w:p w14:paraId="3450A001">
      <w:pPr>
        <w:spacing w:line="360" w:lineRule="auto"/>
        <w:ind w:firstLine="420" w:firstLineChars="200"/>
        <w:rPr>
          <w:rFonts w:ascii="宋体" w:hAnsi="宋体"/>
          <w:color w:val="auto"/>
          <w:szCs w:val="21"/>
        </w:rPr>
      </w:pPr>
    </w:p>
    <w:p w14:paraId="2BD5279A">
      <w:pPr>
        <w:pStyle w:val="2"/>
        <w:spacing w:line="360" w:lineRule="auto"/>
        <w:rPr>
          <w:rFonts w:ascii="宋体" w:hAnsi="宋体"/>
          <w:color w:val="auto"/>
          <w:szCs w:val="21"/>
        </w:rPr>
      </w:pPr>
    </w:p>
    <w:p w14:paraId="46F0F8AA">
      <w:pPr>
        <w:spacing w:line="480" w:lineRule="auto"/>
        <w:ind w:firstLine="420" w:firstLineChars="200"/>
        <w:rPr>
          <w:rFonts w:ascii="宋体" w:hAnsi="宋体"/>
          <w:color w:val="auto"/>
          <w:szCs w:val="21"/>
        </w:rPr>
      </w:pPr>
      <w:r>
        <w:rPr>
          <w:rFonts w:ascii="宋体" w:hAnsi="宋体"/>
          <w:color w:val="auto"/>
          <w:szCs w:val="21"/>
        </w:rPr>
        <w:br w:type="page"/>
      </w:r>
    </w:p>
    <w:p w14:paraId="734FBDF9">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8</w:t>
      </w:r>
      <w:r>
        <w:rPr>
          <w:rFonts w:hint="eastAsia" w:ascii="宋体" w:hAnsi="宋体"/>
          <w:color w:val="auto"/>
          <w:szCs w:val="21"/>
        </w:rPr>
        <w:t>：</w:t>
      </w:r>
    </w:p>
    <w:p w14:paraId="1BA2A82F">
      <w:pPr>
        <w:spacing w:beforeLines="50" w:afterLines="50" w:line="480" w:lineRule="auto"/>
        <w:jc w:val="center"/>
        <w:rPr>
          <w:rFonts w:ascii="宋体" w:hAnsi="宋体"/>
          <w:color w:val="auto"/>
          <w:szCs w:val="21"/>
        </w:rPr>
      </w:pPr>
      <w:r>
        <w:rPr>
          <w:rFonts w:hint="eastAsia" w:ascii="宋体" w:hAnsi="宋体"/>
          <w:color w:val="auto"/>
          <w:szCs w:val="21"/>
        </w:rPr>
        <w:t>廉洁从业协议</w:t>
      </w:r>
    </w:p>
    <w:p w14:paraId="75805958">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65759DB5">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2DBBC406">
      <w:pPr>
        <w:spacing w:line="360" w:lineRule="auto"/>
        <w:ind w:firstLine="420" w:firstLineChars="200"/>
        <w:rPr>
          <w:rFonts w:ascii="宋体" w:hAnsi="宋体"/>
          <w:color w:val="auto"/>
          <w:szCs w:val="21"/>
        </w:rPr>
      </w:pPr>
      <w:r>
        <w:rPr>
          <w:rFonts w:hint="eastAsia" w:ascii="宋体" w:hAnsi="宋体"/>
          <w:color w:val="auto"/>
          <w:szCs w:val="21"/>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55AD0B34">
      <w:pPr>
        <w:spacing w:line="360" w:lineRule="auto"/>
        <w:ind w:firstLine="420" w:firstLineChars="200"/>
        <w:rPr>
          <w:rFonts w:ascii="宋体" w:hAnsi="宋体"/>
          <w:color w:val="auto"/>
          <w:szCs w:val="21"/>
        </w:rPr>
      </w:pPr>
      <w:r>
        <w:rPr>
          <w:rFonts w:hint="eastAsia" w:ascii="宋体" w:hAnsi="宋体"/>
          <w:color w:val="auto"/>
          <w:szCs w:val="21"/>
        </w:rPr>
        <w:t xml:space="preserve"> 1. 发包人承包人的权利和义务</w:t>
      </w:r>
    </w:p>
    <w:p w14:paraId="403E35F7">
      <w:pPr>
        <w:spacing w:line="360" w:lineRule="auto"/>
        <w:ind w:firstLine="420" w:firstLineChars="200"/>
        <w:rPr>
          <w:rFonts w:ascii="宋体" w:hAnsi="宋体"/>
          <w:color w:val="auto"/>
          <w:szCs w:val="21"/>
        </w:rPr>
      </w:pPr>
      <w:r>
        <w:rPr>
          <w:rFonts w:hint="eastAsia" w:ascii="宋体" w:hAnsi="宋体"/>
          <w:color w:val="auto"/>
          <w:szCs w:val="21"/>
        </w:rPr>
        <w:t>（1）严格遵守党的政策规定和国家有关法律法规及相关部门的有关规定。</w:t>
      </w:r>
    </w:p>
    <w:p w14:paraId="1AE04CB1">
      <w:pPr>
        <w:spacing w:line="360" w:lineRule="auto"/>
        <w:ind w:firstLine="420" w:firstLineChars="200"/>
        <w:rPr>
          <w:rFonts w:ascii="宋体" w:hAnsi="宋体"/>
          <w:color w:val="auto"/>
          <w:szCs w:val="21"/>
        </w:rPr>
      </w:pPr>
      <w:r>
        <w:rPr>
          <w:rFonts w:hint="eastAsia" w:ascii="宋体" w:hAnsi="宋体"/>
          <w:color w:val="auto"/>
          <w:szCs w:val="21"/>
        </w:rPr>
        <w:t>（2）严格执行 工程的合同文件，自觉按合同办事。</w:t>
      </w:r>
    </w:p>
    <w:p w14:paraId="50644B6A">
      <w:pPr>
        <w:spacing w:line="360" w:lineRule="auto"/>
        <w:ind w:firstLine="420" w:firstLineChars="200"/>
        <w:rPr>
          <w:rFonts w:ascii="宋体" w:hAnsi="宋体"/>
          <w:color w:val="auto"/>
          <w:szCs w:val="21"/>
        </w:rPr>
      </w:pPr>
      <w:r>
        <w:rPr>
          <w:rFonts w:hint="eastAsia" w:ascii="宋体" w:hAnsi="宋体"/>
          <w:color w:val="auto"/>
          <w:szCs w:val="21"/>
        </w:rPr>
        <w:t>（3）双方的业务活动坚持公开、公正、诚信、透明的原则（法律认定的商业秘密和合同文件另有规定除外），不得损害国家和集体利益，违反工程建设管理规章制度。</w:t>
      </w:r>
    </w:p>
    <w:p w14:paraId="5FCB76DD">
      <w:pPr>
        <w:spacing w:line="360" w:lineRule="auto"/>
        <w:ind w:firstLine="420" w:firstLineChars="200"/>
        <w:rPr>
          <w:rFonts w:ascii="宋体" w:hAnsi="宋体"/>
          <w:color w:val="auto"/>
          <w:szCs w:val="21"/>
        </w:rPr>
      </w:pPr>
      <w:r>
        <w:rPr>
          <w:rFonts w:hint="eastAsia" w:ascii="宋体" w:hAnsi="宋体"/>
          <w:color w:val="auto"/>
          <w:szCs w:val="21"/>
        </w:rPr>
        <w:t>（4）建立健全廉政制度，开展廉政教育，设立廉政告示牌，公布举报电话，监督并认真查处违法违纪行为。</w:t>
      </w:r>
    </w:p>
    <w:p w14:paraId="76EE25B4">
      <w:pPr>
        <w:spacing w:line="360" w:lineRule="auto"/>
        <w:ind w:firstLine="420" w:firstLineChars="200"/>
        <w:rPr>
          <w:rFonts w:ascii="宋体" w:hAnsi="宋体"/>
          <w:color w:val="auto"/>
          <w:szCs w:val="21"/>
        </w:rPr>
      </w:pPr>
      <w:r>
        <w:rPr>
          <w:rFonts w:hint="eastAsia" w:ascii="宋体" w:hAnsi="宋体"/>
          <w:color w:val="auto"/>
          <w:szCs w:val="21"/>
        </w:rPr>
        <w:t>（5）发现对方在业务活动中有违反廉政规定的行为，有及时提醒对方纠正的权利和义务。</w:t>
      </w:r>
    </w:p>
    <w:p w14:paraId="3A533A5B">
      <w:pPr>
        <w:spacing w:line="360" w:lineRule="auto"/>
        <w:ind w:firstLine="420" w:firstLineChars="200"/>
        <w:rPr>
          <w:rFonts w:ascii="宋体" w:hAnsi="宋体"/>
          <w:color w:val="auto"/>
          <w:szCs w:val="21"/>
        </w:rPr>
      </w:pPr>
      <w:r>
        <w:rPr>
          <w:rFonts w:hint="eastAsia" w:ascii="宋体" w:hAnsi="宋体"/>
          <w:color w:val="auto"/>
          <w:szCs w:val="21"/>
        </w:rPr>
        <w:t>（6）发现对方严重违反协议义务条款的行为，有向其上级有关部门举报、建议给予处理并要求告知处理结果的权利。</w:t>
      </w:r>
    </w:p>
    <w:p w14:paraId="231A2EF2">
      <w:pPr>
        <w:spacing w:line="360" w:lineRule="auto"/>
        <w:ind w:firstLine="420" w:firstLineChars="200"/>
        <w:rPr>
          <w:rFonts w:ascii="宋体" w:hAnsi="宋体"/>
          <w:color w:val="auto"/>
          <w:szCs w:val="21"/>
        </w:rPr>
      </w:pPr>
      <w:r>
        <w:rPr>
          <w:rFonts w:hint="eastAsia" w:ascii="宋体" w:hAnsi="宋体"/>
          <w:color w:val="auto"/>
          <w:szCs w:val="21"/>
        </w:rPr>
        <w:t>2. 发包人的义务</w:t>
      </w:r>
    </w:p>
    <w:p w14:paraId="10F5D555">
      <w:pPr>
        <w:spacing w:line="360" w:lineRule="auto"/>
        <w:ind w:firstLine="420" w:firstLineChars="200"/>
        <w:rPr>
          <w:rFonts w:ascii="宋体" w:hAnsi="宋体"/>
          <w:color w:val="auto"/>
          <w:szCs w:val="21"/>
        </w:rPr>
      </w:pPr>
      <w:r>
        <w:rPr>
          <w:rFonts w:hint="eastAsia" w:ascii="宋体" w:hAnsi="宋体"/>
          <w:color w:val="auto"/>
          <w:szCs w:val="21"/>
        </w:rPr>
        <w:t>（1）发包人及其工作人员不得索要或接受承包人的礼金、有价证券和贵重物品，不得在承包人报销任何应由发包人或发包人工作人员个人支付的费用等。</w:t>
      </w:r>
    </w:p>
    <w:p w14:paraId="644849C2">
      <w:pPr>
        <w:spacing w:line="360" w:lineRule="auto"/>
        <w:ind w:firstLine="420" w:firstLineChars="200"/>
        <w:rPr>
          <w:rFonts w:ascii="宋体" w:hAnsi="宋体"/>
          <w:color w:val="auto"/>
          <w:szCs w:val="21"/>
        </w:rPr>
      </w:pPr>
      <w:r>
        <w:rPr>
          <w:rFonts w:hint="eastAsia" w:ascii="宋体" w:hAnsi="宋体"/>
          <w:color w:val="auto"/>
          <w:szCs w:val="21"/>
        </w:rPr>
        <w:t>（2）发包人工作人员不得参加承包人安排的超标准宴请和娱乐活动；不得接受承包人提供的通讯工具、交通工具和高档办公用品等。</w:t>
      </w:r>
    </w:p>
    <w:p w14:paraId="453DF184">
      <w:pPr>
        <w:spacing w:line="360" w:lineRule="auto"/>
        <w:ind w:firstLine="420" w:firstLineChars="200"/>
        <w:rPr>
          <w:rFonts w:ascii="宋体" w:hAnsi="宋体"/>
          <w:color w:val="auto"/>
          <w:szCs w:val="21"/>
        </w:rPr>
      </w:pPr>
      <w:r>
        <w:rPr>
          <w:rFonts w:hint="eastAsia" w:ascii="宋体" w:hAnsi="宋体"/>
          <w:color w:val="auto"/>
          <w:szCs w:val="21"/>
        </w:rPr>
        <w:t>（3）发包人及其工作人员不得要求或者接受承包人为其住房装修、婚丧嫁娶活动、配偶子女的工作安排以及出国出境、旅游等提供方便等。</w:t>
      </w:r>
    </w:p>
    <w:p w14:paraId="4C4ED1B5">
      <w:pPr>
        <w:spacing w:line="360" w:lineRule="auto"/>
        <w:ind w:firstLine="420" w:firstLineChars="200"/>
        <w:rPr>
          <w:rFonts w:ascii="宋体" w:hAnsi="宋体"/>
          <w:color w:val="auto"/>
          <w:szCs w:val="21"/>
        </w:rPr>
      </w:pPr>
      <w:r>
        <w:rPr>
          <w:rFonts w:hint="eastAsia" w:ascii="宋体" w:hAnsi="宋体"/>
          <w:color w:val="auto"/>
          <w:szCs w:val="21"/>
        </w:rPr>
        <w:t>（4）发包人工作人员及其配偶、子女不得从事与发包人工程有关的材料设备供应、工程分包、劳务等经济活动等。</w:t>
      </w:r>
    </w:p>
    <w:p w14:paraId="00093AC7">
      <w:pPr>
        <w:spacing w:line="360" w:lineRule="auto"/>
        <w:ind w:firstLine="420" w:firstLineChars="200"/>
        <w:rPr>
          <w:rFonts w:ascii="宋体" w:hAnsi="宋体"/>
          <w:color w:val="auto"/>
          <w:szCs w:val="21"/>
        </w:rPr>
      </w:pPr>
      <w:r>
        <w:rPr>
          <w:rFonts w:hint="eastAsia" w:ascii="宋体" w:hAnsi="宋体"/>
          <w:color w:val="auto"/>
          <w:szCs w:val="21"/>
        </w:rPr>
        <w:t>（5）发包人及其工作人员不得以任何理由向承包人推荐分包单位或推销材料，不得要求承包人购买合同规定外的材料和设备。</w:t>
      </w:r>
    </w:p>
    <w:p w14:paraId="2AB8BB3E">
      <w:pPr>
        <w:spacing w:line="360" w:lineRule="auto"/>
        <w:ind w:firstLine="420" w:firstLineChars="200"/>
        <w:rPr>
          <w:rFonts w:ascii="宋体" w:hAnsi="宋体"/>
          <w:color w:val="auto"/>
          <w:szCs w:val="21"/>
        </w:rPr>
      </w:pPr>
      <w:r>
        <w:rPr>
          <w:rFonts w:hint="eastAsia" w:ascii="宋体" w:hAnsi="宋体"/>
          <w:color w:val="auto"/>
          <w:szCs w:val="21"/>
        </w:rPr>
        <w:t>（6）发包人工作人员要秉公办事，不准营私舞弊，不准利用职权从事各种个人有偿中介活动和安排个人施工队伍。</w:t>
      </w:r>
    </w:p>
    <w:p w14:paraId="2336A1EF">
      <w:pPr>
        <w:spacing w:line="360" w:lineRule="auto"/>
        <w:ind w:firstLine="420" w:firstLineChars="200"/>
        <w:rPr>
          <w:rFonts w:ascii="宋体" w:hAnsi="宋体"/>
          <w:color w:val="auto"/>
          <w:szCs w:val="21"/>
        </w:rPr>
      </w:pPr>
      <w:r>
        <w:rPr>
          <w:rFonts w:hint="eastAsia" w:ascii="宋体" w:hAnsi="宋体"/>
          <w:color w:val="auto"/>
          <w:szCs w:val="21"/>
        </w:rPr>
        <w:t>3. 承包人义务</w:t>
      </w:r>
    </w:p>
    <w:p w14:paraId="157AC968">
      <w:pPr>
        <w:spacing w:line="360" w:lineRule="auto"/>
        <w:ind w:firstLine="420" w:firstLineChars="200"/>
        <w:rPr>
          <w:rFonts w:ascii="宋体" w:hAnsi="宋体"/>
          <w:color w:val="auto"/>
          <w:szCs w:val="21"/>
        </w:rPr>
      </w:pPr>
      <w:r>
        <w:rPr>
          <w:rFonts w:hint="eastAsia" w:ascii="宋体" w:hAnsi="宋体"/>
          <w:color w:val="auto"/>
          <w:szCs w:val="21"/>
        </w:rPr>
        <w:t>（1）承包人不得以任何理由向发包人及其工作人员行贿或馈赠礼金、有价证券、贵重礼品。</w:t>
      </w:r>
    </w:p>
    <w:p w14:paraId="087C6BAE">
      <w:pPr>
        <w:spacing w:line="360" w:lineRule="auto"/>
        <w:ind w:firstLine="420" w:firstLineChars="200"/>
        <w:rPr>
          <w:rFonts w:ascii="宋体" w:hAnsi="宋体"/>
          <w:color w:val="auto"/>
          <w:szCs w:val="21"/>
        </w:rPr>
      </w:pPr>
      <w:r>
        <w:rPr>
          <w:rFonts w:hint="eastAsia" w:ascii="宋体" w:hAnsi="宋体"/>
          <w:color w:val="auto"/>
          <w:szCs w:val="21"/>
        </w:rPr>
        <w:t>（2）承包人不得以任何名义为发包人及其工作人员报销应由发包人单位或个人支付的任何费用。</w:t>
      </w:r>
    </w:p>
    <w:p w14:paraId="75053C8C">
      <w:pPr>
        <w:spacing w:line="360" w:lineRule="auto"/>
        <w:ind w:firstLine="420" w:firstLineChars="200"/>
        <w:rPr>
          <w:rFonts w:ascii="宋体" w:hAnsi="宋体"/>
          <w:color w:val="auto"/>
          <w:szCs w:val="21"/>
        </w:rPr>
      </w:pPr>
      <w:r>
        <w:rPr>
          <w:rFonts w:hint="eastAsia" w:ascii="宋体" w:hAnsi="宋体"/>
          <w:color w:val="auto"/>
          <w:szCs w:val="21"/>
        </w:rPr>
        <w:t>（3）承包人不得以任何理由安排发包人工作人员参加超标准宴请及娱乐活动。</w:t>
      </w:r>
    </w:p>
    <w:p w14:paraId="11899F65">
      <w:pPr>
        <w:spacing w:line="360" w:lineRule="auto"/>
        <w:ind w:firstLine="420" w:firstLineChars="200"/>
        <w:rPr>
          <w:rFonts w:ascii="宋体" w:hAnsi="宋体"/>
          <w:color w:val="auto"/>
          <w:szCs w:val="21"/>
        </w:rPr>
      </w:pPr>
      <w:r>
        <w:rPr>
          <w:rFonts w:hint="eastAsia" w:ascii="宋体" w:hAnsi="宋体"/>
          <w:color w:val="auto"/>
          <w:szCs w:val="21"/>
        </w:rPr>
        <w:t>（4）承包人不得为发包人单位和个人购置或提供通讯工具、交通工具和高档办公用品等。</w:t>
      </w:r>
    </w:p>
    <w:p w14:paraId="3F0AD15B">
      <w:pPr>
        <w:spacing w:line="360" w:lineRule="auto"/>
        <w:ind w:firstLine="420" w:firstLineChars="200"/>
        <w:rPr>
          <w:rFonts w:ascii="宋体" w:hAnsi="宋体"/>
          <w:color w:val="auto"/>
          <w:szCs w:val="21"/>
        </w:rPr>
      </w:pPr>
      <w:r>
        <w:rPr>
          <w:rFonts w:hint="eastAsia" w:ascii="宋体" w:hAnsi="宋体"/>
          <w:color w:val="auto"/>
          <w:szCs w:val="21"/>
        </w:rPr>
        <w:t>4. 违约责任</w:t>
      </w:r>
    </w:p>
    <w:p w14:paraId="106BE7D0">
      <w:pPr>
        <w:spacing w:line="360" w:lineRule="auto"/>
        <w:ind w:firstLine="420" w:firstLineChars="200"/>
        <w:rPr>
          <w:rFonts w:ascii="宋体" w:hAnsi="宋体"/>
          <w:color w:val="auto"/>
          <w:szCs w:val="21"/>
        </w:rPr>
      </w:pPr>
      <w:r>
        <w:rPr>
          <w:rFonts w:hint="eastAsia" w:ascii="宋体" w:hAnsi="宋体"/>
          <w:color w:val="auto"/>
          <w:szCs w:val="21"/>
        </w:rPr>
        <w:t>（1）发包人及其工作人员违反合同第1、2条，按管理权限，依据有关规定给予党纪、政纪或组织处理；涉嫌犯罪的，移交司法机关追究刑事责任；给承包人单位造成经济损失的，应予以赔偿。</w:t>
      </w:r>
    </w:p>
    <w:p w14:paraId="607E5DA7">
      <w:pPr>
        <w:spacing w:line="360" w:lineRule="auto"/>
        <w:ind w:firstLine="420" w:firstLineChars="200"/>
        <w:rPr>
          <w:rFonts w:ascii="宋体" w:hAnsi="宋体"/>
          <w:color w:val="auto"/>
          <w:szCs w:val="21"/>
        </w:rPr>
      </w:pPr>
      <w:r>
        <w:rPr>
          <w:rFonts w:hint="eastAsia" w:ascii="宋体" w:hAnsi="宋体"/>
          <w:color w:val="auto"/>
          <w:szCs w:val="21"/>
        </w:rPr>
        <w:t>（2）承包人及其工作人员违反合同第1、3条，按管理权限，依据有关规定给予党纪、政纪或组织处理；给发包人单位造成经济损失的，应予以赔偿。</w:t>
      </w:r>
    </w:p>
    <w:p w14:paraId="3108189B">
      <w:pPr>
        <w:spacing w:line="360" w:lineRule="auto"/>
        <w:ind w:firstLine="420" w:firstLineChars="200"/>
        <w:rPr>
          <w:rFonts w:ascii="宋体" w:hAnsi="宋体"/>
          <w:color w:val="auto"/>
          <w:szCs w:val="21"/>
        </w:rPr>
      </w:pPr>
      <w:r>
        <w:rPr>
          <w:rFonts w:hint="eastAsia" w:ascii="宋体" w:hAnsi="宋体"/>
          <w:color w:val="auto"/>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2BDD3C13">
      <w:pPr>
        <w:spacing w:line="360" w:lineRule="auto"/>
        <w:ind w:firstLine="420" w:firstLineChars="200"/>
        <w:rPr>
          <w:rFonts w:ascii="宋体" w:hAnsi="宋体"/>
          <w:color w:val="auto"/>
          <w:szCs w:val="21"/>
        </w:rPr>
      </w:pPr>
      <w:r>
        <w:rPr>
          <w:rFonts w:hint="eastAsia" w:ascii="宋体" w:hAnsi="宋体"/>
          <w:color w:val="auto"/>
          <w:szCs w:val="21"/>
        </w:rPr>
        <w:t>6. 协议有效期为甲乙双方签署之日起至该工程项目竣工验收后止。</w:t>
      </w:r>
    </w:p>
    <w:p w14:paraId="6A0663C8">
      <w:pPr>
        <w:spacing w:line="360" w:lineRule="auto"/>
        <w:ind w:firstLine="420" w:firstLineChars="200"/>
        <w:rPr>
          <w:rFonts w:ascii="宋体" w:hAnsi="宋体"/>
          <w:color w:val="auto"/>
          <w:szCs w:val="21"/>
        </w:rPr>
      </w:pPr>
      <w:r>
        <w:rPr>
          <w:rFonts w:hint="eastAsia" w:ascii="宋体" w:hAnsi="宋体"/>
          <w:color w:val="auto"/>
          <w:szCs w:val="21"/>
        </w:rPr>
        <w:t>7.协议作为 工程施工合同的附件，与工程施工合同具有同等的法律效力，经合同双方签署立即生效。</w:t>
      </w:r>
    </w:p>
    <w:p w14:paraId="448A2E03">
      <w:pPr>
        <w:spacing w:line="360" w:lineRule="auto"/>
        <w:ind w:firstLine="420" w:firstLineChars="200"/>
        <w:rPr>
          <w:rFonts w:ascii="宋体" w:hAnsi="宋体"/>
          <w:color w:val="auto"/>
          <w:szCs w:val="21"/>
        </w:rPr>
      </w:pPr>
      <w:r>
        <w:rPr>
          <w:rFonts w:hint="eastAsia" w:ascii="宋体" w:hAnsi="宋体"/>
          <w:color w:val="auto"/>
          <w:szCs w:val="21"/>
        </w:rPr>
        <w:t>（以下无正文）</w:t>
      </w:r>
    </w:p>
    <w:p w14:paraId="3EFE4066">
      <w:pPr>
        <w:spacing w:line="360" w:lineRule="auto"/>
        <w:rPr>
          <w:rFonts w:ascii="宋体" w:hAnsi="宋体"/>
          <w:color w:val="auto"/>
          <w:szCs w:val="21"/>
        </w:rPr>
      </w:pPr>
    </w:p>
    <w:p w14:paraId="0198D5B9">
      <w:pPr>
        <w:pStyle w:val="2"/>
        <w:spacing w:line="360" w:lineRule="auto"/>
        <w:rPr>
          <w:rFonts w:ascii="宋体" w:hAnsi="宋体"/>
          <w:color w:val="auto"/>
          <w:szCs w:val="21"/>
        </w:rPr>
      </w:pPr>
    </w:p>
    <w:p w14:paraId="22F52713">
      <w:pPr>
        <w:pStyle w:val="2"/>
        <w:spacing w:line="360" w:lineRule="auto"/>
        <w:rPr>
          <w:rFonts w:ascii="宋体" w:hAnsi="宋体"/>
          <w:color w:val="auto"/>
          <w:szCs w:val="21"/>
        </w:rPr>
      </w:pPr>
    </w:p>
    <w:p w14:paraId="21939A12">
      <w:pPr>
        <w:spacing w:line="360" w:lineRule="auto"/>
        <w:rPr>
          <w:rFonts w:ascii="宋体" w:hAnsi="宋体"/>
          <w:color w:val="auto"/>
          <w:szCs w:val="21"/>
        </w:rPr>
      </w:pPr>
      <w:r>
        <w:rPr>
          <w:rFonts w:hint="eastAsia" w:ascii="宋体" w:hAnsi="宋体"/>
          <w:color w:val="auto"/>
          <w:szCs w:val="21"/>
        </w:rPr>
        <w:t>甲     方：                         乙     方：</w:t>
      </w:r>
    </w:p>
    <w:p w14:paraId="69108F65">
      <w:pPr>
        <w:spacing w:line="360" w:lineRule="auto"/>
        <w:rPr>
          <w:rFonts w:ascii="宋体" w:hAnsi="宋体"/>
          <w:color w:val="auto"/>
          <w:szCs w:val="21"/>
        </w:rPr>
      </w:pPr>
    </w:p>
    <w:p w14:paraId="4BA05C25">
      <w:pPr>
        <w:spacing w:line="360" w:lineRule="auto"/>
        <w:rPr>
          <w:rFonts w:ascii="宋体" w:hAnsi="宋体"/>
          <w:color w:val="auto"/>
          <w:szCs w:val="21"/>
        </w:rPr>
      </w:pPr>
    </w:p>
    <w:p w14:paraId="44DC13D4">
      <w:pPr>
        <w:spacing w:line="360" w:lineRule="auto"/>
        <w:rPr>
          <w:rFonts w:ascii="宋体" w:hAnsi="宋体"/>
          <w:color w:val="auto"/>
          <w:szCs w:val="21"/>
        </w:rPr>
      </w:pPr>
      <w:r>
        <w:rPr>
          <w:rFonts w:hint="eastAsia" w:ascii="宋体" w:hAnsi="宋体"/>
          <w:color w:val="auto"/>
          <w:szCs w:val="21"/>
        </w:rPr>
        <w:t xml:space="preserve">法定代表人                          法定代表人                      </w:t>
      </w:r>
    </w:p>
    <w:p w14:paraId="1C34E180">
      <w:pPr>
        <w:spacing w:line="360" w:lineRule="auto"/>
        <w:rPr>
          <w:rFonts w:ascii="宋体" w:hAnsi="宋体"/>
          <w:color w:val="auto"/>
          <w:szCs w:val="21"/>
        </w:rPr>
      </w:pPr>
    </w:p>
    <w:p w14:paraId="4618EDBF">
      <w:pPr>
        <w:spacing w:line="360" w:lineRule="auto"/>
        <w:rPr>
          <w:rFonts w:ascii="宋体" w:hAnsi="宋体"/>
          <w:color w:val="auto"/>
          <w:szCs w:val="21"/>
        </w:rPr>
      </w:pPr>
    </w:p>
    <w:p w14:paraId="5B6F1C4C">
      <w:pPr>
        <w:spacing w:line="360" w:lineRule="auto"/>
        <w:rPr>
          <w:rFonts w:ascii="宋体" w:hAnsi="宋体"/>
          <w:color w:val="auto"/>
          <w:szCs w:val="21"/>
        </w:rPr>
      </w:pPr>
      <w:r>
        <w:rPr>
          <w:rFonts w:hint="eastAsia" w:ascii="宋体" w:hAnsi="宋体"/>
          <w:color w:val="auto"/>
          <w:szCs w:val="21"/>
        </w:rPr>
        <w:t>或其授权的代理人：                  或授权的代理人：</w:t>
      </w:r>
    </w:p>
    <w:p w14:paraId="7E141AA3">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附件</w:t>
      </w:r>
      <w:r>
        <w:rPr>
          <w:rFonts w:ascii="宋体" w:hAnsi="宋体"/>
          <w:color w:val="auto"/>
          <w:szCs w:val="21"/>
        </w:rPr>
        <w:t>9</w:t>
      </w:r>
      <w:r>
        <w:rPr>
          <w:rFonts w:hint="eastAsia" w:ascii="宋体" w:hAnsi="宋体"/>
          <w:color w:val="auto"/>
          <w:szCs w:val="21"/>
        </w:rPr>
        <w:t>：</w:t>
      </w:r>
    </w:p>
    <w:p w14:paraId="07FDE8A7">
      <w:pPr>
        <w:spacing w:beforeLines="50" w:afterLines="50" w:line="480" w:lineRule="auto"/>
        <w:jc w:val="center"/>
        <w:rPr>
          <w:rFonts w:ascii="宋体" w:hAnsi="宋体"/>
          <w:color w:val="auto"/>
          <w:szCs w:val="21"/>
        </w:rPr>
      </w:pPr>
      <w:bookmarkStart w:id="2151" w:name="_Toc247431422"/>
      <w:bookmarkStart w:id="2152" w:name="_Toc435690184"/>
      <w:bookmarkStart w:id="2153" w:name="_Toc435689499"/>
      <w:bookmarkStart w:id="2154" w:name="_Toc239510288"/>
      <w:bookmarkStart w:id="2155" w:name="_Toc336680145"/>
      <w:bookmarkStart w:id="2156" w:name="_Toc448406299"/>
      <w:r>
        <w:rPr>
          <w:rFonts w:hint="eastAsia" w:ascii="宋体" w:hAnsi="宋体"/>
          <w:color w:val="auto"/>
          <w:szCs w:val="21"/>
        </w:rPr>
        <w:t>安全管理协议</w:t>
      </w:r>
      <w:bookmarkEnd w:id="2151"/>
      <w:bookmarkEnd w:id="2152"/>
      <w:bookmarkEnd w:id="2153"/>
      <w:bookmarkEnd w:id="2154"/>
      <w:bookmarkEnd w:id="2155"/>
      <w:bookmarkEnd w:id="2156"/>
    </w:p>
    <w:p w14:paraId="16A37103">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1FE7C388">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4D392725">
      <w:pPr>
        <w:spacing w:line="360" w:lineRule="auto"/>
        <w:ind w:firstLine="420" w:firstLineChars="200"/>
        <w:jc w:val="left"/>
        <w:rPr>
          <w:rFonts w:ascii="宋体" w:hAnsi="宋体"/>
          <w:color w:val="auto"/>
          <w:szCs w:val="21"/>
        </w:rPr>
      </w:pPr>
      <w:r>
        <w:rPr>
          <w:rFonts w:hint="eastAsia" w:ascii="宋体" w:hAnsi="宋体"/>
          <w:color w:val="auto"/>
          <w:szCs w:val="21"/>
        </w:rPr>
        <w:t>为了确保实现</w:t>
      </w:r>
      <w:r>
        <w:rPr>
          <w:rFonts w:hint="eastAsia" w:ascii="宋体" w:hAnsi="宋体"/>
          <w:color w:val="auto"/>
          <w:szCs w:val="21"/>
          <w:u w:val="single"/>
        </w:rPr>
        <w:t xml:space="preserve">        </w:t>
      </w:r>
      <w:r>
        <w:rPr>
          <w:rFonts w:hint="eastAsia" w:ascii="宋体" w:hAnsi="宋体"/>
          <w:color w:val="auto"/>
          <w:szCs w:val="21"/>
        </w:rPr>
        <w:t>安全生产目标，进一步明确双方的安全管理责任，加强安全生产管理工作的协调、管理力度，</w:t>
      </w:r>
      <w:r>
        <w:rPr>
          <w:rFonts w:hint="eastAsia" w:ascii="宋体" w:hAnsi="宋体"/>
          <w:color w:val="auto"/>
          <w:szCs w:val="21"/>
          <w:u w:val="single"/>
        </w:rPr>
        <w:t xml:space="preserve">        </w:t>
      </w:r>
      <w:r>
        <w:rPr>
          <w:rFonts w:hint="eastAsia" w:ascii="宋体" w:hAnsi="宋体"/>
          <w:color w:val="auto"/>
          <w:szCs w:val="21"/>
        </w:rPr>
        <w:t>（以下简称“发包人”）与</w:t>
      </w:r>
      <w:r>
        <w:rPr>
          <w:rFonts w:hint="eastAsia" w:ascii="宋体" w:hAnsi="宋体"/>
          <w:color w:val="auto"/>
          <w:szCs w:val="21"/>
          <w:u w:val="single"/>
        </w:rPr>
        <w:t xml:space="preserve">        </w:t>
      </w:r>
      <w:r>
        <w:rPr>
          <w:rFonts w:hint="eastAsia" w:ascii="宋体" w:hAnsi="宋体"/>
          <w:color w:val="auto"/>
          <w:szCs w:val="21"/>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62D09EEB">
      <w:pPr>
        <w:spacing w:line="360" w:lineRule="auto"/>
        <w:ind w:firstLine="420" w:firstLineChars="200"/>
        <w:rPr>
          <w:rFonts w:ascii="宋体" w:hAnsi="宋体"/>
          <w:color w:val="auto"/>
          <w:szCs w:val="21"/>
        </w:rPr>
      </w:pPr>
      <w:bookmarkStart w:id="2157" w:name="_Toc247431423"/>
      <w:bookmarkStart w:id="2158" w:name="_Toc532375700"/>
      <w:bookmarkStart w:id="2159" w:name="_Toc247418263"/>
      <w:bookmarkStart w:id="2160" w:name="_Toc239510289"/>
      <w:r>
        <w:rPr>
          <w:rFonts w:hint="eastAsia" w:ascii="宋体" w:hAnsi="宋体"/>
          <w:color w:val="auto"/>
          <w:szCs w:val="21"/>
        </w:rPr>
        <w:t>一、协议有效期限</w:t>
      </w:r>
      <w:bookmarkEnd w:id="2157"/>
      <w:bookmarkEnd w:id="2158"/>
      <w:bookmarkEnd w:id="2159"/>
      <w:bookmarkEnd w:id="2160"/>
    </w:p>
    <w:p w14:paraId="575D4FF2">
      <w:pPr>
        <w:spacing w:line="360" w:lineRule="auto"/>
        <w:ind w:firstLine="420" w:firstLineChars="200"/>
        <w:jc w:val="left"/>
        <w:rPr>
          <w:rFonts w:ascii="宋体" w:hAnsi="宋体"/>
          <w:color w:val="auto"/>
          <w:szCs w:val="21"/>
        </w:rPr>
      </w:pPr>
      <w:r>
        <w:rPr>
          <w:rFonts w:hint="eastAsia" w:ascii="宋体" w:hAnsi="宋体"/>
          <w:color w:val="auto"/>
          <w:szCs w:val="21"/>
        </w:rPr>
        <w:t>本协议中所涉及的安全管理责任自合同签订之日起开始生效，至合同工程全部完工验收且经发包人与承包人签订移交协议生效后之日终止。</w:t>
      </w:r>
    </w:p>
    <w:p w14:paraId="3AED21DA">
      <w:pPr>
        <w:spacing w:line="360" w:lineRule="auto"/>
        <w:ind w:firstLine="420" w:firstLineChars="200"/>
        <w:rPr>
          <w:rFonts w:ascii="宋体" w:hAnsi="宋体"/>
          <w:color w:val="auto"/>
          <w:szCs w:val="21"/>
        </w:rPr>
      </w:pPr>
      <w:bookmarkStart w:id="2161" w:name="_Toc532375701"/>
      <w:bookmarkStart w:id="2162" w:name="_Toc239510290"/>
      <w:bookmarkStart w:id="2163" w:name="_Toc247431424"/>
      <w:bookmarkStart w:id="2164" w:name="_Toc247418264"/>
      <w:r>
        <w:rPr>
          <w:rFonts w:hint="eastAsia" w:ascii="宋体" w:hAnsi="宋体"/>
          <w:color w:val="auto"/>
          <w:szCs w:val="21"/>
        </w:rPr>
        <w:t>二、责任目标</w:t>
      </w:r>
      <w:bookmarkEnd w:id="2161"/>
      <w:bookmarkEnd w:id="2162"/>
      <w:bookmarkEnd w:id="2163"/>
      <w:bookmarkEnd w:id="2164"/>
    </w:p>
    <w:p w14:paraId="3394799A">
      <w:pPr>
        <w:spacing w:line="360" w:lineRule="auto"/>
        <w:ind w:firstLine="420" w:firstLineChars="200"/>
        <w:jc w:val="left"/>
        <w:rPr>
          <w:rFonts w:ascii="宋体" w:hAnsi="宋体"/>
          <w:color w:val="auto"/>
          <w:szCs w:val="21"/>
        </w:rPr>
      </w:pPr>
      <w:r>
        <w:rPr>
          <w:rFonts w:hint="eastAsia" w:ascii="宋体" w:hAnsi="宋体"/>
          <w:color w:val="auto"/>
          <w:szCs w:val="21"/>
        </w:rPr>
        <w:t>（一）承包人承诺承担和履行合同和发包人所规定的安全责任，且满足要求。</w:t>
      </w:r>
    </w:p>
    <w:p w14:paraId="6F17C2C9">
      <w:pPr>
        <w:spacing w:line="360" w:lineRule="auto"/>
        <w:ind w:firstLine="420" w:firstLineChars="200"/>
        <w:jc w:val="left"/>
        <w:rPr>
          <w:rFonts w:ascii="宋体" w:hAnsi="宋体"/>
          <w:color w:val="auto"/>
          <w:szCs w:val="21"/>
        </w:rPr>
      </w:pPr>
      <w:r>
        <w:rPr>
          <w:rFonts w:hint="eastAsia" w:ascii="宋体" w:hAnsi="宋体"/>
          <w:color w:val="auto"/>
          <w:szCs w:val="21"/>
        </w:rPr>
        <w:t>（二）承包人的安全控制目标是确保本工程在实施过程中：</w:t>
      </w:r>
    </w:p>
    <w:p w14:paraId="551A5E2E">
      <w:pPr>
        <w:spacing w:line="360" w:lineRule="auto"/>
        <w:ind w:firstLine="420" w:firstLineChars="200"/>
        <w:jc w:val="left"/>
        <w:rPr>
          <w:rFonts w:ascii="宋体" w:hAnsi="宋体"/>
          <w:color w:val="auto"/>
          <w:szCs w:val="21"/>
        </w:rPr>
      </w:pPr>
      <w:r>
        <w:rPr>
          <w:rFonts w:hint="eastAsia" w:ascii="宋体" w:hAnsi="宋体"/>
          <w:color w:val="auto"/>
          <w:szCs w:val="21"/>
        </w:rPr>
        <w:t>1．不发生人身重伤事故；</w:t>
      </w:r>
    </w:p>
    <w:p w14:paraId="64AF4F4D">
      <w:pPr>
        <w:spacing w:line="360" w:lineRule="auto"/>
        <w:ind w:firstLine="420" w:firstLineChars="200"/>
        <w:jc w:val="left"/>
        <w:rPr>
          <w:rFonts w:ascii="宋体" w:hAnsi="宋体"/>
          <w:color w:val="auto"/>
          <w:szCs w:val="21"/>
        </w:rPr>
      </w:pPr>
      <w:r>
        <w:rPr>
          <w:rFonts w:hint="eastAsia" w:ascii="宋体" w:hAnsi="宋体"/>
          <w:color w:val="auto"/>
          <w:szCs w:val="21"/>
        </w:rPr>
        <w:t>2．不发生火灾事故；</w:t>
      </w:r>
    </w:p>
    <w:p w14:paraId="33FA3829">
      <w:pPr>
        <w:spacing w:line="360" w:lineRule="auto"/>
        <w:ind w:firstLine="420" w:firstLineChars="200"/>
        <w:jc w:val="left"/>
        <w:rPr>
          <w:rFonts w:ascii="宋体" w:hAnsi="宋体"/>
          <w:color w:val="auto"/>
          <w:szCs w:val="21"/>
        </w:rPr>
      </w:pPr>
      <w:r>
        <w:rPr>
          <w:rFonts w:hint="eastAsia" w:ascii="宋体" w:hAnsi="宋体"/>
          <w:color w:val="auto"/>
          <w:szCs w:val="21"/>
        </w:rPr>
        <w:t>3．不发生负有同等及以上事故责任的造成人身重伤的一般交通事故；</w:t>
      </w:r>
    </w:p>
    <w:p w14:paraId="1837F096">
      <w:pPr>
        <w:spacing w:line="360" w:lineRule="auto"/>
        <w:ind w:firstLine="420" w:firstLineChars="200"/>
        <w:jc w:val="left"/>
        <w:rPr>
          <w:rFonts w:ascii="宋体" w:hAnsi="宋体"/>
          <w:color w:val="auto"/>
          <w:szCs w:val="21"/>
        </w:rPr>
      </w:pPr>
      <w:r>
        <w:rPr>
          <w:rFonts w:hint="eastAsia" w:ascii="宋体" w:hAnsi="宋体"/>
          <w:color w:val="auto"/>
          <w:szCs w:val="21"/>
        </w:rPr>
        <w:t>4．不发生集体食物中毒事件（同时5人及以上的食物中毒）；</w:t>
      </w:r>
    </w:p>
    <w:p w14:paraId="08A78D6E">
      <w:pPr>
        <w:spacing w:line="360" w:lineRule="auto"/>
        <w:ind w:firstLine="420" w:firstLineChars="200"/>
        <w:jc w:val="left"/>
        <w:rPr>
          <w:rFonts w:ascii="宋体" w:hAnsi="宋体"/>
          <w:color w:val="auto"/>
          <w:szCs w:val="21"/>
        </w:rPr>
      </w:pPr>
      <w:r>
        <w:rPr>
          <w:rFonts w:hint="eastAsia" w:ascii="宋体" w:hAnsi="宋体"/>
          <w:color w:val="auto"/>
          <w:szCs w:val="21"/>
        </w:rPr>
        <w:t>5．不发生流行性传染病 （无甲型传染病、其他常见传染病未形成多人同时患病）；</w:t>
      </w:r>
    </w:p>
    <w:p w14:paraId="73BFFD86">
      <w:pPr>
        <w:spacing w:line="360" w:lineRule="auto"/>
        <w:ind w:firstLine="420" w:firstLineChars="200"/>
        <w:jc w:val="left"/>
        <w:rPr>
          <w:rFonts w:ascii="宋体" w:hAnsi="宋体"/>
          <w:color w:val="auto"/>
          <w:szCs w:val="21"/>
        </w:rPr>
      </w:pPr>
      <w:r>
        <w:rPr>
          <w:rFonts w:hint="eastAsia" w:ascii="宋体" w:hAnsi="宋体"/>
          <w:color w:val="auto"/>
          <w:szCs w:val="21"/>
        </w:rPr>
        <w:t>6．不发生重大环境污染事件（生活、工业垃圾及其他污染物造成环境污染和大面积水土流失）；</w:t>
      </w:r>
    </w:p>
    <w:p w14:paraId="6314F04D">
      <w:pPr>
        <w:spacing w:line="360" w:lineRule="auto"/>
        <w:ind w:firstLine="420" w:firstLineChars="200"/>
        <w:jc w:val="left"/>
        <w:rPr>
          <w:rFonts w:ascii="宋体" w:hAnsi="宋体"/>
          <w:color w:val="auto"/>
          <w:szCs w:val="21"/>
        </w:rPr>
      </w:pPr>
      <w:r>
        <w:rPr>
          <w:rFonts w:hint="eastAsia" w:ascii="宋体" w:hAnsi="宋体"/>
          <w:color w:val="auto"/>
          <w:szCs w:val="21"/>
        </w:rPr>
        <w:t>7．不发生对施工区附近生产、生活造成重大影响的事件（如造成重大设备损坏、重大财产损失、人员伤害等）；</w:t>
      </w:r>
    </w:p>
    <w:p w14:paraId="7B577AE0">
      <w:pPr>
        <w:spacing w:line="360" w:lineRule="auto"/>
        <w:ind w:firstLine="420" w:firstLineChars="200"/>
        <w:jc w:val="left"/>
        <w:rPr>
          <w:rFonts w:ascii="宋体" w:hAnsi="宋体"/>
          <w:color w:val="auto"/>
          <w:szCs w:val="21"/>
        </w:rPr>
      </w:pPr>
      <w:r>
        <w:rPr>
          <w:rFonts w:hint="eastAsia" w:ascii="宋体" w:hAnsi="宋体"/>
          <w:color w:val="auto"/>
          <w:szCs w:val="21"/>
        </w:rPr>
        <w:t>8．不发生治安保卫事件（构成刑事拘留及以上的事件、盗窃直接损失超过1万元人民币的事件）。</w:t>
      </w:r>
    </w:p>
    <w:p w14:paraId="39DA5896">
      <w:pPr>
        <w:spacing w:line="360" w:lineRule="auto"/>
        <w:ind w:firstLine="420" w:firstLineChars="200"/>
        <w:jc w:val="left"/>
        <w:rPr>
          <w:rFonts w:ascii="宋体" w:hAnsi="宋体"/>
          <w:color w:val="auto"/>
          <w:szCs w:val="21"/>
        </w:rPr>
      </w:pPr>
      <w:bookmarkStart w:id="2165" w:name="_Toc247431425"/>
      <w:bookmarkStart w:id="2166" w:name="_Toc247418265"/>
      <w:bookmarkStart w:id="2167" w:name="_Toc239510291"/>
      <w:r>
        <w:rPr>
          <w:rFonts w:hint="eastAsia" w:ascii="宋体" w:hAnsi="宋体"/>
          <w:color w:val="auto"/>
          <w:szCs w:val="21"/>
        </w:rPr>
        <w:t>（三）承包人承诺在施工中控制以下安全事故的发生：</w:t>
      </w:r>
      <w:bookmarkEnd w:id="2165"/>
      <w:bookmarkEnd w:id="2166"/>
      <w:bookmarkEnd w:id="2167"/>
    </w:p>
    <w:p w14:paraId="266C3CB5">
      <w:pPr>
        <w:spacing w:line="360" w:lineRule="auto"/>
        <w:ind w:firstLine="420" w:firstLineChars="200"/>
        <w:jc w:val="left"/>
        <w:rPr>
          <w:rFonts w:ascii="宋体" w:hAnsi="宋体"/>
          <w:color w:val="auto"/>
          <w:szCs w:val="21"/>
        </w:rPr>
      </w:pPr>
      <w:r>
        <w:rPr>
          <w:rFonts w:hint="eastAsia" w:ascii="宋体" w:hAnsi="宋体"/>
          <w:color w:val="auto"/>
          <w:szCs w:val="21"/>
        </w:rPr>
        <w:t>1．人员轻伤事故。</w:t>
      </w:r>
    </w:p>
    <w:p w14:paraId="7148C23B">
      <w:pPr>
        <w:spacing w:line="360" w:lineRule="auto"/>
        <w:ind w:firstLine="420" w:firstLineChars="200"/>
        <w:jc w:val="left"/>
        <w:rPr>
          <w:rFonts w:ascii="宋体" w:hAnsi="宋体"/>
          <w:color w:val="auto"/>
          <w:szCs w:val="21"/>
        </w:rPr>
      </w:pPr>
      <w:r>
        <w:rPr>
          <w:rFonts w:hint="eastAsia" w:ascii="宋体" w:hAnsi="宋体"/>
          <w:color w:val="auto"/>
          <w:szCs w:val="21"/>
        </w:rPr>
        <w:t>2．负有同等及以上事故责任的人身轻伤交通事故。</w:t>
      </w:r>
    </w:p>
    <w:p w14:paraId="2883CD65">
      <w:pPr>
        <w:spacing w:line="360" w:lineRule="auto"/>
        <w:ind w:firstLine="420" w:firstLineChars="200"/>
        <w:jc w:val="left"/>
        <w:rPr>
          <w:rFonts w:ascii="宋体" w:hAnsi="宋体"/>
          <w:color w:val="auto"/>
          <w:szCs w:val="21"/>
        </w:rPr>
      </w:pPr>
      <w:r>
        <w:rPr>
          <w:rFonts w:hint="eastAsia" w:ascii="宋体" w:hAnsi="宋体"/>
          <w:color w:val="auto"/>
          <w:szCs w:val="21"/>
        </w:rPr>
        <w:t>3．其他安全未遂事故和异常事件。</w:t>
      </w:r>
    </w:p>
    <w:p w14:paraId="75FB3B61">
      <w:pPr>
        <w:spacing w:line="360" w:lineRule="auto"/>
        <w:ind w:firstLine="420" w:firstLineChars="200"/>
        <w:rPr>
          <w:rFonts w:ascii="宋体" w:hAnsi="宋体"/>
          <w:color w:val="auto"/>
          <w:szCs w:val="21"/>
        </w:rPr>
      </w:pPr>
      <w:bookmarkStart w:id="2168" w:name="_Toc239510292"/>
      <w:bookmarkStart w:id="2169" w:name="_Toc247418266"/>
      <w:bookmarkStart w:id="2170" w:name="_Toc532375702"/>
      <w:bookmarkStart w:id="2171" w:name="_Toc247431426"/>
      <w:r>
        <w:rPr>
          <w:rFonts w:hint="eastAsia" w:ascii="宋体" w:hAnsi="宋体"/>
          <w:color w:val="auto"/>
          <w:szCs w:val="21"/>
        </w:rPr>
        <w:t>三、安全责任</w:t>
      </w:r>
      <w:bookmarkEnd w:id="2168"/>
      <w:bookmarkEnd w:id="2169"/>
      <w:bookmarkEnd w:id="2170"/>
      <w:bookmarkEnd w:id="2171"/>
    </w:p>
    <w:p w14:paraId="2118D5B4">
      <w:pPr>
        <w:spacing w:line="360" w:lineRule="auto"/>
        <w:ind w:firstLine="420" w:firstLineChars="200"/>
        <w:jc w:val="left"/>
        <w:rPr>
          <w:rFonts w:ascii="宋体" w:hAnsi="宋体"/>
          <w:color w:val="auto"/>
          <w:szCs w:val="21"/>
        </w:rPr>
      </w:pPr>
      <w:r>
        <w:rPr>
          <w:rFonts w:hint="eastAsia" w:ascii="宋体" w:hAnsi="宋体"/>
          <w:color w:val="auto"/>
          <w:szCs w:val="21"/>
        </w:rPr>
        <w:t>1．承包人负有安全生产的管理责任和直接责任。</w:t>
      </w:r>
    </w:p>
    <w:p w14:paraId="2D9B4DF6">
      <w:pPr>
        <w:spacing w:line="360" w:lineRule="auto"/>
        <w:ind w:firstLine="420" w:firstLineChars="200"/>
        <w:jc w:val="left"/>
        <w:rPr>
          <w:rFonts w:ascii="宋体" w:hAnsi="宋体"/>
          <w:color w:val="auto"/>
          <w:szCs w:val="21"/>
        </w:rPr>
      </w:pPr>
      <w:r>
        <w:rPr>
          <w:rFonts w:hint="eastAsia" w:ascii="宋体" w:hAnsi="宋体"/>
          <w:color w:val="auto"/>
          <w:szCs w:val="21"/>
        </w:rPr>
        <w:t>2．承包人的法人或签署合同的公司总经理或受委托的代理人对合同安全负有全面的领导责任。</w:t>
      </w:r>
    </w:p>
    <w:p w14:paraId="5520E6BA">
      <w:pPr>
        <w:spacing w:line="360" w:lineRule="auto"/>
        <w:ind w:firstLine="420" w:firstLineChars="200"/>
        <w:jc w:val="left"/>
        <w:rPr>
          <w:rFonts w:ascii="宋体" w:hAnsi="宋体"/>
          <w:color w:val="auto"/>
          <w:szCs w:val="21"/>
        </w:rPr>
      </w:pPr>
      <w:r>
        <w:rPr>
          <w:rFonts w:hint="eastAsia" w:ascii="宋体" w:hAnsi="宋体"/>
          <w:color w:val="auto"/>
          <w:szCs w:val="21"/>
        </w:rPr>
        <w:t>3．承包人项目经理对施工现场的安全工作负有全面的直接领导责任。</w:t>
      </w:r>
    </w:p>
    <w:p w14:paraId="2285D852">
      <w:pPr>
        <w:spacing w:line="360" w:lineRule="auto"/>
        <w:ind w:firstLine="420" w:firstLineChars="200"/>
        <w:jc w:val="left"/>
        <w:rPr>
          <w:rFonts w:ascii="宋体" w:hAnsi="宋体"/>
          <w:color w:val="auto"/>
          <w:szCs w:val="21"/>
        </w:rPr>
      </w:pPr>
      <w:r>
        <w:rPr>
          <w:rFonts w:hint="eastAsia" w:ascii="宋体" w:hAnsi="宋体"/>
          <w:color w:val="auto"/>
          <w:szCs w:val="21"/>
        </w:rPr>
        <w:t>4．承包人保证执行“谁施工、谁负责”的施工安全原则。</w:t>
      </w:r>
    </w:p>
    <w:p w14:paraId="72449DD6">
      <w:pPr>
        <w:spacing w:line="360" w:lineRule="auto"/>
        <w:ind w:firstLine="420" w:firstLineChars="200"/>
        <w:jc w:val="left"/>
        <w:rPr>
          <w:rFonts w:ascii="宋体" w:hAnsi="宋体"/>
          <w:color w:val="auto"/>
          <w:szCs w:val="21"/>
        </w:rPr>
      </w:pPr>
      <w:r>
        <w:rPr>
          <w:rFonts w:hint="eastAsia" w:ascii="宋体" w:hAnsi="宋体"/>
          <w:color w:val="auto"/>
          <w:szCs w:val="21"/>
        </w:rPr>
        <w:t>5．承包人保证服从发包人对安全工作的统一协调和管理。</w:t>
      </w:r>
    </w:p>
    <w:p w14:paraId="017769DD">
      <w:pPr>
        <w:spacing w:line="360" w:lineRule="auto"/>
        <w:ind w:firstLine="420" w:firstLineChars="200"/>
        <w:jc w:val="left"/>
        <w:rPr>
          <w:rFonts w:ascii="宋体" w:hAnsi="宋体"/>
          <w:color w:val="auto"/>
          <w:szCs w:val="21"/>
        </w:rPr>
      </w:pPr>
      <w:r>
        <w:rPr>
          <w:rFonts w:hint="eastAsia" w:ascii="宋体" w:hAnsi="宋体"/>
          <w:color w:val="auto"/>
          <w:szCs w:val="21"/>
        </w:rPr>
        <w:t>6．承包人保证对本工程项目安全生产条件及其管理资源自行投入，保证安全资金的专款专用。</w:t>
      </w:r>
    </w:p>
    <w:p w14:paraId="366D8B60">
      <w:pPr>
        <w:spacing w:line="360" w:lineRule="auto"/>
        <w:ind w:firstLine="420" w:firstLineChars="200"/>
        <w:jc w:val="left"/>
        <w:rPr>
          <w:rFonts w:ascii="宋体" w:hAnsi="宋体"/>
          <w:color w:val="auto"/>
          <w:szCs w:val="21"/>
        </w:rPr>
      </w:pPr>
      <w:r>
        <w:rPr>
          <w:rFonts w:hint="eastAsia" w:ascii="宋体" w:hAnsi="宋体"/>
          <w:color w:val="auto"/>
          <w:szCs w:val="21"/>
        </w:rPr>
        <w:t>7．承包人保证建立本工程项目的安全管理体系及安全保证体系（注：项目安全管理大纲/手册、管理性的程序文件等）。</w:t>
      </w:r>
    </w:p>
    <w:p w14:paraId="31B449A3">
      <w:pPr>
        <w:spacing w:line="360" w:lineRule="auto"/>
        <w:ind w:firstLine="420" w:firstLineChars="200"/>
        <w:jc w:val="left"/>
        <w:rPr>
          <w:rFonts w:ascii="宋体" w:hAnsi="宋体"/>
          <w:color w:val="auto"/>
          <w:szCs w:val="21"/>
        </w:rPr>
      </w:pPr>
      <w:r>
        <w:rPr>
          <w:rFonts w:hint="eastAsia" w:ascii="宋体" w:hAnsi="宋体"/>
          <w:color w:val="auto"/>
          <w:szCs w:val="21"/>
        </w:rPr>
        <w:t>8．承包人保证现场的安全管理专职人员必须持有建设主管部门安全生产培训考核合格证书。</w:t>
      </w:r>
    </w:p>
    <w:p w14:paraId="03226DE9">
      <w:pPr>
        <w:spacing w:line="360" w:lineRule="auto"/>
        <w:ind w:firstLine="420" w:firstLineChars="200"/>
        <w:jc w:val="left"/>
        <w:rPr>
          <w:rFonts w:ascii="宋体" w:hAnsi="宋体"/>
          <w:color w:val="auto"/>
          <w:szCs w:val="21"/>
        </w:rPr>
      </w:pPr>
      <w:r>
        <w:rPr>
          <w:rFonts w:hint="eastAsia" w:ascii="宋体" w:hAnsi="宋体"/>
          <w:color w:val="auto"/>
          <w:szCs w:val="21"/>
        </w:rPr>
        <w:t>9．承包人保证为现场所有工作人员（含分包商员工及劳务人员）配备符合国家标准的有承包人和/或其下属分包商标志的个人基本劳动保护用品。</w:t>
      </w:r>
    </w:p>
    <w:p w14:paraId="5E812527">
      <w:pPr>
        <w:spacing w:line="360" w:lineRule="auto"/>
        <w:ind w:firstLine="420" w:firstLineChars="200"/>
        <w:jc w:val="left"/>
        <w:rPr>
          <w:rFonts w:ascii="宋体" w:hAnsi="宋体"/>
          <w:color w:val="auto"/>
          <w:szCs w:val="21"/>
        </w:rPr>
      </w:pPr>
      <w:r>
        <w:rPr>
          <w:rFonts w:hint="eastAsia" w:ascii="宋体" w:hAnsi="宋体"/>
          <w:color w:val="auto"/>
          <w:szCs w:val="21"/>
        </w:rPr>
        <w:t>10．承包人保证按照国家法律规定为现场所有工作人员（含分包商员工及劳务人员）购买意外伤害保险。</w:t>
      </w:r>
    </w:p>
    <w:p w14:paraId="7D040864">
      <w:pPr>
        <w:spacing w:line="360" w:lineRule="auto"/>
        <w:ind w:firstLine="420" w:firstLineChars="200"/>
        <w:jc w:val="left"/>
        <w:rPr>
          <w:rFonts w:ascii="宋体" w:hAnsi="宋体"/>
          <w:color w:val="auto"/>
          <w:szCs w:val="21"/>
        </w:rPr>
      </w:pPr>
      <w:r>
        <w:rPr>
          <w:rFonts w:hint="eastAsia" w:ascii="宋体" w:hAnsi="宋体"/>
          <w:color w:val="auto"/>
          <w:szCs w:val="21"/>
        </w:rPr>
        <w:t>11．承包人保证施工生活营地（包括自建的和租用的营地）满足消防、安全用电、卫生防疫、防暴雨、防雷击等方面的安全要求。</w:t>
      </w:r>
    </w:p>
    <w:p w14:paraId="61704617">
      <w:pPr>
        <w:spacing w:line="360" w:lineRule="auto"/>
        <w:ind w:firstLine="420" w:firstLineChars="200"/>
        <w:jc w:val="left"/>
        <w:rPr>
          <w:rFonts w:ascii="宋体" w:hAnsi="宋体"/>
          <w:color w:val="auto"/>
          <w:szCs w:val="21"/>
        </w:rPr>
      </w:pPr>
      <w:r>
        <w:rPr>
          <w:rFonts w:hint="eastAsia" w:ascii="宋体" w:hAnsi="宋体"/>
          <w:color w:val="auto"/>
          <w:szCs w:val="21"/>
        </w:rPr>
        <w:t>12．承包人保证对带入现场的设备、工具、材料按照国家法规和标准进行检测、试验，并持有法定部门出具的检验证书。</w:t>
      </w:r>
    </w:p>
    <w:p w14:paraId="22A341F5">
      <w:pPr>
        <w:spacing w:line="360" w:lineRule="auto"/>
        <w:ind w:firstLine="420" w:firstLineChars="200"/>
        <w:jc w:val="left"/>
        <w:rPr>
          <w:rFonts w:ascii="宋体" w:hAnsi="宋体"/>
          <w:color w:val="auto"/>
          <w:szCs w:val="21"/>
        </w:rPr>
      </w:pPr>
      <w:r>
        <w:rPr>
          <w:rFonts w:hint="eastAsia" w:ascii="宋体" w:hAnsi="宋体"/>
          <w:color w:val="auto"/>
          <w:szCs w:val="21"/>
        </w:rPr>
        <w:t>13．承包人保证制订施工现场的文明施工措施，保护环境、树木和植被，保持施工现场的良好秩序和整洁的作业环境。</w:t>
      </w:r>
    </w:p>
    <w:p w14:paraId="1C468C78">
      <w:pPr>
        <w:spacing w:line="360" w:lineRule="auto"/>
        <w:ind w:firstLine="420" w:firstLineChars="200"/>
        <w:jc w:val="left"/>
        <w:rPr>
          <w:rFonts w:ascii="宋体" w:hAnsi="宋体"/>
          <w:color w:val="auto"/>
          <w:szCs w:val="21"/>
        </w:rPr>
      </w:pPr>
      <w:r>
        <w:rPr>
          <w:rFonts w:hint="eastAsia" w:ascii="宋体" w:hAnsi="宋体"/>
          <w:color w:val="auto"/>
          <w:szCs w:val="21"/>
        </w:rPr>
        <w:t>14．承包人负责在施工过程中与当地政府、周边群众及其他承包商保持良好的沟通和交流。承包人遇到与周边群众发生纠纷时，应负责协调工作，确保工程能够顺利进行。</w:t>
      </w:r>
    </w:p>
    <w:p w14:paraId="391A8756">
      <w:pPr>
        <w:spacing w:line="360" w:lineRule="auto"/>
        <w:ind w:firstLine="420" w:firstLineChars="200"/>
        <w:rPr>
          <w:rFonts w:ascii="宋体" w:hAnsi="宋体"/>
          <w:color w:val="auto"/>
          <w:szCs w:val="21"/>
        </w:rPr>
      </w:pPr>
      <w:bookmarkStart w:id="2172" w:name="_Toc247431427"/>
      <w:bookmarkStart w:id="2173" w:name="_Toc532375703"/>
      <w:bookmarkStart w:id="2174" w:name="_Toc247418267"/>
      <w:bookmarkStart w:id="2175" w:name="_Toc239510293"/>
      <w:r>
        <w:rPr>
          <w:rFonts w:hint="eastAsia" w:ascii="宋体" w:hAnsi="宋体"/>
          <w:color w:val="auto"/>
          <w:szCs w:val="21"/>
        </w:rPr>
        <w:t>四、接口及协调</w:t>
      </w:r>
      <w:bookmarkEnd w:id="2172"/>
      <w:bookmarkEnd w:id="2173"/>
      <w:bookmarkEnd w:id="2174"/>
      <w:bookmarkEnd w:id="2175"/>
    </w:p>
    <w:p w14:paraId="43C9F8F1">
      <w:pPr>
        <w:spacing w:line="360" w:lineRule="auto"/>
        <w:ind w:firstLine="420" w:firstLineChars="200"/>
        <w:jc w:val="left"/>
        <w:rPr>
          <w:rFonts w:ascii="宋体" w:hAnsi="宋体"/>
          <w:color w:val="auto"/>
          <w:szCs w:val="21"/>
        </w:rPr>
      </w:pPr>
      <w:r>
        <w:rPr>
          <w:rFonts w:hint="eastAsia" w:ascii="宋体" w:hAnsi="宋体"/>
          <w:color w:val="auto"/>
          <w:szCs w:val="21"/>
        </w:rPr>
        <w:t>1．发包人委托监理公司对该工程实施监理，监理公司在安全管理方面代表发包人行使监督检查职能，承包人必须给予配合和支持。</w:t>
      </w:r>
    </w:p>
    <w:p w14:paraId="488C8DFA">
      <w:pPr>
        <w:spacing w:line="360" w:lineRule="auto"/>
        <w:ind w:firstLine="420" w:firstLineChars="200"/>
        <w:jc w:val="left"/>
        <w:rPr>
          <w:rFonts w:ascii="宋体" w:hAnsi="宋体"/>
          <w:color w:val="auto"/>
          <w:szCs w:val="21"/>
        </w:rPr>
      </w:pPr>
      <w:r>
        <w:rPr>
          <w:rFonts w:hint="eastAsia" w:ascii="宋体" w:hAnsi="宋体"/>
          <w:color w:val="auto"/>
          <w:szCs w:val="21"/>
        </w:rPr>
        <w:t>2．承包人人员、车辆的出入，带入现场的设备、机具、材料，在现场使用的或直接管理的办公、生活、生产性设施的安全管理须满足发包人现场管理的基本要求。</w:t>
      </w:r>
    </w:p>
    <w:p w14:paraId="701617DD">
      <w:pPr>
        <w:spacing w:line="360" w:lineRule="auto"/>
        <w:ind w:firstLine="420" w:firstLineChars="200"/>
        <w:jc w:val="left"/>
        <w:rPr>
          <w:rFonts w:ascii="宋体" w:hAnsi="宋体"/>
          <w:color w:val="auto"/>
          <w:szCs w:val="21"/>
        </w:rPr>
      </w:pPr>
      <w:r>
        <w:rPr>
          <w:rFonts w:hint="eastAsia" w:ascii="宋体" w:hAnsi="宋体"/>
          <w:color w:val="auto"/>
          <w:szCs w:val="21"/>
        </w:rPr>
        <w:t>3．承包人应指定专职安全管理人员与发包人委托的监理公司接口，参与安全协调和管理。安全协调和管理的内容包括职业健康、工业安全、消防安全、卫生防疫、交通安全、环境保护、治安保卫等各方面。</w:t>
      </w:r>
    </w:p>
    <w:p w14:paraId="0225385E">
      <w:pPr>
        <w:spacing w:line="360" w:lineRule="auto"/>
        <w:ind w:firstLine="420" w:firstLineChars="200"/>
        <w:jc w:val="left"/>
        <w:rPr>
          <w:rFonts w:ascii="宋体" w:hAnsi="宋体"/>
          <w:color w:val="auto"/>
          <w:szCs w:val="21"/>
        </w:rPr>
      </w:pPr>
      <w:r>
        <w:rPr>
          <w:rFonts w:hint="eastAsia" w:ascii="宋体" w:hAnsi="宋体"/>
          <w:color w:val="auto"/>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34C8002A">
      <w:pPr>
        <w:spacing w:line="360" w:lineRule="auto"/>
        <w:ind w:firstLine="420" w:firstLineChars="200"/>
        <w:jc w:val="left"/>
        <w:rPr>
          <w:rFonts w:ascii="宋体" w:hAnsi="宋体"/>
          <w:color w:val="auto"/>
          <w:szCs w:val="21"/>
        </w:rPr>
      </w:pPr>
      <w:r>
        <w:rPr>
          <w:rFonts w:hint="eastAsia" w:ascii="宋体" w:hAnsi="宋体"/>
          <w:color w:val="auto"/>
          <w:szCs w:val="21"/>
        </w:rPr>
        <w:t>5．承包人指定的专职安全管理人员应与发包人委托的监理公司建立联系，在业务上接受发包人委托的监理公司的协调和指导。</w:t>
      </w:r>
    </w:p>
    <w:p w14:paraId="2A29D441">
      <w:pPr>
        <w:spacing w:line="360" w:lineRule="auto"/>
        <w:ind w:firstLine="420" w:firstLineChars="200"/>
        <w:jc w:val="left"/>
        <w:rPr>
          <w:rFonts w:ascii="宋体" w:hAnsi="宋体"/>
          <w:color w:val="auto"/>
          <w:szCs w:val="21"/>
        </w:rPr>
      </w:pPr>
      <w:r>
        <w:rPr>
          <w:rFonts w:hint="eastAsia" w:ascii="宋体" w:hAnsi="宋体"/>
          <w:color w:val="auto"/>
          <w:szCs w:val="21"/>
        </w:rPr>
        <w:t>6．开工后承包人的专职安全管理人员应按照发包人委托的监理公司的规定，定期报送安全月度快报、季报、年报和各种专项事故报告等。</w:t>
      </w:r>
    </w:p>
    <w:p w14:paraId="0FA34B86">
      <w:pPr>
        <w:spacing w:line="360" w:lineRule="auto"/>
        <w:ind w:firstLine="420" w:firstLineChars="200"/>
        <w:jc w:val="left"/>
        <w:rPr>
          <w:rFonts w:ascii="宋体" w:hAnsi="宋体"/>
          <w:color w:val="auto"/>
          <w:szCs w:val="21"/>
        </w:rPr>
      </w:pPr>
      <w:r>
        <w:rPr>
          <w:rFonts w:hint="eastAsia" w:ascii="宋体" w:hAnsi="宋体"/>
          <w:color w:val="auto"/>
          <w:szCs w:val="21"/>
        </w:rPr>
        <w:t>7．在工程实体未全部正式移交发包人施工管理部门之前，承包人依旧对施工范围内的安全管理负责。</w:t>
      </w:r>
    </w:p>
    <w:p w14:paraId="28D474C0">
      <w:pPr>
        <w:spacing w:line="360" w:lineRule="auto"/>
        <w:ind w:firstLine="420" w:firstLineChars="200"/>
        <w:rPr>
          <w:rFonts w:ascii="宋体" w:hAnsi="宋体"/>
          <w:color w:val="auto"/>
          <w:szCs w:val="21"/>
        </w:rPr>
      </w:pPr>
      <w:bookmarkStart w:id="2176" w:name="_Toc239510294"/>
      <w:bookmarkStart w:id="2177" w:name="_Toc532375704"/>
      <w:bookmarkStart w:id="2178" w:name="_Toc247431428"/>
      <w:bookmarkStart w:id="2179" w:name="_Toc247418268"/>
      <w:r>
        <w:rPr>
          <w:rFonts w:hint="eastAsia" w:ascii="宋体" w:hAnsi="宋体"/>
          <w:color w:val="auto"/>
          <w:szCs w:val="21"/>
        </w:rPr>
        <w:t>五、安全资质审查</w:t>
      </w:r>
      <w:bookmarkEnd w:id="2176"/>
      <w:bookmarkEnd w:id="2177"/>
      <w:bookmarkEnd w:id="2178"/>
      <w:bookmarkEnd w:id="2179"/>
    </w:p>
    <w:p w14:paraId="62DEF221">
      <w:pPr>
        <w:spacing w:line="360" w:lineRule="auto"/>
        <w:ind w:firstLine="420" w:firstLineChars="200"/>
        <w:jc w:val="left"/>
        <w:rPr>
          <w:rFonts w:ascii="宋体" w:hAnsi="宋体"/>
          <w:color w:val="auto"/>
          <w:szCs w:val="21"/>
        </w:rPr>
      </w:pPr>
      <w:r>
        <w:rPr>
          <w:rFonts w:hint="eastAsia" w:ascii="宋体" w:hAnsi="宋体"/>
          <w:color w:val="auto"/>
          <w:szCs w:val="21"/>
        </w:rPr>
        <w:t>承包人在项目开工前5个工作天内向发包人委托的监理公司提供以下安全资质供审查和存档：</w:t>
      </w:r>
    </w:p>
    <w:p w14:paraId="348FB735">
      <w:pPr>
        <w:spacing w:line="360" w:lineRule="auto"/>
        <w:ind w:firstLine="420" w:firstLineChars="200"/>
        <w:jc w:val="left"/>
        <w:rPr>
          <w:rFonts w:ascii="宋体" w:hAnsi="宋体"/>
          <w:color w:val="auto"/>
          <w:szCs w:val="21"/>
        </w:rPr>
      </w:pPr>
      <w:r>
        <w:rPr>
          <w:rFonts w:hint="eastAsia" w:ascii="宋体" w:hAnsi="宋体"/>
          <w:color w:val="auto"/>
          <w:szCs w:val="21"/>
        </w:rPr>
        <w:t>1．企业安全生产许可证书复印件。</w:t>
      </w:r>
    </w:p>
    <w:p w14:paraId="1C6D9E04">
      <w:pPr>
        <w:spacing w:line="360" w:lineRule="auto"/>
        <w:ind w:firstLine="420" w:firstLineChars="200"/>
        <w:jc w:val="left"/>
        <w:rPr>
          <w:rFonts w:ascii="宋体" w:hAnsi="宋体"/>
          <w:color w:val="auto"/>
          <w:szCs w:val="21"/>
        </w:rPr>
      </w:pPr>
      <w:r>
        <w:rPr>
          <w:rFonts w:hint="eastAsia" w:ascii="宋体" w:hAnsi="宋体"/>
          <w:color w:val="auto"/>
          <w:szCs w:val="21"/>
        </w:rPr>
        <w:t>2．企业近三年的施工简历及安全施工业绩证明文件。</w:t>
      </w:r>
    </w:p>
    <w:p w14:paraId="25C9B349">
      <w:pPr>
        <w:spacing w:line="360" w:lineRule="auto"/>
        <w:ind w:firstLine="420" w:firstLineChars="200"/>
        <w:jc w:val="left"/>
        <w:rPr>
          <w:rFonts w:ascii="宋体" w:hAnsi="宋体"/>
          <w:color w:val="auto"/>
          <w:szCs w:val="21"/>
        </w:rPr>
      </w:pPr>
      <w:r>
        <w:rPr>
          <w:rFonts w:hint="eastAsia" w:ascii="宋体" w:hAnsi="宋体"/>
          <w:color w:val="auto"/>
          <w:szCs w:val="21"/>
        </w:rPr>
        <w:t>3．企业主要安全管理人员（包括项目经理、专职安全管理人员）经建设主管部门安全生产知识考核合格证书。</w:t>
      </w:r>
    </w:p>
    <w:p w14:paraId="148B3D68">
      <w:pPr>
        <w:spacing w:line="360" w:lineRule="auto"/>
        <w:ind w:firstLine="420" w:firstLineChars="200"/>
        <w:jc w:val="left"/>
        <w:rPr>
          <w:rFonts w:ascii="宋体" w:hAnsi="宋体"/>
          <w:color w:val="auto"/>
          <w:szCs w:val="21"/>
        </w:rPr>
      </w:pPr>
      <w:r>
        <w:rPr>
          <w:rFonts w:hint="eastAsia" w:ascii="宋体" w:hAnsi="宋体"/>
          <w:color w:val="auto"/>
          <w:szCs w:val="21"/>
        </w:rPr>
        <w:t>4．特种作业人员资格证书。</w:t>
      </w:r>
    </w:p>
    <w:p w14:paraId="65BC165D">
      <w:pPr>
        <w:spacing w:line="360" w:lineRule="auto"/>
        <w:ind w:firstLine="420" w:firstLineChars="200"/>
        <w:jc w:val="left"/>
        <w:rPr>
          <w:rFonts w:ascii="宋体" w:hAnsi="宋体"/>
          <w:color w:val="auto"/>
          <w:szCs w:val="21"/>
        </w:rPr>
      </w:pPr>
      <w:r>
        <w:rPr>
          <w:rFonts w:hint="eastAsia" w:ascii="宋体" w:hAnsi="宋体"/>
          <w:color w:val="auto"/>
          <w:szCs w:val="21"/>
        </w:rPr>
        <w:t>5．项目安全管理机构及其人员配备（承包人必须配有专职的安全员）。</w:t>
      </w:r>
    </w:p>
    <w:p w14:paraId="548CB5FC">
      <w:pPr>
        <w:spacing w:line="360" w:lineRule="auto"/>
        <w:ind w:firstLine="420" w:firstLineChars="200"/>
        <w:jc w:val="left"/>
        <w:rPr>
          <w:rFonts w:ascii="宋体" w:hAnsi="宋体"/>
          <w:color w:val="auto"/>
          <w:szCs w:val="21"/>
        </w:rPr>
      </w:pPr>
      <w:r>
        <w:rPr>
          <w:rFonts w:hint="eastAsia" w:ascii="宋体" w:hAnsi="宋体"/>
          <w:color w:val="auto"/>
          <w:szCs w:val="21"/>
        </w:rPr>
        <w:t>6．适用于项目的安全管理体系及保证体系文件（安全管理大纲及管理程序文件）。</w:t>
      </w:r>
    </w:p>
    <w:p w14:paraId="0139C4A2">
      <w:pPr>
        <w:spacing w:line="360" w:lineRule="auto"/>
        <w:ind w:firstLine="420" w:firstLineChars="200"/>
        <w:rPr>
          <w:rFonts w:ascii="宋体" w:hAnsi="宋体"/>
          <w:color w:val="auto"/>
          <w:szCs w:val="21"/>
        </w:rPr>
      </w:pPr>
      <w:bookmarkStart w:id="2180" w:name="_Toc247431429"/>
      <w:bookmarkStart w:id="2181" w:name="_Toc239510295"/>
      <w:bookmarkStart w:id="2182" w:name="_Toc532375705"/>
      <w:bookmarkStart w:id="2183" w:name="_Toc247418269"/>
      <w:r>
        <w:rPr>
          <w:rFonts w:hint="eastAsia" w:ascii="宋体" w:hAnsi="宋体"/>
          <w:color w:val="auto"/>
          <w:szCs w:val="21"/>
        </w:rPr>
        <w:t>六、人员基本素质</w:t>
      </w:r>
      <w:bookmarkEnd w:id="2180"/>
      <w:bookmarkEnd w:id="2181"/>
      <w:bookmarkEnd w:id="2182"/>
      <w:bookmarkEnd w:id="2183"/>
    </w:p>
    <w:p w14:paraId="19C40773">
      <w:pPr>
        <w:spacing w:line="360" w:lineRule="auto"/>
        <w:ind w:firstLine="420" w:firstLineChars="200"/>
        <w:jc w:val="left"/>
        <w:rPr>
          <w:rFonts w:ascii="宋体" w:hAnsi="宋体"/>
          <w:color w:val="auto"/>
          <w:szCs w:val="21"/>
        </w:rPr>
      </w:pPr>
      <w:r>
        <w:rPr>
          <w:rFonts w:hint="eastAsia" w:ascii="宋体" w:hAnsi="宋体"/>
          <w:color w:val="auto"/>
          <w:szCs w:val="21"/>
        </w:rPr>
        <w:t>承包人提供的人员必须满足下列要求：</w:t>
      </w:r>
    </w:p>
    <w:p w14:paraId="23D2B50B">
      <w:pPr>
        <w:spacing w:line="360" w:lineRule="auto"/>
        <w:ind w:firstLine="420" w:firstLineChars="200"/>
        <w:jc w:val="left"/>
        <w:rPr>
          <w:rFonts w:ascii="宋体" w:hAnsi="宋体"/>
          <w:color w:val="auto"/>
          <w:szCs w:val="21"/>
        </w:rPr>
      </w:pPr>
      <w:r>
        <w:rPr>
          <w:rFonts w:hint="eastAsia" w:ascii="宋体" w:hAnsi="宋体"/>
          <w:color w:val="auto"/>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3DCE7CEA">
      <w:pPr>
        <w:spacing w:line="360" w:lineRule="auto"/>
        <w:ind w:firstLine="420" w:firstLineChars="200"/>
        <w:jc w:val="left"/>
        <w:rPr>
          <w:rFonts w:ascii="宋体" w:hAnsi="宋体"/>
          <w:color w:val="auto"/>
          <w:szCs w:val="21"/>
        </w:rPr>
      </w:pPr>
      <w:r>
        <w:rPr>
          <w:rFonts w:hint="eastAsia" w:ascii="宋体" w:hAnsi="宋体"/>
          <w:color w:val="auto"/>
          <w:szCs w:val="21"/>
        </w:rPr>
        <w:t>2．无刑事案件牵连。</w:t>
      </w:r>
    </w:p>
    <w:p w14:paraId="4BB48A7C">
      <w:pPr>
        <w:spacing w:line="360" w:lineRule="auto"/>
        <w:ind w:firstLine="420" w:firstLineChars="200"/>
        <w:jc w:val="left"/>
        <w:rPr>
          <w:rFonts w:ascii="宋体" w:hAnsi="宋体"/>
          <w:color w:val="auto"/>
          <w:szCs w:val="21"/>
        </w:rPr>
      </w:pPr>
      <w:r>
        <w:rPr>
          <w:rFonts w:hint="eastAsia" w:ascii="宋体" w:hAnsi="宋体"/>
          <w:color w:val="auto"/>
          <w:szCs w:val="21"/>
        </w:rPr>
        <w:t>3．无吸毒、酗酒、赌博、嫖娼等恶习及违法行为。</w:t>
      </w:r>
    </w:p>
    <w:p w14:paraId="7C0B1AC3">
      <w:pPr>
        <w:spacing w:line="360" w:lineRule="auto"/>
        <w:ind w:firstLine="420" w:firstLineChars="200"/>
        <w:rPr>
          <w:rFonts w:ascii="宋体" w:hAnsi="宋体"/>
          <w:color w:val="auto"/>
          <w:szCs w:val="21"/>
        </w:rPr>
      </w:pPr>
      <w:bookmarkStart w:id="2184" w:name="_Toc247431430"/>
      <w:bookmarkStart w:id="2185" w:name="_Toc239510296"/>
      <w:bookmarkStart w:id="2186" w:name="_Toc247418270"/>
      <w:bookmarkStart w:id="2187" w:name="_Toc532375706"/>
      <w:r>
        <w:rPr>
          <w:rFonts w:hint="eastAsia" w:ascii="宋体" w:hAnsi="宋体"/>
          <w:color w:val="auto"/>
          <w:szCs w:val="21"/>
        </w:rPr>
        <w:t>七、劳动保护</w:t>
      </w:r>
      <w:bookmarkEnd w:id="2184"/>
      <w:bookmarkEnd w:id="2185"/>
      <w:bookmarkEnd w:id="2186"/>
      <w:bookmarkEnd w:id="2187"/>
    </w:p>
    <w:p w14:paraId="2808ACFD">
      <w:pPr>
        <w:spacing w:line="360" w:lineRule="auto"/>
        <w:ind w:firstLine="420" w:firstLineChars="200"/>
        <w:jc w:val="left"/>
        <w:rPr>
          <w:rFonts w:ascii="宋体" w:hAnsi="宋体"/>
          <w:color w:val="auto"/>
          <w:szCs w:val="21"/>
        </w:rPr>
      </w:pPr>
      <w:r>
        <w:rPr>
          <w:rFonts w:hint="eastAsia" w:ascii="宋体" w:hAnsi="宋体"/>
          <w:color w:val="auto"/>
          <w:szCs w:val="21"/>
        </w:rPr>
        <w:t>1．承包人负责为本单位任何用工形式的员工提供个人劳动保护用品（包括工作服、安全帽、安全鞋等）。</w:t>
      </w:r>
    </w:p>
    <w:p w14:paraId="7D5D753E">
      <w:pPr>
        <w:spacing w:line="360" w:lineRule="auto"/>
        <w:ind w:firstLine="420" w:firstLineChars="200"/>
        <w:jc w:val="left"/>
        <w:rPr>
          <w:rFonts w:ascii="宋体" w:hAnsi="宋体"/>
          <w:color w:val="auto"/>
          <w:szCs w:val="21"/>
        </w:rPr>
      </w:pPr>
      <w:r>
        <w:rPr>
          <w:rFonts w:hint="eastAsia" w:ascii="宋体" w:hAnsi="宋体"/>
          <w:color w:val="auto"/>
          <w:szCs w:val="21"/>
        </w:rPr>
        <w:t>2．承包人负责向特殊工种的员工提供特殊劳动保护，否则不得从事特殊工种作业。</w:t>
      </w:r>
    </w:p>
    <w:p w14:paraId="7900B1E5">
      <w:pPr>
        <w:spacing w:line="360" w:lineRule="auto"/>
        <w:ind w:firstLine="420" w:firstLineChars="200"/>
        <w:jc w:val="left"/>
        <w:rPr>
          <w:rFonts w:ascii="宋体" w:hAnsi="宋体"/>
          <w:color w:val="auto"/>
          <w:szCs w:val="21"/>
        </w:rPr>
      </w:pPr>
      <w:r>
        <w:rPr>
          <w:rFonts w:hint="eastAsia" w:ascii="宋体" w:hAnsi="宋体"/>
          <w:color w:val="auto"/>
          <w:szCs w:val="21"/>
        </w:rPr>
        <w:t>3．发包人委托的监理公司有权检查承包人的个人劳动保护用品是否符合国家的相应标准。</w:t>
      </w:r>
    </w:p>
    <w:p w14:paraId="7A1D6CB0">
      <w:pPr>
        <w:spacing w:line="360" w:lineRule="auto"/>
        <w:ind w:firstLine="420" w:firstLineChars="200"/>
        <w:jc w:val="left"/>
        <w:rPr>
          <w:rFonts w:ascii="宋体" w:hAnsi="宋体"/>
          <w:color w:val="auto"/>
          <w:szCs w:val="21"/>
        </w:rPr>
      </w:pPr>
      <w:r>
        <w:rPr>
          <w:rFonts w:hint="eastAsia" w:ascii="宋体" w:hAnsi="宋体"/>
          <w:color w:val="auto"/>
          <w:szCs w:val="21"/>
        </w:rPr>
        <w:t>4． 承包人在特殊风险场所作业而需要特殊防护用品或安全仪表时，必须在上述防护用品全部到位后才能开工。</w:t>
      </w:r>
    </w:p>
    <w:p w14:paraId="38AE81CC">
      <w:pPr>
        <w:spacing w:line="360" w:lineRule="auto"/>
        <w:ind w:firstLine="420" w:firstLineChars="200"/>
        <w:jc w:val="left"/>
        <w:rPr>
          <w:rFonts w:ascii="宋体" w:hAnsi="宋体"/>
          <w:color w:val="auto"/>
          <w:szCs w:val="21"/>
        </w:rPr>
      </w:pPr>
      <w:r>
        <w:rPr>
          <w:rFonts w:hint="eastAsia" w:ascii="宋体" w:hAnsi="宋体"/>
          <w:color w:val="auto"/>
          <w:szCs w:val="21"/>
        </w:rPr>
        <w:t>5．承包人应配备临时安全围栏、警示带、警告标志、防火布等集体防护用品。</w:t>
      </w:r>
    </w:p>
    <w:p w14:paraId="673F25F8">
      <w:pPr>
        <w:spacing w:line="360" w:lineRule="auto"/>
        <w:ind w:firstLine="420" w:firstLineChars="200"/>
        <w:rPr>
          <w:rFonts w:ascii="宋体" w:hAnsi="宋体"/>
          <w:color w:val="auto"/>
          <w:szCs w:val="21"/>
        </w:rPr>
      </w:pPr>
      <w:bookmarkStart w:id="2188" w:name="_Toc532375707"/>
      <w:bookmarkStart w:id="2189" w:name="_Toc239510297"/>
      <w:bookmarkStart w:id="2190" w:name="_Toc247431431"/>
      <w:bookmarkStart w:id="2191" w:name="_Toc247418271"/>
      <w:r>
        <w:rPr>
          <w:rFonts w:hint="eastAsia" w:ascii="宋体" w:hAnsi="宋体"/>
          <w:color w:val="auto"/>
          <w:szCs w:val="21"/>
        </w:rPr>
        <w:t>八、施工机具与材料</w:t>
      </w:r>
      <w:bookmarkEnd w:id="2188"/>
      <w:bookmarkEnd w:id="2189"/>
      <w:bookmarkEnd w:id="2190"/>
      <w:bookmarkEnd w:id="2191"/>
    </w:p>
    <w:p w14:paraId="63E2B415">
      <w:pPr>
        <w:spacing w:line="360" w:lineRule="auto"/>
        <w:ind w:firstLine="420" w:firstLineChars="200"/>
        <w:jc w:val="left"/>
        <w:rPr>
          <w:rFonts w:ascii="宋体" w:hAnsi="宋体"/>
          <w:color w:val="auto"/>
          <w:szCs w:val="21"/>
        </w:rPr>
      </w:pPr>
      <w:r>
        <w:rPr>
          <w:rFonts w:hint="eastAsia" w:ascii="宋体" w:hAnsi="宋体"/>
          <w:color w:val="auto"/>
          <w:szCs w:val="21"/>
        </w:rPr>
        <w:t>1．承包人对带入现场的施工机械和工器具的安全负责。</w:t>
      </w:r>
    </w:p>
    <w:p w14:paraId="2B4888EC">
      <w:pPr>
        <w:spacing w:line="360" w:lineRule="auto"/>
        <w:ind w:firstLine="420" w:firstLineChars="200"/>
        <w:jc w:val="left"/>
        <w:rPr>
          <w:rFonts w:ascii="宋体" w:hAnsi="宋体"/>
          <w:color w:val="auto"/>
          <w:szCs w:val="21"/>
        </w:rPr>
      </w:pPr>
      <w:r>
        <w:rPr>
          <w:rFonts w:hint="eastAsia" w:ascii="宋体" w:hAnsi="宋体"/>
          <w:color w:val="auto"/>
          <w:szCs w:val="21"/>
        </w:rPr>
        <w:t>2．对于承包人带入现场的特殊工器具，如起重设备、索具、机动车辆、压缩气瓶等，承包人必须按国家法规和标准进行检测、试验，并持有法定部门出具的检验证书。</w:t>
      </w:r>
    </w:p>
    <w:p w14:paraId="1BFAFF61">
      <w:pPr>
        <w:spacing w:line="360" w:lineRule="auto"/>
        <w:ind w:firstLine="420" w:firstLineChars="200"/>
        <w:jc w:val="left"/>
        <w:rPr>
          <w:rFonts w:ascii="宋体" w:hAnsi="宋体"/>
          <w:color w:val="auto"/>
          <w:szCs w:val="21"/>
        </w:rPr>
      </w:pPr>
      <w:r>
        <w:rPr>
          <w:rFonts w:hint="eastAsia" w:ascii="宋体" w:hAnsi="宋体"/>
          <w:color w:val="auto"/>
          <w:szCs w:val="21"/>
        </w:rPr>
        <w:t>3．对于不属于法定检测的工器具，承包人也必须建立相应的管理、检测制度，这些工器具包括登高工具、脚手架材料、电动工具、安全防护设备及用具等。</w:t>
      </w:r>
    </w:p>
    <w:p w14:paraId="541F52A4">
      <w:pPr>
        <w:spacing w:line="360" w:lineRule="auto"/>
        <w:ind w:firstLine="420" w:firstLineChars="200"/>
        <w:rPr>
          <w:rFonts w:ascii="宋体" w:hAnsi="宋体"/>
          <w:color w:val="auto"/>
          <w:szCs w:val="21"/>
        </w:rPr>
      </w:pPr>
      <w:bookmarkStart w:id="2192" w:name="_Toc239510298"/>
      <w:bookmarkStart w:id="2193" w:name="_Toc532375708"/>
      <w:bookmarkStart w:id="2194" w:name="_Toc247431432"/>
      <w:bookmarkStart w:id="2195" w:name="_Toc247418272"/>
      <w:r>
        <w:rPr>
          <w:rFonts w:hint="eastAsia" w:ascii="宋体" w:hAnsi="宋体"/>
          <w:color w:val="auto"/>
          <w:szCs w:val="21"/>
        </w:rPr>
        <w:t>九、开工前安全条件检查</w:t>
      </w:r>
      <w:bookmarkEnd w:id="2192"/>
      <w:bookmarkEnd w:id="2193"/>
      <w:bookmarkEnd w:id="2194"/>
      <w:bookmarkEnd w:id="2195"/>
    </w:p>
    <w:p w14:paraId="6CE317A7">
      <w:pPr>
        <w:spacing w:line="360" w:lineRule="auto"/>
        <w:ind w:firstLine="420" w:firstLineChars="200"/>
        <w:jc w:val="left"/>
        <w:rPr>
          <w:rFonts w:ascii="宋体" w:hAnsi="宋体"/>
          <w:color w:val="auto"/>
          <w:szCs w:val="21"/>
        </w:rPr>
      </w:pPr>
      <w:r>
        <w:rPr>
          <w:rFonts w:hint="eastAsia" w:ascii="宋体" w:hAnsi="宋体"/>
          <w:color w:val="auto"/>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5E27B25E">
      <w:pPr>
        <w:spacing w:line="360" w:lineRule="auto"/>
        <w:ind w:firstLine="420" w:firstLineChars="200"/>
        <w:jc w:val="left"/>
        <w:rPr>
          <w:rFonts w:ascii="宋体" w:hAnsi="宋体"/>
          <w:color w:val="auto"/>
          <w:szCs w:val="21"/>
        </w:rPr>
      </w:pPr>
      <w:r>
        <w:rPr>
          <w:rFonts w:hint="eastAsia" w:ascii="宋体" w:hAnsi="宋体"/>
          <w:color w:val="auto"/>
          <w:szCs w:val="21"/>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318A549E">
      <w:pPr>
        <w:spacing w:line="360" w:lineRule="auto"/>
        <w:ind w:firstLine="420" w:firstLineChars="200"/>
        <w:jc w:val="left"/>
        <w:rPr>
          <w:rFonts w:ascii="宋体" w:hAnsi="宋体"/>
          <w:color w:val="auto"/>
          <w:szCs w:val="21"/>
        </w:rPr>
      </w:pPr>
      <w:r>
        <w:rPr>
          <w:rFonts w:hint="eastAsia" w:ascii="宋体" w:hAnsi="宋体"/>
          <w:color w:val="auto"/>
          <w:szCs w:val="21"/>
        </w:rPr>
        <w:t>3．发包人委托的监理公司检查发现的缺陷，承包人应在规定期限内完成整改。对于重大缺陷，发包人委托的监理公司有权要求承包人推迟开工，由此对工期产生的影响或经济损失，由承包人承担。</w:t>
      </w:r>
    </w:p>
    <w:p w14:paraId="0ABB0C67">
      <w:pPr>
        <w:spacing w:line="360" w:lineRule="auto"/>
        <w:ind w:firstLine="420" w:firstLineChars="200"/>
        <w:rPr>
          <w:rFonts w:ascii="宋体" w:hAnsi="宋体"/>
          <w:color w:val="auto"/>
          <w:szCs w:val="21"/>
        </w:rPr>
      </w:pPr>
      <w:bookmarkStart w:id="2196" w:name="_Toc247418273"/>
      <w:bookmarkStart w:id="2197" w:name="_Toc239510299"/>
      <w:bookmarkStart w:id="2198" w:name="_Toc532375709"/>
      <w:bookmarkStart w:id="2199" w:name="_Toc247431433"/>
      <w:r>
        <w:rPr>
          <w:rFonts w:hint="eastAsia" w:ascii="宋体" w:hAnsi="宋体"/>
          <w:color w:val="auto"/>
          <w:szCs w:val="21"/>
        </w:rPr>
        <w:t>十、安全监督</w:t>
      </w:r>
      <w:bookmarkEnd w:id="2196"/>
      <w:bookmarkEnd w:id="2197"/>
      <w:bookmarkEnd w:id="2198"/>
      <w:bookmarkEnd w:id="2199"/>
    </w:p>
    <w:p w14:paraId="1C354412">
      <w:pPr>
        <w:spacing w:line="360" w:lineRule="auto"/>
        <w:ind w:firstLine="420" w:firstLineChars="200"/>
        <w:jc w:val="left"/>
        <w:rPr>
          <w:rFonts w:ascii="宋体" w:hAnsi="宋体"/>
          <w:color w:val="auto"/>
          <w:szCs w:val="21"/>
        </w:rPr>
      </w:pPr>
      <w:r>
        <w:rPr>
          <w:rFonts w:hint="eastAsia" w:ascii="宋体" w:hAnsi="宋体"/>
          <w:color w:val="auto"/>
          <w:szCs w:val="21"/>
        </w:rPr>
        <w:t>1．承包人应配备有满足项目安全管理需要的专职安全管理人员。</w:t>
      </w:r>
    </w:p>
    <w:p w14:paraId="1DB2C4DF">
      <w:pPr>
        <w:spacing w:line="360" w:lineRule="auto"/>
        <w:ind w:firstLine="420" w:firstLineChars="200"/>
        <w:jc w:val="left"/>
        <w:rPr>
          <w:rFonts w:ascii="宋体" w:hAnsi="宋体"/>
          <w:color w:val="auto"/>
          <w:szCs w:val="21"/>
        </w:rPr>
      </w:pPr>
      <w:r>
        <w:rPr>
          <w:rFonts w:hint="eastAsia" w:ascii="宋体" w:hAnsi="宋体"/>
          <w:color w:val="auto"/>
          <w:szCs w:val="21"/>
        </w:rPr>
        <w:t>2．承包人的专职安全管理人员必须持建设主管部门颁发的安全生产知识考核合格证书。</w:t>
      </w:r>
    </w:p>
    <w:p w14:paraId="50FEDE78">
      <w:pPr>
        <w:spacing w:line="360" w:lineRule="auto"/>
        <w:ind w:firstLine="420" w:firstLineChars="200"/>
        <w:jc w:val="left"/>
        <w:rPr>
          <w:rFonts w:ascii="宋体" w:hAnsi="宋体"/>
          <w:color w:val="auto"/>
          <w:szCs w:val="21"/>
        </w:rPr>
      </w:pPr>
      <w:r>
        <w:rPr>
          <w:rFonts w:hint="eastAsia" w:ascii="宋体" w:hAnsi="宋体"/>
          <w:color w:val="auto"/>
          <w:szCs w:val="21"/>
        </w:rPr>
        <w:t>3．承包人的专职安全管理人员在业务上接受发包人委托的监理公司和发包人安全管理部门的协调和指导。</w:t>
      </w:r>
    </w:p>
    <w:p w14:paraId="26CD714B">
      <w:pPr>
        <w:spacing w:line="360" w:lineRule="auto"/>
        <w:ind w:firstLine="420" w:firstLineChars="200"/>
        <w:jc w:val="left"/>
        <w:rPr>
          <w:rFonts w:ascii="宋体" w:hAnsi="宋体"/>
          <w:color w:val="auto"/>
          <w:szCs w:val="21"/>
        </w:rPr>
      </w:pPr>
      <w:r>
        <w:rPr>
          <w:rFonts w:hint="eastAsia" w:ascii="宋体" w:hAnsi="宋体"/>
          <w:color w:val="auto"/>
          <w:szCs w:val="21"/>
        </w:rPr>
        <w:t>4．承包人应建立班前安全交底制度；施工期间坚持开展安全检查和日常安全监督并形成相应的记录。</w:t>
      </w:r>
    </w:p>
    <w:p w14:paraId="6521D197">
      <w:pPr>
        <w:spacing w:line="360" w:lineRule="auto"/>
        <w:ind w:firstLine="420" w:firstLineChars="200"/>
        <w:jc w:val="left"/>
        <w:rPr>
          <w:rFonts w:ascii="宋体" w:hAnsi="宋体"/>
          <w:color w:val="auto"/>
          <w:szCs w:val="21"/>
        </w:rPr>
      </w:pPr>
      <w:r>
        <w:rPr>
          <w:rFonts w:hint="eastAsia" w:ascii="宋体" w:hAnsi="宋体"/>
          <w:color w:val="auto"/>
          <w:szCs w:val="21"/>
        </w:rPr>
        <w:t>5．承包人应在每个作业区任命兼职安全员，赋予兼职安全员相应的授权和义务，并对兼职安全员进行定期考核。</w:t>
      </w:r>
    </w:p>
    <w:p w14:paraId="0E3590C4">
      <w:pPr>
        <w:spacing w:line="360" w:lineRule="auto"/>
        <w:ind w:firstLine="420" w:firstLineChars="200"/>
        <w:jc w:val="left"/>
        <w:rPr>
          <w:rFonts w:ascii="宋体" w:hAnsi="宋体"/>
          <w:color w:val="auto"/>
          <w:szCs w:val="21"/>
        </w:rPr>
      </w:pPr>
      <w:r>
        <w:rPr>
          <w:rFonts w:hint="eastAsia" w:ascii="宋体" w:hAnsi="宋体"/>
          <w:color w:val="auto"/>
          <w:szCs w:val="21"/>
        </w:rPr>
        <w:t>6．承包人应接受和配合发包人专业部门及委托的监理公司的监督与安全评价。</w:t>
      </w:r>
    </w:p>
    <w:p w14:paraId="04D33BED">
      <w:pPr>
        <w:spacing w:line="360" w:lineRule="auto"/>
        <w:ind w:firstLine="420" w:firstLineChars="200"/>
        <w:jc w:val="left"/>
        <w:rPr>
          <w:rFonts w:ascii="宋体" w:hAnsi="宋体"/>
          <w:color w:val="auto"/>
          <w:szCs w:val="21"/>
        </w:rPr>
      </w:pPr>
      <w:r>
        <w:rPr>
          <w:rFonts w:hint="eastAsia" w:ascii="宋体" w:hAnsi="宋体"/>
          <w:color w:val="auto"/>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14:paraId="2B95A8FE">
      <w:pPr>
        <w:spacing w:line="360" w:lineRule="auto"/>
        <w:ind w:firstLine="420" w:firstLineChars="200"/>
        <w:rPr>
          <w:rFonts w:ascii="宋体" w:hAnsi="宋体"/>
          <w:color w:val="auto"/>
          <w:szCs w:val="21"/>
        </w:rPr>
      </w:pPr>
      <w:bookmarkStart w:id="2200" w:name="_Toc239510300"/>
      <w:bookmarkStart w:id="2201" w:name="_Toc532375710"/>
      <w:bookmarkStart w:id="2202" w:name="_Toc247431434"/>
      <w:bookmarkStart w:id="2203" w:name="_Toc247418274"/>
      <w:r>
        <w:rPr>
          <w:rFonts w:hint="eastAsia" w:ascii="宋体" w:hAnsi="宋体"/>
          <w:color w:val="auto"/>
          <w:szCs w:val="21"/>
        </w:rPr>
        <w:t>十一、安全培训与授权</w:t>
      </w:r>
      <w:bookmarkEnd w:id="2200"/>
      <w:bookmarkEnd w:id="2201"/>
      <w:bookmarkEnd w:id="2202"/>
      <w:bookmarkEnd w:id="2203"/>
    </w:p>
    <w:p w14:paraId="39ECB7F0">
      <w:pPr>
        <w:spacing w:line="360" w:lineRule="auto"/>
        <w:ind w:firstLine="420" w:firstLineChars="200"/>
        <w:jc w:val="left"/>
        <w:rPr>
          <w:rFonts w:ascii="宋体" w:hAnsi="宋体"/>
          <w:color w:val="auto"/>
          <w:szCs w:val="21"/>
        </w:rPr>
      </w:pPr>
      <w:r>
        <w:rPr>
          <w:rFonts w:hint="eastAsia" w:ascii="宋体" w:hAnsi="宋体"/>
          <w:color w:val="auto"/>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14:paraId="7C8036C1">
      <w:pPr>
        <w:spacing w:line="360" w:lineRule="auto"/>
        <w:ind w:firstLine="420" w:firstLineChars="200"/>
        <w:jc w:val="left"/>
        <w:rPr>
          <w:rFonts w:ascii="宋体" w:hAnsi="宋体"/>
          <w:color w:val="auto"/>
          <w:szCs w:val="21"/>
        </w:rPr>
      </w:pPr>
      <w:r>
        <w:rPr>
          <w:rFonts w:hint="eastAsia" w:ascii="宋体" w:hAnsi="宋体"/>
          <w:color w:val="auto"/>
          <w:szCs w:val="21"/>
        </w:rPr>
        <w:t>2．承包人应在特殊工种之外的其他工种中，筛选出高风险工种，并对其开展针对性的专题安全培训。</w:t>
      </w:r>
    </w:p>
    <w:p w14:paraId="7700E103">
      <w:pPr>
        <w:spacing w:line="360" w:lineRule="auto"/>
        <w:ind w:firstLine="420" w:firstLineChars="200"/>
        <w:jc w:val="left"/>
        <w:rPr>
          <w:rFonts w:ascii="宋体" w:hAnsi="宋体"/>
          <w:color w:val="auto"/>
          <w:szCs w:val="21"/>
        </w:rPr>
      </w:pPr>
      <w:r>
        <w:rPr>
          <w:rFonts w:hint="eastAsia" w:ascii="宋体" w:hAnsi="宋体"/>
          <w:color w:val="auto"/>
          <w:szCs w:val="21"/>
        </w:rPr>
        <w:t>3．承包人应组织 “入场培训”和考核。发包人委托的监理公司有权监督培训、考核情况或组织抽查考核。</w:t>
      </w:r>
    </w:p>
    <w:p w14:paraId="7F066886">
      <w:pPr>
        <w:spacing w:line="360" w:lineRule="auto"/>
        <w:ind w:firstLine="420" w:firstLineChars="200"/>
        <w:jc w:val="left"/>
        <w:rPr>
          <w:rFonts w:ascii="宋体" w:hAnsi="宋体"/>
          <w:color w:val="auto"/>
          <w:szCs w:val="21"/>
        </w:rPr>
      </w:pPr>
      <w:r>
        <w:rPr>
          <w:rFonts w:hint="eastAsia" w:ascii="宋体" w:hAnsi="宋体"/>
          <w:color w:val="auto"/>
          <w:szCs w:val="21"/>
        </w:rPr>
        <w:t>4．承包人应建立安全培训和考核机制，编制培训教材和培训滚动计划。承包人应组织安全考试/考核，建立培训考核记录，发包人委托的监理公司有权查看这些记录。</w:t>
      </w:r>
    </w:p>
    <w:p w14:paraId="567397D3">
      <w:pPr>
        <w:spacing w:line="360" w:lineRule="auto"/>
        <w:ind w:firstLine="420" w:firstLineChars="200"/>
        <w:rPr>
          <w:rFonts w:ascii="宋体" w:hAnsi="宋体"/>
          <w:color w:val="auto"/>
          <w:szCs w:val="21"/>
        </w:rPr>
      </w:pPr>
      <w:bookmarkStart w:id="2204" w:name="_Toc532375711"/>
      <w:bookmarkStart w:id="2205" w:name="_Toc247418275"/>
      <w:bookmarkStart w:id="2206" w:name="_Toc247431435"/>
      <w:bookmarkStart w:id="2207" w:name="_Toc239510301"/>
      <w:r>
        <w:rPr>
          <w:rFonts w:hint="eastAsia" w:ascii="宋体" w:hAnsi="宋体"/>
          <w:color w:val="auto"/>
          <w:szCs w:val="21"/>
        </w:rPr>
        <w:t>十二、职业健康与卫生防疫</w:t>
      </w:r>
      <w:bookmarkEnd w:id="2204"/>
      <w:bookmarkEnd w:id="2205"/>
      <w:bookmarkEnd w:id="2206"/>
      <w:bookmarkEnd w:id="2207"/>
    </w:p>
    <w:p w14:paraId="075CF19B">
      <w:pPr>
        <w:spacing w:line="360" w:lineRule="auto"/>
        <w:ind w:firstLine="420" w:firstLineChars="200"/>
        <w:jc w:val="left"/>
        <w:rPr>
          <w:rFonts w:ascii="宋体" w:hAnsi="宋体"/>
          <w:color w:val="auto"/>
          <w:szCs w:val="21"/>
        </w:rPr>
      </w:pPr>
      <w:r>
        <w:rPr>
          <w:rFonts w:hint="eastAsia" w:ascii="宋体" w:hAnsi="宋体"/>
          <w:color w:val="auto"/>
          <w:szCs w:val="21"/>
        </w:rPr>
        <w:t>1．承包人应有特殊健康检查制度，预防有禁忌症患者从事有关职业，如恐高症患者不得从事高空作业，患有心血管疾病的人员不得从事繁重的体力劳动，特殊工种人员的体检应符合国家的规定。</w:t>
      </w:r>
    </w:p>
    <w:p w14:paraId="7EBC0679">
      <w:pPr>
        <w:spacing w:line="360" w:lineRule="auto"/>
        <w:ind w:firstLine="420" w:firstLineChars="200"/>
        <w:jc w:val="left"/>
        <w:rPr>
          <w:rFonts w:ascii="宋体" w:hAnsi="宋体"/>
          <w:color w:val="auto"/>
          <w:szCs w:val="21"/>
        </w:rPr>
      </w:pPr>
      <w:r>
        <w:rPr>
          <w:rFonts w:hint="eastAsia" w:ascii="宋体" w:hAnsi="宋体"/>
          <w:color w:val="auto"/>
          <w:szCs w:val="21"/>
        </w:rPr>
        <w:t>2．承包人应保证卫生防疫基本设施的投入，以满足医疗、急救的要求，建立外部医疗支持渠道。</w:t>
      </w:r>
    </w:p>
    <w:p w14:paraId="355EC60F">
      <w:pPr>
        <w:spacing w:line="360" w:lineRule="auto"/>
        <w:ind w:firstLine="420" w:firstLineChars="200"/>
        <w:jc w:val="left"/>
        <w:rPr>
          <w:rFonts w:ascii="宋体" w:hAnsi="宋体"/>
          <w:color w:val="auto"/>
          <w:szCs w:val="21"/>
        </w:rPr>
      </w:pPr>
      <w:r>
        <w:rPr>
          <w:rFonts w:hint="eastAsia" w:ascii="宋体" w:hAnsi="宋体"/>
          <w:color w:val="auto"/>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33159044">
      <w:pPr>
        <w:spacing w:line="360" w:lineRule="auto"/>
        <w:ind w:firstLine="420" w:firstLineChars="200"/>
        <w:rPr>
          <w:rFonts w:ascii="宋体" w:hAnsi="宋体"/>
          <w:color w:val="auto"/>
          <w:szCs w:val="21"/>
        </w:rPr>
      </w:pPr>
      <w:bookmarkStart w:id="2208" w:name="_Toc532375712"/>
      <w:bookmarkStart w:id="2209" w:name="_Toc247418276"/>
      <w:bookmarkStart w:id="2210" w:name="_Toc247431436"/>
      <w:bookmarkStart w:id="2211" w:name="_Toc239510302"/>
      <w:r>
        <w:rPr>
          <w:rFonts w:hint="eastAsia" w:ascii="宋体" w:hAnsi="宋体"/>
          <w:color w:val="auto"/>
          <w:szCs w:val="21"/>
        </w:rPr>
        <w:t>十三、文明施工与环保要求</w:t>
      </w:r>
      <w:bookmarkEnd w:id="2208"/>
      <w:bookmarkEnd w:id="2209"/>
      <w:bookmarkEnd w:id="2210"/>
      <w:bookmarkEnd w:id="2211"/>
    </w:p>
    <w:p w14:paraId="6617E284">
      <w:pPr>
        <w:spacing w:line="360" w:lineRule="auto"/>
        <w:ind w:firstLine="420" w:firstLineChars="200"/>
        <w:jc w:val="left"/>
        <w:rPr>
          <w:rFonts w:ascii="宋体" w:hAnsi="宋体"/>
          <w:color w:val="auto"/>
          <w:szCs w:val="21"/>
        </w:rPr>
      </w:pPr>
      <w:r>
        <w:rPr>
          <w:rFonts w:hint="eastAsia" w:ascii="宋体" w:hAnsi="宋体"/>
          <w:color w:val="auto"/>
          <w:szCs w:val="21"/>
        </w:rPr>
        <w:t>1．承包人需制订施工现场的文明施工措施，保持良好的施工现场秩序。施工现场的物料堆放要摆放整齐，安全标志和宣传标志要清楚醒目，废料、废物要分类收集，安全通道要畅通。</w:t>
      </w:r>
    </w:p>
    <w:p w14:paraId="1914FF32">
      <w:pPr>
        <w:spacing w:line="360" w:lineRule="auto"/>
        <w:ind w:firstLine="420" w:firstLineChars="200"/>
        <w:jc w:val="left"/>
        <w:rPr>
          <w:rFonts w:ascii="宋体" w:hAnsi="宋体"/>
          <w:color w:val="auto"/>
          <w:szCs w:val="21"/>
        </w:rPr>
      </w:pPr>
      <w:r>
        <w:rPr>
          <w:rFonts w:hint="eastAsia" w:ascii="宋体" w:hAnsi="宋体"/>
          <w:color w:val="auto"/>
          <w:szCs w:val="21"/>
        </w:rPr>
        <w:t>2．承包人作业时应避免建筑材料抛洒、飞扬、流淌；应尽可能降低噪音、震动。</w:t>
      </w:r>
    </w:p>
    <w:p w14:paraId="4CDF7475">
      <w:pPr>
        <w:spacing w:line="360" w:lineRule="auto"/>
        <w:ind w:firstLine="420" w:firstLineChars="200"/>
        <w:jc w:val="left"/>
        <w:rPr>
          <w:rFonts w:ascii="宋体" w:hAnsi="宋体"/>
          <w:color w:val="auto"/>
          <w:szCs w:val="21"/>
        </w:rPr>
      </w:pPr>
      <w:r>
        <w:rPr>
          <w:rFonts w:hint="eastAsia" w:ascii="宋体" w:hAnsi="宋体"/>
          <w:color w:val="auto"/>
          <w:szCs w:val="21"/>
        </w:rPr>
        <w:t>3．承包人应根据实际需要，在施工现场布置临时卫生设施（洗手间、卫生间等），施工作业不破坏环境卫生，不污染现场环境。</w:t>
      </w:r>
    </w:p>
    <w:p w14:paraId="474CD4DE">
      <w:pPr>
        <w:spacing w:line="360" w:lineRule="auto"/>
        <w:ind w:firstLine="420" w:firstLineChars="200"/>
        <w:jc w:val="left"/>
        <w:rPr>
          <w:rFonts w:ascii="宋体" w:hAnsi="宋体"/>
          <w:color w:val="auto"/>
          <w:szCs w:val="21"/>
        </w:rPr>
      </w:pPr>
      <w:r>
        <w:rPr>
          <w:rFonts w:hint="eastAsia" w:ascii="宋体" w:hAnsi="宋体"/>
          <w:color w:val="auto"/>
          <w:szCs w:val="21"/>
        </w:rPr>
        <w:t>4．承包人在施工中应充分重视对环境的保护，保护绿色植被，保护古树。施工如需伤害古树，必须报告发包人委托的监理公司，在未得到指令前，禁止擅自伤害古树。</w:t>
      </w:r>
    </w:p>
    <w:p w14:paraId="623A0059">
      <w:pPr>
        <w:spacing w:line="360" w:lineRule="auto"/>
        <w:ind w:firstLine="420" w:firstLineChars="200"/>
        <w:jc w:val="left"/>
        <w:rPr>
          <w:rFonts w:ascii="宋体" w:hAnsi="宋体"/>
          <w:color w:val="auto"/>
          <w:szCs w:val="21"/>
        </w:rPr>
      </w:pPr>
      <w:r>
        <w:rPr>
          <w:rFonts w:hint="eastAsia" w:ascii="宋体" w:hAnsi="宋体"/>
          <w:color w:val="auto"/>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5CAEC675">
      <w:pPr>
        <w:spacing w:line="360" w:lineRule="auto"/>
        <w:ind w:firstLine="420" w:firstLineChars="200"/>
        <w:jc w:val="left"/>
        <w:rPr>
          <w:rFonts w:ascii="宋体" w:hAnsi="宋体"/>
          <w:color w:val="auto"/>
          <w:szCs w:val="21"/>
        </w:rPr>
      </w:pPr>
      <w:r>
        <w:rPr>
          <w:rFonts w:hint="eastAsia" w:ascii="宋体" w:hAnsi="宋体"/>
          <w:color w:val="auto"/>
          <w:szCs w:val="21"/>
        </w:rPr>
        <w:t>6．承包人在施工中应禁止向环境，排放工业污水、生活污水、废油或其他有害物质。</w:t>
      </w:r>
    </w:p>
    <w:p w14:paraId="0FAFED6B">
      <w:pPr>
        <w:spacing w:line="360" w:lineRule="auto"/>
        <w:ind w:firstLine="420" w:firstLineChars="200"/>
        <w:jc w:val="left"/>
        <w:rPr>
          <w:rFonts w:ascii="宋体" w:hAnsi="宋体"/>
          <w:color w:val="auto"/>
          <w:szCs w:val="21"/>
        </w:rPr>
      </w:pPr>
      <w:r>
        <w:rPr>
          <w:rFonts w:hint="eastAsia" w:ascii="宋体" w:hAnsi="宋体"/>
          <w:color w:val="auto"/>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3E213D8E">
      <w:pPr>
        <w:spacing w:line="360" w:lineRule="auto"/>
        <w:ind w:firstLine="420" w:firstLineChars="200"/>
        <w:rPr>
          <w:rFonts w:ascii="宋体" w:hAnsi="宋体"/>
          <w:color w:val="auto"/>
          <w:szCs w:val="21"/>
        </w:rPr>
      </w:pPr>
      <w:bookmarkStart w:id="2212" w:name="_Toc247431437"/>
      <w:bookmarkStart w:id="2213" w:name="_Toc247418277"/>
      <w:bookmarkStart w:id="2214" w:name="_Toc239510303"/>
      <w:bookmarkStart w:id="2215" w:name="_Toc532375713"/>
      <w:r>
        <w:rPr>
          <w:rFonts w:hint="eastAsia" w:ascii="宋体" w:hAnsi="宋体"/>
          <w:color w:val="auto"/>
          <w:szCs w:val="21"/>
        </w:rPr>
        <w:t>十四、工程风险管理与事故预防</w:t>
      </w:r>
      <w:bookmarkEnd w:id="2212"/>
      <w:bookmarkEnd w:id="2213"/>
      <w:bookmarkEnd w:id="2214"/>
      <w:bookmarkEnd w:id="2215"/>
    </w:p>
    <w:p w14:paraId="7B301B31">
      <w:pPr>
        <w:spacing w:line="360" w:lineRule="auto"/>
        <w:ind w:firstLine="420" w:firstLineChars="200"/>
        <w:jc w:val="left"/>
        <w:rPr>
          <w:rFonts w:ascii="宋体" w:hAnsi="宋体"/>
          <w:color w:val="auto"/>
          <w:szCs w:val="21"/>
        </w:rPr>
      </w:pPr>
      <w:bookmarkStart w:id="2216" w:name="_Toc247431438"/>
      <w:bookmarkStart w:id="2217" w:name="_Toc239510304"/>
      <w:bookmarkStart w:id="2218" w:name="_Toc247418278"/>
      <w:r>
        <w:rPr>
          <w:rFonts w:hint="eastAsia" w:ascii="宋体" w:hAnsi="宋体"/>
          <w:color w:val="auto"/>
          <w:szCs w:val="21"/>
        </w:rPr>
        <w:t>（一）基本要求</w:t>
      </w:r>
      <w:bookmarkEnd w:id="2216"/>
      <w:bookmarkEnd w:id="2217"/>
      <w:bookmarkEnd w:id="2218"/>
    </w:p>
    <w:p w14:paraId="2D2DFDEB">
      <w:pPr>
        <w:spacing w:line="360" w:lineRule="auto"/>
        <w:ind w:firstLine="420" w:firstLineChars="200"/>
        <w:jc w:val="left"/>
        <w:rPr>
          <w:rFonts w:ascii="宋体" w:hAnsi="宋体"/>
          <w:color w:val="auto"/>
          <w:szCs w:val="21"/>
        </w:rPr>
      </w:pPr>
      <w:bookmarkStart w:id="2219" w:name="_Toc532375714"/>
      <w:r>
        <w:rPr>
          <w:rFonts w:hint="eastAsia" w:ascii="宋体" w:hAnsi="宋体"/>
          <w:color w:val="auto"/>
          <w:szCs w:val="21"/>
        </w:rPr>
        <w:t>1．承包人应对施工过程进行全面、深入的危险源识别和风险分析。在施工安全组织设计中提供危险源及重要危险源清单、作业风险分析报告，该报告应包括（但不限于）如下信息：</w:t>
      </w:r>
      <w:bookmarkEnd w:id="2219"/>
    </w:p>
    <w:p w14:paraId="624E02F8">
      <w:pPr>
        <w:spacing w:line="360" w:lineRule="auto"/>
        <w:ind w:firstLine="420" w:firstLineChars="200"/>
        <w:jc w:val="left"/>
        <w:rPr>
          <w:rFonts w:ascii="宋体" w:hAnsi="宋体"/>
          <w:color w:val="auto"/>
          <w:szCs w:val="21"/>
        </w:rPr>
      </w:pPr>
      <w:r>
        <w:rPr>
          <w:rFonts w:hint="eastAsia" w:ascii="宋体" w:hAnsi="宋体"/>
          <w:color w:val="auto"/>
          <w:szCs w:val="21"/>
        </w:rPr>
        <w:t>（1）高风险作业和工种清单：作业名称、类别和数量、主要事故风险。</w:t>
      </w:r>
    </w:p>
    <w:p w14:paraId="4746EC36">
      <w:pPr>
        <w:spacing w:line="360" w:lineRule="auto"/>
        <w:ind w:firstLine="420" w:firstLineChars="200"/>
        <w:jc w:val="left"/>
        <w:rPr>
          <w:rFonts w:ascii="宋体" w:hAnsi="宋体"/>
          <w:color w:val="auto"/>
          <w:szCs w:val="21"/>
        </w:rPr>
      </w:pPr>
      <w:r>
        <w:rPr>
          <w:rFonts w:hint="eastAsia" w:ascii="宋体" w:hAnsi="宋体"/>
          <w:color w:val="auto"/>
          <w:szCs w:val="21"/>
        </w:rPr>
        <w:t>（2）施工能源和机械的种类、数量和主要事故风险。</w:t>
      </w:r>
    </w:p>
    <w:p w14:paraId="657B1B9E">
      <w:pPr>
        <w:spacing w:line="360" w:lineRule="auto"/>
        <w:ind w:firstLine="420" w:firstLineChars="200"/>
        <w:jc w:val="left"/>
        <w:rPr>
          <w:rFonts w:ascii="宋体" w:hAnsi="宋体"/>
          <w:color w:val="auto"/>
          <w:szCs w:val="21"/>
        </w:rPr>
      </w:pPr>
      <w:r>
        <w:rPr>
          <w:rFonts w:hint="eastAsia" w:ascii="宋体" w:hAnsi="宋体"/>
          <w:color w:val="auto"/>
          <w:szCs w:val="21"/>
        </w:rPr>
        <w:t>（3）施工作业条件的类型和主要事故风险。</w:t>
      </w:r>
    </w:p>
    <w:p w14:paraId="13BEC9EC">
      <w:pPr>
        <w:spacing w:line="360" w:lineRule="auto"/>
        <w:ind w:firstLine="420" w:firstLineChars="200"/>
        <w:jc w:val="left"/>
        <w:rPr>
          <w:rFonts w:ascii="宋体" w:hAnsi="宋体"/>
          <w:color w:val="auto"/>
          <w:szCs w:val="21"/>
        </w:rPr>
      </w:pPr>
      <w:r>
        <w:rPr>
          <w:rFonts w:hint="eastAsia" w:ascii="宋体" w:hAnsi="宋体"/>
          <w:color w:val="auto"/>
          <w:szCs w:val="21"/>
        </w:rPr>
        <w:t>（4）主要工艺过程（或施工活动）的类别及其相关的事故风险。</w:t>
      </w:r>
    </w:p>
    <w:p w14:paraId="2D835EBF">
      <w:pPr>
        <w:spacing w:line="360" w:lineRule="auto"/>
        <w:ind w:firstLine="420" w:firstLineChars="200"/>
        <w:jc w:val="left"/>
        <w:rPr>
          <w:rFonts w:ascii="宋体" w:hAnsi="宋体"/>
          <w:color w:val="auto"/>
          <w:szCs w:val="21"/>
        </w:rPr>
      </w:pPr>
      <w:r>
        <w:rPr>
          <w:rFonts w:hint="eastAsia" w:ascii="宋体" w:hAnsi="宋体"/>
          <w:color w:val="auto"/>
          <w:szCs w:val="21"/>
        </w:rPr>
        <w:t>（5）主要火灾危险（可燃物、点火源）。</w:t>
      </w:r>
    </w:p>
    <w:p w14:paraId="474AC94B">
      <w:pPr>
        <w:spacing w:line="360" w:lineRule="auto"/>
        <w:ind w:firstLine="420" w:firstLineChars="200"/>
        <w:jc w:val="left"/>
        <w:rPr>
          <w:rFonts w:ascii="宋体" w:hAnsi="宋体"/>
          <w:color w:val="auto"/>
          <w:szCs w:val="21"/>
        </w:rPr>
      </w:pPr>
      <w:r>
        <w:rPr>
          <w:rFonts w:hint="eastAsia" w:ascii="宋体" w:hAnsi="宋体"/>
          <w:color w:val="auto"/>
          <w:szCs w:val="21"/>
        </w:rPr>
        <w:t>（6）主要自然灾害（洪水、大风、雷暴、暴雨、地质灾害等）。</w:t>
      </w:r>
    </w:p>
    <w:p w14:paraId="47F01647">
      <w:pPr>
        <w:spacing w:line="360" w:lineRule="auto"/>
        <w:ind w:firstLine="420" w:firstLineChars="200"/>
        <w:jc w:val="left"/>
        <w:rPr>
          <w:rFonts w:ascii="宋体" w:hAnsi="宋体"/>
          <w:color w:val="auto"/>
          <w:szCs w:val="21"/>
        </w:rPr>
      </w:pPr>
      <w:r>
        <w:rPr>
          <w:rFonts w:hint="eastAsia" w:ascii="宋体" w:hAnsi="宋体"/>
          <w:color w:val="auto"/>
          <w:szCs w:val="21"/>
        </w:rPr>
        <w:t>（7）主要环境保护事件（有害垃圾、机械的跑冒滴漏、原材料流失、水土流失等）。</w:t>
      </w:r>
    </w:p>
    <w:p w14:paraId="193861EC">
      <w:pPr>
        <w:spacing w:line="360" w:lineRule="auto"/>
        <w:ind w:firstLine="420" w:firstLineChars="200"/>
        <w:jc w:val="left"/>
        <w:rPr>
          <w:rFonts w:ascii="宋体" w:hAnsi="宋体"/>
          <w:color w:val="auto"/>
          <w:szCs w:val="21"/>
        </w:rPr>
      </w:pPr>
      <w:r>
        <w:rPr>
          <w:rFonts w:hint="eastAsia" w:ascii="宋体" w:hAnsi="宋体"/>
          <w:color w:val="auto"/>
          <w:szCs w:val="21"/>
        </w:rPr>
        <w:t>（8）其他。</w:t>
      </w:r>
    </w:p>
    <w:p w14:paraId="313386DB">
      <w:pPr>
        <w:spacing w:line="360" w:lineRule="auto"/>
        <w:ind w:firstLine="420" w:firstLineChars="200"/>
        <w:jc w:val="left"/>
        <w:rPr>
          <w:rFonts w:ascii="宋体" w:hAnsi="宋体"/>
          <w:color w:val="auto"/>
          <w:szCs w:val="21"/>
        </w:rPr>
      </w:pPr>
      <w:r>
        <w:rPr>
          <w:rFonts w:hint="eastAsia" w:ascii="宋体" w:hAnsi="宋体"/>
          <w:color w:val="auto"/>
          <w:szCs w:val="21"/>
        </w:rPr>
        <w:t>2．承包人应针对识别出的危险源制定有针对性的事故预防措施并确保在施工中得到有效落实。</w:t>
      </w:r>
    </w:p>
    <w:p w14:paraId="3D6539FC">
      <w:pPr>
        <w:spacing w:line="360" w:lineRule="auto"/>
        <w:ind w:firstLine="420" w:firstLineChars="200"/>
        <w:jc w:val="left"/>
        <w:rPr>
          <w:rFonts w:ascii="宋体" w:hAnsi="宋体"/>
          <w:color w:val="auto"/>
          <w:szCs w:val="21"/>
        </w:rPr>
      </w:pPr>
      <w:r>
        <w:rPr>
          <w:rFonts w:hint="eastAsia" w:ascii="宋体" w:hAnsi="宋体"/>
          <w:color w:val="auto"/>
          <w:szCs w:val="21"/>
        </w:rPr>
        <w:t>3．承包人应建立日常施工活动的动态作业风险分析和安全交底制度。该制度应明确规定风险分析的方法、责任和交底的内容、时间及记录。</w:t>
      </w:r>
    </w:p>
    <w:p w14:paraId="7DE36297">
      <w:pPr>
        <w:spacing w:line="360" w:lineRule="auto"/>
        <w:ind w:firstLine="420" w:firstLineChars="200"/>
        <w:jc w:val="left"/>
        <w:rPr>
          <w:rFonts w:ascii="宋体" w:hAnsi="宋体"/>
          <w:color w:val="auto"/>
          <w:szCs w:val="21"/>
        </w:rPr>
      </w:pPr>
      <w:bookmarkStart w:id="2220" w:name="_Toc247418279"/>
      <w:bookmarkStart w:id="2221" w:name="_Toc239510305"/>
      <w:bookmarkStart w:id="2222" w:name="_Toc247431439"/>
      <w:r>
        <w:rPr>
          <w:rFonts w:hint="eastAsia" w:ascii="宋体" w:hAnsi="宋体"/>
          <w:color w:val="auto"/>
          <w:szCs w:val="21"/>
        </w:rPr>
        <w:t>（二）现场作业基本安全条件</w:t>
      </w:r>
      <w:bookmarkEnd w:id="2220"/>
      <w:bookmarkEnd w:id="2221"/>
      <w:bookmarkEnd w:id="2222"/>
    </w:p>
    <w:p w14:paraId="2ABC43DF">
      <w:pPr>
        <w:spacing w:line="360" w:lineRule="auto"/>
        <w:ind w:firstLine="420" w:firstLineChars="200"/>
        <w:jc w:val="left"/>
        <w:rPr>
          <w:rFonts w:ascii="宋体" w:hAnsi="宋体"/>
          <w:color w:val="auto"/>
          <w:szCs w:val="21"/>
        </w:rPr>
      </w:pPr>
      <w:r>
        <w:rPr>
          <w:rFonts w:hint="eastAsia" w:ascii="宋体" w:hAnsi="宋体"/>
          <w:color w:val="auto"/>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6C140968">
      <w:pPr>
        <w:spacing w:line="360" w:lineRule="auto"/>
        <w:ind w:firstLine="420" w:firstLineChars="200"/>
        <w:rPr>
          <w:rFonts w:ascii="宋体" w:hAnsi="宋体"/>
          <w:color w:val="auto"/>
          <w:szCs w:val="21"/>
        </w:rPr>
      </w:pPr>
      <w:bookmarkStart w:id="2223" w:name="_Toc247431440"/>
      <w:bookmarkStart w:id="2224" w:name="_Toc239510306"/>
      <w:bookmarkStart w:id="2225" w:name="_Toc532375715"/>
      <w:bookmarkStart w:id="2226" w:name="_Toc247418280"/>
      <w:r>
        <w:rPr>
          <w:rFonts w:hint="eastAsia" w:ascii="宋体" w:hAnsi="宋体"/>
          <w:color w:val="auto"/>
          <w:szCs w:val="21"/>
        </w:rPr>
        <w:t>十五、事故报告与应急救援</w:t>
      </w:r>
      <w:bookmarkEnd w:id="2223"/>
      <w:bookmarkEnd w:id="2224"/>
      <w:bookmarkEnd w:id="2225"/>
      <w:bookmarkEnd w:id="2226"/>
    </w:p>
    <w:p w14:paraId="27292605">
      <w:pPr>
        <w:spacing w:line="360" w:lineRule="auto"/>
        <w:ind w:firstLine="420" w:firstLineChars="200"/>
        <w:jc w:val="left"/>
        <w:rPr>
          <w:rFonts w:ascii="宋体" w:hAnsi="宋体"/>
          <w:color w:val="auto"/>
          <w:szCs w:val="21"/>
        </w:rPr>
      </w:pPr>
      <w:r>
        <w:rPr>
          <w:rFonts w:hint="eastAsia" w:ascii="宋体" w:hAnsi="宋体"/>
          <w:color w:val="auto"/>
          <w:szCs w:val="21"/>
        </w:rPr>
        <w:t>1．承包人应制定对于未遂事故及以上级别的安全事件和事故，定期报送安全月度快报、季报、年报和各种专项事故报告等。</w:t>
      </w:r>
    </w:p>
    <w:p w14:paraId="2AE9D5C3">
      <w:pPr>
        <w:spacing w:line="360" w:lineRule="auto"/>
        <w:ind w:firstLine="420" w:firstLineChars="200"/>
        <w:jc w:val="left"/>
        <w:rPr>
          <w:rFonts w:ascii="宋体" w:hAnsi="宋体"/>
          <w:color w:val="auto"/>
          <w:szCs w:val="21"/>
        </w:rPr>
      </w:pPr>
      <w:r>
        <w:rPr>
          <w:rFonts w:hint="eastAsia" w:ascii="宋体" w:hAnsi="宋体"/>
          <w:color w:val="auto"/>
          <w:szCs w:val="21"/>
        </w:rPr>
        <w:t>2．承包人应建立安全事故统计记录、未遂事故统计记录、违章统计记录，并根据统计情况进行分析，并就分析结果制定相应的预防措施。</w:t>
      </w:r>
    </w:p>
    <w:p w14:paraId="47599525">
      <w:pPr>
        <w:spacing w:line="360" w:lineRule="auto"/>
        <w:ind w:firstLine="420" w:firstLineChars="200"/>
        <w:jc w:val="left"/>
        <w:rPr>
          <w:rFonts w:ascii="宋体" w:hAnsi="宋体"/>
          <w:color w:val="auto"/>
          <w:szCs w:val="21"/>
        </w:rPr>
      </w:pPr>
      <w:r>
        <w:rPr>
          <w:rFonts w:hint="eastAsia" w:ascii="宋体" w:hAnsi="宋体"/>
          <w:color w:val="auto"/>
          <w:szCs w:val="21"/>
        </w:rPr>
        <w:t>3．承包人应建立事故应急救援机制，明确事故处置的基本原则，即现场发生事故时，首先抢救生命，向救援组织报警，并采取措施限制事故扩大。</w:t>
      </w:r>
    </w:p>
    <w:p w14:paraId="23ABE86B">
      <w:pPr>
        <w:spacing w:line="360" w:lineRule="auto"/>
        <w:ind w:firstLine="420" w:firstLineChars="200"/>
        <w:jc w:val="left"/>
        <w:rPr>
          <w:rFonts w:ascii="宋体" w:hAnsi="宋体"/>
          <w:color w:val="auto"/>
          <w:szCs w:val="21"/>
        </w:rPr>
      </w:pPr>
      <w:r>
        <w:rPr>
          <w:rFonts w:hint="eastAsia" w:ascii="宋体" w:hAnsi="宋体"/>
          <w:color w:val="auto"/>
          <w:szCs w:val="21"/>
        </w:rPr>
        <w:t>4．承包人应建立相应的应急响应组织，以便能迅速处理突发意外。</w:t>
      </w:r>
    </w:p>
    <w:p w14:paraId="70882271">
      <w:pPr>
        <w:spacing w:line="360" w:lineRule="auto"/>
        <w:ind w:firstLine="420" w:firstLineChars="200"/>
        <w:jc w:val="left"/>
        <w:rPr>
          <w:rFonts w:ascii="宋体" w:hAnsi="宋体"/>
          <w:color w:val="auto"/>
          <w:szCs w:val="21"/>
        </w:rPr>
      </w:pPr>
      <w:r>
        <w:rPr>
          <w:rFonts w:hint="eastAsia" w:ascii="宋体" w:hAnsi="宋体"/>
          <w:color w:val="auto"/>
          <w:szCs w:val="21"/>
        </w:rPr>
        <w:t>5．承包人应建立专项应急响应预案，包括重大人身伤亡事故的救护预案、火灾响应预案、“四防”预案（防风、防冻、防雷、防暴雨）、重大疫病防护预案、环境污染防护预案、地质灾害防护预案等。</w:t>
      </w:r>
    </w:p>
    <w:p w14:paraId="684A1CFE">
      <w:pPr>
        <w:spacing w:line="360" w:lineRule="auto"/>
        <w:ind w:firstLine="420" w:firstLineChars="200"/>
        <w:jc w:val="left"/>
        <w:rPr>
          <w:rFonts w:ascii="宋体" w:hAnsi="宋体"/>
          <w:color w:val="auto"/>
          <w:szCs w:val="21"/>
        </w:rPr>
      </w:pPr>
      <w:r>
        <w:rPr>
          <w:rFonts w:hint="eastAsia" w:ascii="宋体" w:hAnsi="宋体"/>
          <w:color w:val="auto"/>
          <w:szCs w:val="21"/>
        </w:rPr>
        <w:t>6．承包人应对应急预案进行适当演练，保证应急预案的可操作性。</w:t>
      </w:r>
    </w:p>
    <w:p w14:paraId="68698C83">
      <w:pPr>
        <w:spacing w:line="360" w:lineRule="auto"/>
        <w:ind w:firstLine="420" w:firstLineChars="200"/>
        <w:jc w:val="left"/>
        <w:rPr>
          <w:rFonts w:ascii="宋体" w:hAnsi="宋体"/>
          <w:color w:val="auto"/>
          <w:szCs w:val="21"/>
        </w:rPr>
      </w:pPr>
      <w:r>
        <w:rPr>
          <w:rFonts w:hint="eastAsia" w:ascii="宋体" w:hAnsi="宋体"/>
          <w:color w:val="auto"/>
          <w:szCs w:val="21"/>
        </w:rPr>
        <w:t>7．在工地的其他施工单位发生重大事故时，承包人应无条件立即配合、支持事故抢险。</w:t>
      </w:r>
    </w:p>
    <w:p w14:paraId="14C937C7">
      <w:pPr>
        <w:spacing w:line="360" w:lineRule="auto"/>
        <w:ind w:firstLine="420" w:firstLineChars="200"/>
        <w:jc w:val="left"/>
        <w:rPr>
          <w:rFonts w:ascii="宋体" w:hAnsi="宋体"/>
          <w:color w:val="auto"/>
          <w:szCs w:val="21"/>
        </w:rPr>
      </w:pPr>
      <w:r>
        <w:rPr>
          <w:rFonts w:hint="eastAsia" w:ascii="宋体" w:hAnsi="宋体"/>
          <w:color w:val="auto"/>
          <w:szCs w:val="21"/>
        </w:rPr>
        <w:t>8．承包人必须为事故处置支付各项费用，包括受伤者的抚恤、补偿等费用，并按合同要求赔偿对发包人造成的损失。</w:t>
      </w:r>
    </w:p>
    <w:p w14:paraId="21DFFC07">
      <w:pPr>
        <w:spacing w:line="360" w:lineRule="auto"/>
        <w:ind w:firstLine="420" w:firstLineChars="200"/>
        <w:jc w:val="left"/>
        <w:rPr>
          <w:rFonts w:ascii="宋体" w:hAnsi="宋体"/>
          <w:color w:val="auto"/>
          <w:szCs w:val="21"/>
        </w:rPr>
      </w:pPr>
      <w:r>
        <w:rPr>
          <w:rFonts w:hint="eastAsia" w:ascii="宋体" w:hAnsi="宋体"/>
          <w:color w:val="auto"/>
          <w:szCs w:val="21"/>
        </w:rPr>
        <w:t>9．由于发包人原因而造成的事故，发包人应负责按事故的具体损失情况给予承包人经济赔偿。</w:t>
      </w:r>
    </w:p>
    <w:p w14:paraId="74AA3D75">
      <w:pPr>
        <w:spacing w:line="360" w:lineRule="auto"/>
        <w:ind w:firstLine="420" w:firstLineChars="200"/>
        <w:jc w:val="left"/>
        <w:rPr>
          <w:rFonts w:ascii="宋体" w:hAnsi="宋体"/>
          <w:color w:val="auto"/>
          <w:szCs w:val="21"/>
        </w:rPr>
      </w:pPr>
      <w:r>
        <w:rPr>
          <w:rFonts w:hint="eastAsia" w:ascii="宋体" w:hAnsi="宋体"/>
          <w:color w:val="auto"/>
          <w:szCs w:val="21"/>
        </w:rPr>
        <w:t>10．涉及承包人员工的伤害事故，承包人除要报告发包人委托的监理公司外，还应负责按照国家、行业和本单位上级公司的要求，上报事故。</w:t>
      </w:r>
    </w:p>
    <w:p w14:paraId="15AAC0CB">
      <w:pPr>
        <w:spacing w:line="360" w:lineRule="auto"/>
        <w:ind w:firstLine="420" w:firstLineChars="200"/>
        <w:rPr>
          <w:rFonts w:ascii="宋体" w:hAnsi="宋体"/>
          <w:color w:val="auto"/>
          <w:szCs w:val="21"/>
        </w:rPr>
      </w:pPr>
      <w:bookmarkStart w:id="2227" w:name="_Toc532375716"/>
      <w:bookmarkStart w:id="2228" w:name="_Toc247418281"/>
      <w:bookmarkStart w:id="2229" w:name="_Toc239510307"/>
      <w:bookmarkStart w:id="2230" w:name="_Toc247431441"/>
      <w:r>
        <w:rPr>
          <w:rFonts w:hint="eastAsia" w:ascii="宋体" w:hAnsi="宋体"/>
          <w:color w:val="auto"/>
          <w:szCs w:val="21"/>
        </w:rPr>
        <w:t>十六、安全业绩考核</w:t>
      </w:r>
      <w:bookmarkEnd w:id="2227"/>
      <w:bookmarkEnd w:id="2228"/>
      <w:bookmarkEnd w:id="2229"/>
      <w:bookmarkEnd w:id="2230"/>
    </w:p>
    <w:p w14:paraId="57E40DB8">
      <w:pPr>
        <w:spacing w:line="360" w:lineRule="auto"/>
        <w:ind w:firstLine="420" w:firstLineChars="200"/>
        <w:jc w:val="left"/>
        <w:rPr>
          <w:rFonts w:ascii="宋体" w:hAnsi="宋体"/>
          <w:color w:val="auto"/>
          <w:szCs w:val="21"/>
        </w:rPr>
      </w:pPr>
      <w:r>
        <w:rPr>
          <w:rFonts w:hint="eastAsia" w:ascii="宋体" w:hAnsi="宋体"/>
          <w:color w:val="auto"/>
          <w:szCs w:val="21"/>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1754ECC6">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50F075">
            <w:pPr>
              <w:spacing w:line="360" w:lineRule="auto"/>
              <w:ind w:firstLine="420" w:firstLineChars="200"/>
              <w:jc w:val="left"/>
              <w:rPr>
                <w:rFonts w:ascii="宋体" w:hAnsi="宋体"/>
                <w:color w:val="auto"/>
                <w:szCs w:val="21"/>
              </w:rPr>
            </w:pPr>
            <w:r>
              <w:rPr>
                <w:rFonts w:hint="eastAsia" w:ascii="宋体" w:hAnsi="宋体"/>
                <w:color w:val="auto"/>
                <w:szCs w:val="21"/>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8B1D4CD">
            <w:pPr>
              <w:spacing w:line="360" w:lineRule="auto"/>
              <w:ind w:firstLine="420" w:firstLineChars="200"/>
              <w:jc w:val="left"/>
              <w:rPr>
                <w:rFonts w:ascii="宋体" w:hAnsi="宋体"/>
                <w:color w:val="auto"/>
                <w:szCs w:val="21"/>
              </w:rPr>
            </w:pPr>
            <w:r>
              <w:rPr>
                <w:rFonts w:hint="eastAsia" w:ascii="宋体" w:hAnsi="宋体"/>
                <w:color w:val="auto"/>
                <w:szCs w:val="21"/>
              </w:rPr>
              <w:t>违约金额</w:t>
            </w:r>
          </w:p>
        </w:tc>
      </w:tr>
      <w:tr w14:paraId="7D14F339">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49E3F3E">
            <w:pPr>
              <w:spacing w:line="360" w:lineRule="auto"/>
              <w:ind w:firstLine="420" w:firstLineChars="200"/>
              <w:jc w:val="left"/>
              <w:rPr>
                <w:rFonts w:ascii="宋体" w:hAnsi="宋体"/>
                <w:color w:val="auto"/>
                <w:szCs w:val="21"/>
              </w:rPr>
            </w:pPr>
            <w:r>
              <w:rPr>
                <w:rFonts w:hint="eastAsia" w:ascii="宋体" w:hAnsi="宋体"/>
                <w:color w:val="auto"/>
                <w:szCs w:val="21"/>
              </w:rPr>
              <w:t>较大事故</w:t>
            </w:r>
          </w:p>
        </w:tc>
        <w:tc>
          <w:tcPr>
            <w:tcW w:w="3765" w:type="dxa"/>
            <w:tcBorders>
              <w:top w:val="single" w:color="auto" w:sz="8" w:space="0"/>
              <w:left w:val="nil"/>
              <w:bottom w:val="single" w:color="auto" w:sz="8" w:space="0"/>
              <w:right w:val="single" w:color="auto" w:sz="8" w:space="0"/>
            </w:tcBorders>
            <w:vAlign w:val="center"/>
          </w:tcPr>
          <w:p w14:paraId="26A8B55A">
            <w:pPr>
              <w:spacing w:line="360" w:lineRule="auto"/>
              <w:ind w:firstLine="420" w:firstLineChars="200"/>
              <w:jc w:val="left"/>
              <w:rPr>
                <w:rFonts w:ascii="宋体" w:hAnsi="宋体"/>
                <w:color w:val="auto"/>
                <w:szCs w:val="21"/>
              </w:rPr>
            </w:pPr>
            <w:r>
              <w:rPr>
                <w:rFonts w:hint="eastAsia" w:ascii="宋体" w:hAnsi="宋体"/>
                <w:color w:val="auto"/>
                <w:kern w:val="0"/>
                <w:szCs w:val="21"/>
              </w:rPr>
              <w:t>签约合同价</w:t>
            </w:r>
            <w:r>
              <w:rPr>
                <w:rFonts w:hint="eastAsia" w:ascii="宋体" w:hAnsi="宋体"/>
                <w:color w:val="auto"/>
                <w:szCs w:val="21"/>
              </w:rPr>
              <w:t>的0.5‰</w:t>
            </w:r>
          </w:p>
        </w:tc>
      </w:tr>
      <w:tr w14:paraId="3313E2EA">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08F17B7">
            <w:pPr>
              <w:spacing w:line="360" w:lineRule="auto"/>
              <w:ind w:firstLine="420" w:firstLineChars="200"/>
              <w:jc w:val="left"/>
              <w:rPr>
                <w:rFonts w:ascii="宋体" w:hAnsi="宋体"/>
                <w:color w:val="auto"/>
                <w:szCs w:val="21"/>
              </w:rPr>
            </w:pPr>
            <w:r>
              <w:rPr>
                <w:rFonts w:hint="eastAsia" w:ascii="宋体" w:hAnsi="宋体"/>
                <w:color w:val="auto"/>
                <w:szCs w:val="21"/>
              </w:rPr>
              <w:t>重大事故</w:t>
            </w:r>
          </w:p>
        </w:tc>
        <w:tc>
          <w:tcPr>
            <w:tcW w:w="3765" w:type="dxa"/>
            <w:tcBorders>
              <w:top w:val="single" w:color="auto" w:sz="8" w:space="0"/>
              <w:left w:val="nil"/>
              <w:bottom w:val="single" w:color="auto" w:sz="8" w:space="0"/>
              <w:right w:val="single" w:color="auto" w:sz="8" w:space="0"/>
            </w:tcBorders>
            <w:vAlign w:val="center"/>
          </w:tcPr>
          <w:p w14:paraId="524C8719">
            <w:pPr>
              <w:spacing w:line="360" w:lineRule="auto"/>
              <w:ind w:firstLine="420" w:firstLineChars="200"/>
              <w:jc w:val="left"/>
              <w:rPr>
                <w:rFonts w:ascii="宋体" w:hAnsi="宋体"/>
                <w:color w:val="auto"/>
                <w:szCs w:val="21"/>
              </w:rPr>
            </w:pPr>
            <w:r>
              <w:rPr>
                <w:rFonts w:hint="eastAsia" w:ascii="宋体" w:hAnsi="宋体"/>
                <w:color w:val="auto"/>
                <w:szCs w:val="21"/>
              </w:rPr>
              <w:t>签约合同价的2‰</w:t>
            </w:r>
          </w:p>
        </w:tc>
      </w:tr>
      <w:tr w14:paraId="6DDFD54B">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74CBAA7">
            <w:pPr>
              <w:spacing w:line="360" w:lineRule="auto"/>
              <w:ind w:firstLine="420" w:firstLineChars="200"/>
              <w:jc w:val="left"/>
              <w:rPr>
                <w:rFonts w:ascii="宋体" w:hAnsi="宋体"/>
                <w:color w:val="auto"/>
                <w:szCs w:val="21"/>
              </w:rPr>
            </w:pPr>
            <w:r>
              <w:rPr>
                <w:rFonts w:hint="eastAsia" w:ascii="宋体" w:hAnsi="宋体"/>
                <w:color w:val="auto"/>
                <w:szCs w:val="21"/>
              </w:rPr>
              <w:t>特别重大事故</w:t>
            </w:r>
          </w:p>
        </w:tc>
        <w:tc>
          <w:tcPr>
            <w:tcW w:w="3765" w:type="dxa"/>
            <w:tcBorders>
              <w:top w:val="single" w:color="auto" w:sz="8" w:space="0"/>
              <w:left w:val="nil"/>
              <w:bottom w:val="single" w:color="auto" w:sz="8" w:space="0"/>
              <w:right w:val="single" w:color="auto" w:sz="8" w:space="0"/>
            </w:tcBorders>
            <w:vAlign w:val="center"/>
          </w:tcPr>
          <w:p w14:paraId="52388C4E">
            <w:pPr>
              <w:spacing w:line="360" w:lineRule="auto"/>
              <w:ind w:firstLine="420" w:firstLineChars="200"/>
              <w:jc w:val="left"/>
              <w:rPr>
                <w:rFonts w:ascii="宋体" w:hAnsi="宋体"/>
                <w:color w:val="auto"/>
                <w:szCs w:val="21"/>
              </w:rPr>
            </w:pPr>
            <w:r>
              <w:rPr>
                <w:rFonts w:hint="eastAsia" w:ascii="宋体" w:hAnsi="宋体"/>
                <w:color w:val="auto"/>
                <w:szCs w:val="21"/>
              </w:rPr>
              <w:t>签约合同价的4‰</w:t>
            </w:r>
          </w:p>
        </w:tc>
      </w:tr>
    </w:tbl>
    <w:p w14:paraId="25A0A27D">
      <w:pPr>
        <w:spacing w:line="360" w:lineRule="auto"/>
        <w:ind w:firstLine="420" w:firstLineChars="200"/>
        <w:jc w:val="left"/>
        <w:rPr>
          <w:rFonts w:ascii="宋体" w:hAnsi="宋体"/>
          <w:color w:val="auto"/>
          <w:szCs w:val="21"/>
        </w:rPr>
      </w:pPr>
      <w:r>
        <w:rPr>
          <w:rFonts w:hint="eastAsia" w:ascii="宋体" w:hAnsi="宋体"/>
          <w:color w:val="auto"/>
          <w:szCs w:val="21"/>
        </w:rPr>
        <w:t>（1）较大事故，是指造成3人以上10人以下死亡，或者10人以上50人以下重伤，或者1000万元以上5000万元以下直接经济损失的事故；</w:t>
      </w:r>
    </w:p>
    <w:p w14:paraId="729A142E">
      <w:pPr>
        <w:spacing w:line="360" w:lineRule="auto"/>
        <w:ind w:firstLine="420" w:firstLineChars="200"/>
        <w:jc w:val="left"/>
        <w:rPr>
          <w:rFonts w:ascii="宋体" w:hAnsi="宋体"/>
          <w:color w:val="auto"/>
          <w:szCs w:val="21"/>
        </w:rPr>
      </w:pPr>
      <w:r>
        <w:rPr>
          <w:rFonts w:hint="eastAsia" w:ascii="宋体" w:hAnsi="宋体"/>
          <w:color w:val="auto"/>
          <w:szCs w:val="21"/>
        </w:rPr>
        <w:t>（2）重大事故，是指造成10人以上30人以下死亡，或者50人以上100人以下重伤，或者5000万元以上1亿元以下直接经济损失的事故；</w:t>
      </w:r>
    </w:p>
    <w:p w14:paraId="1D21DB51">
      <w:pPr>
        <w:spacing w:line="360" w:lineRule="auto"/>
        <w:ind w:firstLine="420" w:firstLineChars="200"/>
        <w:jc w:val="left"/>
        <w:rPr>
          <w:rFonts w:ascii="宋体" w:hAnsi="宋体"/>
          <w:color w:val="auto"/>
          <w:szCs w:val="21"/>
        </w:rPr>
      </w:pPr>
      <w:r>
        <w:rPr>
          <w:rFonts w:hint="eastAsia" w:ascii="宋体" w:hAnsi="宋体"/>
          <w:color w:val="auto"/>
          <w:szCs w:val="21"/>
        </w:rPr>
        <w:t>（3）特别重大事故，是指造成30人以上死亡，或者100人以上重伤（包括急性工业中毒，下同），或者1亿元以上直接经济损失的事故；</w:t>
      </w:r>
    </w:p>
    <w:p w14:paraId="060639E4">
      <w:pPr>
        <w:spacing w:line="276" w:lineRule="auto"/>
        <w:ind w:firstLine="420" w:firstLineChars="200"/>
        <w:jc w:val="left"/>
        <w:rPr>
          <w:rFonts w:ascii="宋体" w:hAnsi="宋体"/>
          <w:color w:val="auto"/>
          <w:szCs w:val="21"/>
        </w:rPr>
      </w:pPr>
      <w:r>
        <w:rPr>
          <w:rFonts w:hint="eastAsia" w:ascii="宋体" w:hAnsi="宋体"/>
          <w:color w:val="auto"/>
          <w:szCs w:val="21"/>
        </w:rPr>
        <w:t>（4）所称的“以上”包括本数，所称的“以下”不包括本数。</w:t>
      </w:r>
    </w:p>
    <w:p w14:paraId="6AA22EA1">
      <w:pPr>
        <w:spacing w:line="276" w:lineRule="auto"/>
        <w:ind w:firstLine="420" w:firstLineChars="200"/>
        <w:jc w:val="left"/>
        <w:rPr>
          <w:rFonts w:ascii="宋体" w:hAnsi="宋体"/>
          <w:color w:val="auto"/>
          <w:szCs w:val="21"/>
        </w:rPr>
      </w:pPr>
      <w:r>
        <w:rPr>
          <w:rFonts w:hint="eastAsia" w:ascii="宋体" w:hAnsi="宋体"/>
          <w:color w:val="auto"/>
          <w:szCs w:val="21"/>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67658ADA">
      <w:pPr>
        <w:spacing w:line="276" w:lineRule="auto"/>
        <w:ind w:firstLine="420" w:firstLineChars="200"/>
        <w:rPr>
          <w:rFonts w:ascii="宋体" w:hAnsi="宋体"/>
          <w:color w:val="auto"/>
          <w:szCs w:val="21"/>
        </w:rPr>
      </w:pPr>
      <w:bookmarkStart w:id="2231" w:name="_Toc247431442"/>
      <w:bookmarkStart w:id="2232" w:name="_Toc239510308"/>
      <w:bookmarkStart w:id="2233" w:name="_Toc532375717"/>
      <w:bookmarkStart w:id="2234" w:name="_Toc247418282"/>
      <w:r>
        <w:rPr>
          <w:rFonts w:hint="eastAsia" w:ascii="宋体" w:hAnsi="宋体"/>
          <w:color w:val="auto"/>
          <w:szCs w:val="21"/>
        </w:rPr>
        <w:t>十七、协议条款的修订</w:t>
      </w:r>
      <w:bookmarkEnd w:id="2231"/>
      <w:bookmarkEnd w:id="2232"/>
      <w:bookmarkEnd w:id="2233"/>
      <w:bookmarkEnd w:id="2234"/>
    </w:p>
    <w:p w14:paraId="0C6FD6D8">
      <w:pPr>
        <w:spacing w:line="276" w:lineRule="auto"/>
        <w:ind w:firstLine="420" w:firstLineChars="200"/>
        <w:jc w:val="left"/>
        <w:rPr>
          <w:rFonts w:ascii="宋体" w:hAnsi="宋体"/>
          <w:color w:val="auto"/>
          <w:szCs w:val="21"/>
        </w:rPr>
      </w:pPr>
      <w:r>
        <w:rPr>
          <w:rFonts w:hint="eastAsia" w:ascii="宋体" w:hAnsi="宋体"/>
          <w:color w:val="auto"/>
          <w:szCs w:val="21"/>
        </w:rPr>
        <w:t>在项目实施过程中，经双方友好协商，本协议的有关条款也可做出相应的修改。</w:t>
      </w:r>
    </w:p>
    <w:p w14:paraId="14C65921">
      <w:pPr>
        <w:spacing w:line="276" w:lineRule="auto"/>
        <w:ind w:firstLine="420" w:firstLineChars="200"/>
        <w:jc w:val="left"/>
        <w:rPr>
          <w:rFonts w:ascii="宋体" w:hAnsi="宋体"/>
          <w:color w:val="auto"/>
          <w:szCs w:val="21"/>
        </w:rPr>
      </w:pPr>
      <w:r>
        <w:rPr>
          <w:rFonts w:hint="eastAsia" w:ascii="宋体" w:hAnsi="宋体"/>
          <w:color w:val="auto"/>
          <w:szCs w:val="21"/>
        </w:rPr>
        <w:t>本工程安全管理协议，由发包人、承包人双方在施工承包合同签订后7天内共同签署，作为施工合同附件。</w:t>
      </w:r>
    </w:p>
    <w:p w14:paraId="2EDA028B">
      <w:pPr>
        <w:spacing w:line="360" w:lineRule="auto"/>
        <w:ind w:firstLine="420" w:firstLineChars="200"/>
        <w:jc w:val="left"/>
        <w:rPr>
          <w:rFonts w:ascii="宋体" w:hAnsi="宋体"/>
          <w:color w:val="auto"/>
          <w:szCs w:val="21"/>
        </w:rPr>
      </w:pPr>
      <w:r>
        <w:rPr>
          <w:rFonts w:hint="eastAsia" w:ascii="宋体" w:hAnsi="宋体"/>
          <w:color w:val="auto"/>
          <w:szCs w:val="21"/>
        </w:rPr>
        <w:t>发  包  人（公章）：</w:t>
      </w:r>
      <w:r>
        <w:rPr>
          <w:rFonts w:hint="eastAsia" w:ascii="宋体" w:hAnsi="宋体" w:cs="宋体"/>
          <w:color w:val="auto"/>
          <w:szCs w:val="21"/>
          <w:u w:val="single"/>
        </w:rPr>
        <w:t xml:space="preserve">                       </w:t>
      </w:r>
    </w:p>
    <w:p w14:paraId="0A63B875">
      <w:pPr>
        <w:spacing w:line="360" w:lineRule="auto"/>
        <w:ind w:firstLine="420" w:firstLineChars="200"/>
        <w:jc w:val="left"/>
        <w:rPr>
          <w:rFonts w:ascii="宋体" w:hAnsi="宋体"/>
          <w:color w:val="auto"/>
          <w:szCs w:val="21"/>
        </w:rPr>
      </w:pPr>
      <w:r>
        <w:rPr>
          <w:rFonts w:hint="eastAsia" w:ascii="宋体" w:hAnsi="宋体"/>
          <w:color w:val="auto"/>
          <w:szCs w:val="21"/>
        </w:rPr>
        <w:t>法定代表人（签字）：</w:t>
      </w:r>
      <w:r>
        <w:rPr>
          <w:rFonts w:hint="eastAsia" w:ascii="宋体" w:hAnsi="宋体" w:cs="宋体"/>
          <w:color w:val="auto"/>
          <w:szCs w:val="21"/>
          <w:u w:val="single"/>
        </w:rPr>
        <w:t xml:space="preserve">                       </w:t>
      </w:r>
      <w:r>
        <w:rPr>
          <w:rFonts w:hint="eastAsia" w:ascii="宋体" w:hAnsi="宋体"/>
          <w:color w:val="auto"/>
          <w:szCs w:val="21"/>
        </w:rPr>
        <w:t xml:space="preserve">  </w:t>
      </w:r>
    </w:p>
    <w:p w14:paraId="010E1298">
      <w:pPr>
        <w:spacing w:line="360" w:lineRule="auto"/>
        <w:ind w:firstLine="420" w:firstLineChars="200"/>
        <w:jc w:val="left"/>
        <w:rPr>
          <w:rFonts w:ascii="宋体" w:hAnsi="宋体"/>
          <w:color w:val="auto"/>
          <w:szCs w:val="21"/>
        </w:rPr>
      </w:pPr>
      <w:r>
        <w:rPr>
          <w:rFonts w:hint="eastAsia" w:ascii="宋体" w:hAnsi="宋体"/>
          <w:color w:val="auto"/>
          <w:szCs w:val="21"/>
        </w:rPr>
        <w:t>或其委托代理人（签字）：</w:t>
      </w:r>
      <w:r>
        <w:rPr>
          <w:rFonts w:hint="eastAsia" w:ascii="宋体" w:hAnsi="宋体" w:cs="宋体"/>
          <w:color w:val="auto"/>
          <w:szCs w:val="21"/>
          <w:u w:val="single"/>
        </w:rPr>
        <w:t xml:space="preserve">                   </w:t>
      </w:r>
      <w:r>
        <w:rPr>
          <w:rFonts w:hint="eastAsia" w:ascii="宋体" w:hAnsi="宋体"/>
          <w:color w:val="auto"/>
          <w:szCs w:val="21"/>
        </w:rPr>
        <w:t xml:space="preserve">  </w:t>
      </w:r>
    </w:p>
    <w:p w14:paraId="0DE4843D">
      <w:pPr>
        <w:spacing w:line="360" w:lineRule="auto"/>
        <w:ind w:firstLine="420" w:firstLineChars="200"/>
        <w:jc w:val="left"/>
        <w:rPr>
          <w:rFonts w:ascii="宋体" w:hAnsi="宋体"/>
          <w:color w:val="auto"/>
          <w:szCs w:val="21"/>
        </w:rPr>
      </w:pPr>
    </w:p>
    <w:p w14:paraId="0F60F41E">
      <w:pPr>
        <w:spacing w:line="360" w:lineRule="auto"/>
        <w:ind w:firstLine="420" w:firstLineChars="200"/>
        <w:jc w:val="left"/>
        <w:rPr>
          <w:rFonts w:ascii="宋体" w:hAnsi="宋体"/>
          <w:color w:val="auto"/>
          <w:kern w:val="0"/>
          <w:szCs w:val="21"/>
        </w:rPr>
      </w:pPr>
      <w:r>
        <w:rPr>
          <w:rFonts w:hint="eastAsia" w:ascii="宋体" w:hAnsi="宋体"/>
          <w:color w:val="auto"/>
          <w:szCs w:val="21"/>
        </w:rPr>
        <w:t>承  包  人（公章）：</w:t>
      </w:r>
      <w:r>
        <w:rPr>
          <w:rFonts w:hint="eastAsia" w:ascii="宋体" w:hAnsi="宋体" w:cs="宋体"/>
          <w:color w:val="auto"/>
          <w:szCs w:val="21"/>
          <w:u w:val="single"/>
        </w:rPr>
        <w:t xml:space="preserve">                       </w:t>
      </w:r>
    </w:p>
    <w:p w14:paraId="614109B8">
      <w:pPr>
        <w:spacing w:line="360" w:lineRule="auto"/>
        <w:ind w:firstLine="420" w:firstLineChars="200"/>
        <w:jc w:val="left"/>
        <w:rPr>
          <w:rFonts w:ascii="宋体" w:hAnsi="宋体"/>
          <w:color w:val="auto"/>
          <w:szCs w:val="21"/>
        </w:rPr>
      </w:pPr>
      <w:r>
        <w:rPr>
          <w:rFonts w:hint="eastAsia" w:ascii="宋体" w:hAnsi="宋体"/>
          <w:color w:val="auto"/>
          <w:szCs w:val="21"/>
        </w:rPr>
        <w:t>法定代表人（签字）：</w:t>
      </w:r>
      <w:r>
        <w:rPr>
          <w:rFonts w:hint="eastAsia" w:ascii="宋体" w:hAnsi="宋体" w:cs="宋体"/>
          <w:color w:val="auto"/>
          <w:szCs w:val="21"/>
          <w:u w:val="single"/>
        </w:rPr>
        <w:t xml:space="preserve">                       </w:t>
      </w:r>
    </w:p>
    <w:p w14:paraId="496CA497">
      <w:pPr>
        <w:spacing w:line="360" w:lineRule="auto"/>
        <w:ind w:firstLine="420" w:firstLineChars="200"/>
        <w:jc w:val="left"/>
        <w:rPr>
          <w:rFonts w:ascii="宋体" w:hAnsi="宋体"/>
          <w:color w:val="auto"/>
          <w:kern w:val="0"/>
          <w:szCs w:val="21"/>
        </w:rPr>
      </w:pPr>
      <w:r>
        <w:rPr>
          <w:rFonts w:hint="eastAsia" w:ascii="宋体" w:hAnsi="宋体"/>
          <w:color w:val="auto"/>
          <w:szCs w:val="21"/>
        </w:rPr>
        <w:t>或其委托代理人（签字）：</w:t>
      </w:r>
      <w:r>
        <w:rPr>
          <w:rFonts w:hint="eastAsia" w:ascii="宋体" w:hAnsi="宋体" w:cs="宋体"/>
          <w:color w:val="auto"/>
          <w:szCs w:val="21"/>
          <w:u w:val="single"/>
        </w:rPr>
        <w:t xml:space="preserve">                   </w:t>
      </w:r>
    </w:p>
    <w:p w14:paraId="38D63DB0">
      <w:pPr>
        <w:snapToGrid w:val="0"/>
        <w:spacing w:line="360" w:lineRule="auto"/>
        <w:jc w:val="left"/>
        <w:rPr>
          <w:rFonts w:ascii="宋体" w:hAnsi="宋体"/>
          <w:color w:val="auto"/>
          <w:kern w:val="0"/>
          <w:szCs w:val="21"/>
        </w:rPr>
      </w:pPr>
      <w:r>
        <w:rPr>
          <w:rFonts w:hint="eastAsia" w:ascii="宋体" w:hAnsi="宋体"/>
          <w:color w:val="auto"/>
          <w:szCs w:val="21"/>
        </w:rPr>
        <w:br w:type="page"/>
      </w:r>
    </w:p>
    <w:p w14:paraId="7229D62A">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10</w:t>
      </w:r>
      <w:r>
        <w:rPr>
          <w:rFonts w:hint="eastAsia" w:ascii="宋体" w:hAnsi="宋体"/>
          <w:color w:val="auto"/>
          <w:szCs w:val="21"/>
        </w:rPr>
        <w:t>：</w:t>
      </w:r>
    </w:p>
    <w:p w14:paraId="32FBA1BF">
      <w:pPr>
        <w:spacing w:beforeLines="50" w:afterLines="50" w:line="480" w:lineRule="auto"/>
        <w:jc w:val="center"/>
        <w:rPr>
          <w:rFonts w:ascii="宋体" w:hAnsi="宋体"/>
          <w:color w:val="auto"/>
          <w:szCs w:val="21"/>
        </w:rPr>
      </w:pPr>
      <w:r>
        <w:rPr>
          <w:rFonts w:hint="eastAsia" w:ascii="宋体" w:hAnsi="宋体"/>
          <w:color w:val="auto"/>
          <w:szCs w:val="21"/>
        </w:rPr>
        <w:t>保障农民工工资支付协议</w:t>
      </w:r>
    </w:p>
    <w:p w14:paraId="48BA5E58">
      <w:pPr>
        <w:snapToGrid w:val="0"/>
        <w:spacing w:line="480" w:lineRule="auto"/>
        <w:rPr>
          <w:rFonts w:ascii="宋体" w:hAnsi="宋体"/>
          <w:color w:val="auto"/>
          <w:szCs w:val="21"/>
        </w:rPr>
      </w:pPr>
      <w:r>
        <w:rPr>
          <w:rFonts w:hint="eastAsia" w:ascii="宋体" w:hAnsi="宋体"/>
          <w:color w:val="auto"/>
          <w:szCs w:val="21"/>
        </w:rPr>
        <w:t xml:space="preserve"> 发包人：</w:t>
      </w:r>
      <w:r>
        <w:rPr>
          <w:rFonts w:hint="eastAsia" w:ascii="宋体" w:hAnsi="宋体" w:cs="宋体"/>
          <w:color w:val="auto"/>
          <w:szCs w:val="21"/>
          <w:u w:val="single"/>
        </w:rPr>
        <w:t xml:space="preserve">                                 </w:t>
      </w:r>
      <w:r>
        <w:rPr>
          <w:rFonts w:hint="eastAsia" w:ascii="宋体" w:hAnsi="宋体"/>
          <w:color w:val="auto"/>
          <w:szCs w:val="21"/>
        </w:rPr>
        <w:t>（发包人）</w:t>
      </w:r>
    </w:p>
    <w:p w14:paraId="06635322">
      <w:pPr>
        <w:snapToGrid w:val="0"/>
        <w:spacing w:line="360" w:lineRule="auto"/>
        <w:rPr>
          <w:rFonts w:ascii="宋体" w:hAnsi="宋体"/>
          <w:color w:val="auto"/>
          <w:szCs w:val="21"/>
        </w:rPr>
      </w:pPr>
      <w:r>
        <w:rPr>
          <w:rFonts w:hint="eastAsia" w:ascii="宋体" w:hAnsi="宋体"/>
          <w:color w:val="auto"/>
          <w:szCs w:val="21"/>
        </w:rPr>
        <w:t xml:space="preserve"> 承包人：</w:t>
      </w:r>
      <w:r>
        <w:rPr>
          <w:rFonts w:hint="eastAsia" w:ascii="宋体" w:hAnsi="宋体" w:cs="宋体"/>
          <w:color w:val="auto"/>
          <w:szCs w:val="21"/>
          <w:u w:val="single"/>
        </w:rPr>
        <w:t xml:space="preserve">                                 </w:t>
      </w:r>
      <w:r>
        <w:rPr>
          <w:rFonts w:hint="eastAsia" w:ascii="宋体" w:hAnsi="宋体"/>
          <w:color w:val="auto"/>
          <w:szCs w:val="21"/>
        </w:rPr>
        <w:t>（承包人）</w:t>
      </w:r>
    </w:p>
    <w:p w14:paraId="50476E89">
      <w:pPr>
        <w:spacing w:line="360" w:lineRule="auto"/>
        <w:ind w:firstLine="420" w:firstLineChars="200"/>
        <w:rPr>
          <w:rFonts w:ascii="宋体" w:hAnsi="宋体"/>
          <w:color w:val="auto"/>
          <w:szCs w:val="21"/>
        </w:rPr>
      </w:pPr>
      <w:r>
        <w:rPr>
          <w:rFonts w:hint="eastAsia" w:ascii="宋体" w:hAnsi="宋体"/>
          <w:color w:val="auto"/>
          <w:szCs w:val="21"/>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14:paraId="659AE972">
      <w:pPr>
        <w:spacing w:line="360" w:lineRule="auto"/>
        <w:ind w:firstLine="420" w:firstLineChars="200"/>
        <w:rPr>
          <w:rFonts w:ascii="宋体" w:hAnsi="宋体"/>
          <w:color w:val="auto"/>
          <w:szCs w:val="21"/>
        </w:rPr>
      </w:pPr>
      <w:r>
        <w:rPr>
          <w:rFonts w:hint="eastAsia" w:ascii="宋体" w:hAnsi="宋体"/>
          <w:color w:val="auto"/>
          <w:szCs w:val="21"/>
        </w:rPr>
        <w:t>一、承包人申报工程进度款时，应对上月已支付工程款用于农民工工资发放的情况进行说明，并附农民工代表按时足额收取了工资的签字确认书。监理单位应对相关情况说明和签字确认书（详附件）进行审查签字后，与工程进度款申报资料一并提交给发包人。发包人审核合格后，才进行当期工程进度款的支付。</w:t>
      </w:r>
    </w:p>
    <w:p w14:paraId="5947973D">
      <w:pPr>
        <w:spacing w:line="360" w:lineRule="auto"/>
        <w:ind w:firstLine="420" w:firstLineChars="200"/>
        <w:rPr>
          <w:rFonts w:ascii="宋体" w:hAnsi="宋体"/>
          <w:color w:val="auto"/>
          <w:szCs w:val="21"/>
        </w:rPr>
      </w:pPr>
      <w:r>
        <w:rPr>
          <w:rFonts w:hint="eastAsia" w:ascii="宋体" w:hAnsi="宋体"/>
          <w:color w:val="auto"/>
          <w:szCs w:val="21"/>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14:paraId="34D8F8FB">
      <w:pPr>
        <w:spacing w:line="360" w:lineRule="auto"/>
        <w:ind w:firstLine="420" w:firstLineChars="200"/>
        <w:rPr>
          <w:rFonts w:ascii="宋体" w:hAnsi="宋体"/>
          <w:color w:val="auto"/>
          <w:szCs w:val="21"/>
        </w:rPr>
      </w:pPr>
      <w:r>
        <w:rPr>
          <w:rFonts w:hint="eastAsia" w:ascii="宋体" w:hAnsi="宋体"/>
          <w:color w:val="auto"/>
          <w:szCs w:val="21"/>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14:paraId="7E8FF8DE">
      <w:pPr>
        <w:spacing w:line="360" w:lineRule="auto"/>
        <w:ind w:firstLine="420" w:firstLineChars="200"/>
        <w:rPr>
          <w:rFonts w:ascii="宋体" w:hAnsi="宋体"/>
          <w:color w:val="auto"/>
          <w:szCs w:val="21"/>
        </w:rPr>
      </w:pPr>
      <w:r>
        <w:rPr>
          <w:rFonts w:hint="eastAsia" w:ascii="宋体" w:hAnsi="宋体"/>
          <w:color w:val="auto"/>
          <w:szCs w:val="21"/>
        </w:rPr>
        <w:t>四、若发现承包人有下列事项的，发包人在支付当期进度款时暂扣当期应支付进度款5%比例的款项。</w:t>
      </w:r>
      <w:r>
        <w:rPr>
          <w:rFonts w:hint="eastAsia" w:ascii="宋体" w:hAnsi="宋体"/>
          <w:color w:val="auto"/>
          <w:szCs w:val="21"/>
        </w:rPr>
        <w:br w:type="textWrapping"/>
      </w:r>
      <w:r>
        <w:rPr>
          <w:rFonts w:hint="eastAsia" w:ascii="宋体" w:hAnsi="宋体"/>
          <w:color w:val="auto"/>
          <w:szCs w:val="21"/>
        </w:rPr>
        <w:t xml:space="preserve">    （一）现场检查发现项目存在拖欠农民工工资情况并经核查属实的；</w:t>
      </w:r>
    </w:p>
    <w:p w14:paraId="2F9A73BF">
      <w:pPr>
        <w:spacing w:line="360" w:lineRule="auto"/>
        <w:ind w:firstLine="420" w:firstLineChars="200"/>
        <w:rPr>
          <w:rFonts w:ascii="宋体" w:hAnsi="宋体"/>
          <w:color w:val="auto"/>
          <w:szCs w:val="21"/>
        </w:rPr>
      </w:pPr>
      <w:r>
        <w:rPr>
          <w:rFonts w:hint="eastAsia" w:ascii="宋体" w:hAnsi="宋体"/>
          <w:color w:val="auto"/>
          <w:szCs w:val="21"/>
        </w:rPr>
        <w:t>（二）相关行政管理部门检查发现存在拖欠农民工工资情况并经核查属实的；</w:t>
      </w:r>
      <w:r>
        <w:rPr>
          <w:rFonts w:hint="eastAsia" w:ascii="宋体" w:hAnsi="宋体"/>
          <w:color w:val="auto"/>
          <w:szCs w:val="21"/>
        </w:rPr>
        <w:br w:type="textWrapping"/>
      </w:r>
      <w:r>
        <w:rPr>
          <w:rFonts w:hint="eastAsia" w:ascii="宋体" w:hAnsi="宋体"/>
          <w:color w:val="auto"/>
          <w:szCs w:val="21"/>
        </w:rPr>
        <w:t xml:space="preserve">    （三）有拖欠农民工工资投诉事项并经核查属实的。</w:t>
      </w:r>
      <w:r>
        <w:rPr>
          <w:rFonts w:hint="eastAsia" w:ascii="宋体" w:hAnsi="宋体"/>
          <w:color w:val="auto"/>
          <w:szCs w:val="21"/>
        </w:rPr>
        <w:br w:type="textWrapping"/>
      </w:r>
      <w:r>
        <w:rPr>
          <w:rFonts w:hint="eastAsia" w:ascii="宋体" w:hAnsi="宋体"/>
          <w:color w:val="auto"/>
          <w:szCs w:val="21"/>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29B4E3A2">
      <w:pPr>
        <w:tabs>
          <w:tab w:val="left" w:pos="1080"/>
          <w:tab w:val="left" w:pos="1260"/>
          <w:tab w:val="left" w:pos="1440"/>
        </w:tabs>
        <w:spacing w:line="360" w:lineRule="auto"/>
        <w:ind w:firstLine="420" w:firstLineChars="200"/>
        <w:rPr>
          <w:rFonts w:ascii="宋体" w:hAnsi="宋体"/>
          <w:snapToGrid w:val="0"/>
          <w:color w:val="auto"/>
          <w:spacing w:val="-4"/>
          <w:kern w:val="0"/>
          <w:szCs w:val="21"/>
        </w:rPr>
      </w:pPr>
      <w:r>
        <w:rPr>
          <w:rFonts w:hint="eastAsia" w:ascii="宋体" w:hAnsi="宋体"/>
          <w:color w:val="auto"/>
          <w:szCs w:val="21"/>
        </w:rPr>
        <w:t>六、本协议经双方法定代表人或委托代理人签字并加盖公章后生效，履行完毕后自然失效。</w:t>
      </w:r>
    </w:p>
    <w:p w14:paraId="2232040A">
      <w:pPr>
        <w:spacing w:line="360" w:lineRule="auto"/>
        <w:ind w:firstLine="420" w:firstLineChars="200"/>
        <w:rPr>
          <w:rFonts w:ascii="宋体" w:hAnsi="宋体"/>
          <w:color w:val="auto"/>
          <w:szCs w:val="21"/>
        </w:rPr>
      </w:pPr>
      <w:r>
        <w:rPr>
          <w:rFonts w:hint="eastAsia" w:ascii="宋体" w:hAnsi="宋体"/>
          <w:color w:val="auto"/>
          <w:szCs w:val="21"/>
        </w:rPr>
        <w:t>附件：</w:t>
      </w:r>
    </w:p>
    <w:p w14:paraId="5632F370">
      <w:pPr>
        <w:spacing w:line="360" w:lineRule="auto"/>
        <w:ind w:firstLine="420" w:firstLineChars="200"/>
        <w:rPr>
          <w:rFonts w:ascii="宋体" w:hAnsi="宋体"/>
          <w:color w:val="auto"/>
          <w:szCs w:val="21"/>
        </w:rPr>
      </w:pPr>
      <w:r>
        <w:rPr>
          <w:rFonts w:hint="eastAsia" w:ascii="宋体" w:hAnsi="宋体"/>
          <w:color w:val="auto"/>
          <w:szCs w:val="21"/>
        </w:rPr>
        <w:t>1、关于农民工工资发放情况的说明表</w:t>
      </w:r>
    </w:p>
    <w:p w14:paraId="0ED3B0D8">
      <w:pPr>
        <w:pStyle w:val="2"/>
        <w:spacing w:line="360" w:lineRule="auto"/>
        <w:ind w:firstLine="420" w:firstLineChars="200"/>
        <w:rPr>
          <w:rFonts w:ascii="宋体" w:hAnsi="宋体"/>
          <w:color w:val="auto"/>
          <w:szCs w:val="21"/>
        </w:rPr>
      </w:pPr>
    </w:p>
    <w:p w14:paraId="1E69A7D8">
      <w:pPr>
        <w:pStyle w:val="2"/>
        <w:spacing w:line="360" w:lineRule="auto"/>
        <w:ind w:firstLine="420" w:firstLineChars="200"/>
        <w:rPr>
          <w:rFonts w:ascii="宋体" w:hAnsi="宋体"/>
          <w:color w:val="auto"/>
          <w:szCs w:val="21"/>
        </w:rPr>
      </w:pPr>
    </w:p>
    <w:p w14:paraId="4A60E55D">
      <w:pPr>
        <w:pStyle w:val="2"/>
        <w:spacing w:line="360" w:lineRule="auto"/>
        <w:ind w:firstLine="420" w:firstLineChars="200"/>
        <w:rPr>
          <w:rFonts w:ascii="宋体" w:hAnsi="宋体"/>
          <w:color w:val="auto"/>
          <w:szCs w:val="21"/>
        </w:rPr>
      </w:pPr>
    </w:p>
    <w:p w14:paraId="36BDA6D3">
      <w:pPr>
        <w:spacing w:line="360" w:lineRule="auto"/>
        <w:ind w:firstLine="420" w:firstLineChars="200"/>
        <w:rPr>
          <w:rFonts w:ascii="宋体" w:hAnsi="宋体"/>
          <w:color w:val="auto"/>
          <w:szCs w:val="21"/>
        </w:rPr>
      </w:pPr>
      <w:r>
        <w:rPr>
          <w:rFonts w:hint="eastAsia" w:ascii="宋体" w:hAnsi="宋体"/>
          <w:color w:val="auto"/>
          <w:szCs w:val="21"/>
        </w:rPr>
        <w:t>（以下无正文）</w:t>
      </w:r>
    </w:p>
    <w:p w14:paraId="6CC15C64">
      <w:pPr>
        <w:spacing w:line="360" w:lineRule="auto"/>
        <w:ind w:firstLine="420" w:firstLineChars="200"/>
        <w:rPr>
          <w:rFonts w:ascii="宋体" w:hAnsi="宋体"/>
          <w:color w:val="auto"/>
          <w:szCs w:val="21"/>
        </w:rPr>
      </w:pPr>
    </w:p>
    <w:p w14:paraId="09F94D62">
      <w:pPr>
        <w:spacing w:line="360" w:lineRule="auto"/>
        <w:ind w:firstLine="420" w:firstLineChars="200"/>
        <w:rPr>
          <w:rFonts w:ascii="宋体" w:hAnsi="宋体"/>
          <w:color w:val="auto"/>
          <w:szCs w:val="21"/>
        </w:rPr>
      </w:pPr>
    </w:p>
    <w:p w14:paraId="6AE6D943">
      <w:pPr>
        <w:pStyle w:val="2"/>
        <w:spacing w:line="360" w:lineRule="auto"/>
        <w:rPr>
          <w:rFonts w:ascii="宋体" w:hAnsi="宋体"/>
          <w:color w:val="auto"/>
          <w:szCs w:val="21"/>
        </w:rPr>
      </w:pPr>
    </w:p>
    <w:p w14:paraId="3D5B6059">
      <w:pPr>
        <w:spacing w:line="360" w:lineRule="auto"/>
        <w:rPr>
          <w:rFonts w:ascii="宋体" w:hAnsi="宋体"/>
          <w:color w:val="auto"/>
          <w:szCs w:val="21"/>
        </w:rPr>
      </w:pPr>
      <w:r>
        <w:rPr>
          <w:rFonts w:hint="eastAsia" w:ascii="宋体" w:hAnsi="宋体"/>
          <w:color w:val="auto"/>
          <w:szCs w:val="21"/>
        </w:rPr>
        <w:t>发包人：</w:t>
      </w:r>
      <w:r>
        <w:rPr>
          <w:rFonts w:hint="eastAsia" w:ascii="宋体" w:hAnsi="宋体" w:cs="宋体"/>
          <w:color w:val="auto"/>
          <w:szCs w:val="21"/>
          <w:u w:val="single"/>
        </w:rPr>
        <w:t xml:space="preserve">       </w:t>
      </w:r>
      <w:r>
        <w:rPr>
          <w:rFonts w:hint="eastAsia" w:ascii="宋体" w:hAnsi="宋体"/>
          <w:color w:val="auto"/>
          <w:szCs w:val="21"/>
        </w:rPr>
        <w:t>（发包人）</w:t>
      </w:r>
    </w:p>
    <w:p w14:paraId="347D7D80">
      <w:pPr>
        <w:spacing w:line="360" w:lineRule="auto"/>
        <w:rPr>
          <w:rFonts w:ascii="宋体" w:hAnsi="宋体"/>
          <w:color w:val="auto"/>
          <w:szCs w:val="21"/>
        </w:rPr>
      </w:pPr>
      <w:r>
        <w:rPr>
          <w:rFonts w:hint="eastAsia" w:ascii="宋体" w:hAnsi="宋体"/>
          <w:color w:val="auto"/>
          <w:szCs w:val="21"/>
        </w:rPr>
        <w:t>法定代表人：</w:t>
      </w:r>
      <w:r>
        <w:rPr>
          <w:rFonts w:hint="eastAsia" w:ascii="宋体" w:hAnsi="宋体" w:cs="宋体"/>
          <w:color w:val="auto"/>
          <w:szCs w:val="21"/>
          <w:u w:val="single"/>
        </w:rPr>
        <w:t xml:space="preserve">       </w:t>
      </w:r>
    </w:p>
    <w:p w14:paraId="1AEBB10D">
      <w:pPr>
        <w:spacing w:line="360" w:lineRule="auto"/>
        <w:rPr>
          <w:rFonts w:ascii="宋体" w:hAnsi="宋体"/>
          <w:color w:val="auto"/>
          <w:szCs w:val="21"/>
        </w:rPr>
      </w:pPr>
      <w:r>
        <w:rPr>
          <w:rFonts w:hint="eastAsia" w:ascii="宋体" w:hAnsi="宋体"/>
          <w:color w:val="auto"/>
          <w:szCs w:val="21"/>
        </w:rPr>
        <w:t>或委托代理人：</w:t>
      </w:r>
      <w:r>
        <w:rPr>
          <w:rFonts w:hint="eastAsia" w:ascii="宋体" w:hAnsi="宋体" w:cs="宋体"/>
          <w:color w:val="auto"/>
          <w:szCs w:val="21"/>
          <w:u w:val="single"/>
        </w:rPr>
        <w:t xml:space="preserve">       </w:t>
      </w:r>
    </w:p>
    <w:p w14:paraId="1E228931">
      <w:pPr>
        <w:spacing w:line="360" w:lineRule="auto"/>
        <w:rPr>
          <w:rFonts w:ascii="宋体" w:hAnsi="宋体"/>
          <w:color w:val="auto"/>
          <w:szCs w:val="21"/>
        </w:rPr>
      </w:pPr>
      <w:r>
        <w:rPr>
          <w:rFonts w:hint="eastAsia" w:ascii="宋体" w:hAnsi="宋体"/>
          <w:color w:val="auto"/>
          <w:szCs w:val="21"/>
        </w:rPr>
        <w:t>联系人：</w:t>
      </w:r>
      <w:r>
        <w:rPr>
          <w:rFonts w:hint="eastAsia" w:ascii="宋体" w:hAnsi="宋体" w:cs="宋体"/>
          <w:color w:val="auto"/>
          <w:szCs w:val="21"/>
          <w:u w:val="single"/>
        </w:rPr>
        <w:t xml:space="preserve">       </w:t>
      </w:r>
    </w:p>
    <w:p w14:paraId="07E9CF2D">
      <w:pPr>
        <w:spacing w:line="360" w:lineRule="auto"/>
        <w:rPr>
          <w:rFonts w:ascii="宋体" w:hAnsi="宋体"/>
          <w:color w:val="auto"/>
          <w:szCs w:val="21"/>
        </w:rPr>
      </w:pPr>
    </w:p>
    <w:p w14:paraId="5614904D">
      <w:pPr>
        <w:spacing w:line="360" w:lineRule="auto"/>
        <w:rPr>
          <w:rFonts w:ascii="宋体" w:hAnsi="宋体"/>
          <w:color w:val="auto"/>
          <w:szCs w:val="21"/>
        </w:rPr>
      </w:pPr>
    </w:p>
    <w:p w14:paraId="736A8C68">
      <w:pPr>
        <w:spacing w:line="360" w:lineRule="auto"/>
        <w:rPr>
          <w:rFonts w:ascii="宋体" w:hAnsi="宋体"/>
          <w:color w:val="auto"/>
          <w:szCs w:val="21"/>
        </w:rPr>
      </w:pPr>
    </w:p>
    <w:p w14:paraId="18B4CE56">
      <w:pPr>
        <w:spacing w:line="360" w:lineRule="auto"/>
        <w:rPr>
          <w:rFonts w:ascii="宋体" w:hAnsi="宋体"/>
          <w:color w:val="auto"/>
          <w:szCs w:val="21"/>
        </w:rPr>
      </w:pPr>
      <w:r>
        <w:rPr>
          <w:rFonts w:hint="eastAsia" w:ascii="宋体" w:hAnsi="宋体"/>
          <w:color w:val="auto"/>
          <w:szCs w:val="21"/>
        </w:rPr>
        <w:t>承包人：</w:t>
      </w:r>
      <w:r>
        <w:rPr>
          <w:rFonts w:hint="eastAsia" w:ascii="宋体" w:hAnsi="宋体" w:cs="宋体"/>
          <w:color w:val="auto"/>
          <w:szCs w:val="21"/>
          <w:u w:val="single"/>
        </w:rPr>
        <w:t xml:space="preserve">       </w:t>
      </w:r>
      <w:r>
        <w:rPr>
          <w:rFonts w:hint="eastAsia" w:ascii="宋体" w:hAnsi="宋体"/>
          <w:color w:val="auto"/>
          <w:szCs w:val="21"/>
        </w:rPr>
        <w:t>（承包人）</w:t>
      </w:r>
    </w:p>
    <w:p w14:paraId="0038E934">
      <w:pPr>
        <w:spacing w:line="360" w:lineRule="auto"/>
        <w:rPr>
          <w:rFonts w:ascii="宋体" w:hAnsi="宋体"/>
          <w:color w:val="auto"/>
          <w:szCs w:val="21"/>
        </w:rPr>
      </w:pPr>
      <w:r>
        <w:rPr>
          <w:rFonts w:hint="eastAsia" w:ascii="宋体" w:hAnsi="宋体"/>
          <w:color w:val="auto"/>
          <w:szCs w:val="21"/>
        </w:rPr>
        <w:t>法定代表人：</w:t>
      </w:r>
      <w:r>
        <w:rPr>
          <w:rFonts w:hint="eastAsia" w:ascii="宋体" w:hAnsi="宋体" w:cs="宋体"/>
          <w:color w:val="auto"/>
          <w:szCs w:val="21"/>
          <w:u w:val="single"/>
        </w:rPr>
        <w:t xml:space="preserve">       </w:t>
      </w:r>
    </w:p>
    <w:p w14:paraId="14C80A8C">
      <w:pPr>
        <w:spacing w:line="360" w:lineRule="auto"/>
        <w:rPr>
          <w:rFonts w:ascii="宋体" w:hAnsi="宋体"/>
          <w:color w:val="auto"/>
          <w:szCs w:val="21"/>
        </w:rPr>
      </w:pPr>
      <w:r>
        <w:rPr>
          <w:rFonts w:hint="eastAsia" w:ascii="宋体" w:hAnsi="宋体"/>
          <w:color w:val="auto"/>
          <w:szCs w:val="21"/>
        </w:rPr>
        <w:t>或委托代理人：</w:t>
      </w:r>
      <w:r>
        <w:rPr>
          <w:rFonts w:hint="eastAsia" w:ascii="宋体" w:hAnsi="宋体" w:cs="宋体"/>
          <w:color w:val="auto"/>
          <w:szCs w:val="21"/>
          <w:u w:val="single"/>
        </w:rPr>
        <w:t xml:space="preserve">       </w:t>
      </w:r>
    </w:p>
    <w:p w14:paraId="65FD254B">
      <w:pPr>
        <w:spacing w:line="360" w:lineRule="auto"/>
        <w:rPr>
          <w:rFonts w:ascii="宋体" w:hAnsi="宋体"/>
          <w:color w:val="auto"/>
          <w:szCs w:val="21"/>
        </w:rPr>
      </w:pPr>
      <w:r>
        <w:rPr>
          <w:rFonts w:hint="eastAsia" w:ascii="宋体" w:hAnsi="宋体"/>
          <w:color w:val="auto"/>
          <w:szCs w:val="21"/>
        </w:rPr>
        <w:t>联系人：</w:t>
      </w:r>
      <w:r>
        <w:rPr>
          <w:rFonts w:hint="eastAsia" w:ascii="宋体" w:hAnsi="宋体" w:cs="宋体"/>
          <w:color w:val="auto"/>
          <w:szCs w:val="21"/>
          <w:u w:val="single"/>
        </w:rPr>
        <w:t xml:space="preserve">       </w:t>
      </w:r>
    </w:p>
    <w:p w14:paraId="5B97445D">
      <w:pPr>
        <w:snapToGrid w:val="0"/>
        <w:spacing w:line="360" w:lineRule="auto"/>
        <w:ind w:firstLine="560"/>
        <w:rPr>
          <w:rFonts w:ascii="宋体" w:hAnsi="宋体"/>
          <w:color w:val="auto"/>
          <w:szCs w:val="21"/>
        </w:rPr>
      </w:pPr>
    </w:p>
    <w:p w14:paraId="0650A226">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保障农民工工资支付协议附件1：</w:t>
      </w:r>
    </w:p>
    <w:p w14:paraId="310179DA">
      <w:pPr>
        <w:widowControl/>
        <w:snapToGrid w:val="0"/>
        <w:spacing w:after="100" w:afterAutospacing="1" w:line="480" w:lineRule="auto"/>
        <w:jc w:val="center"/>
        <w:rPr>
          <w:rFonts w:ascii="宋体" w:hAnsi="宋体"/>
          <w:color w:val="auto"/>
          <w:szCs w:val="21"/>
        </w:rPr>
      </w:pPr>
      <w:r>
        <w:rPr>
          <w:rFonts w:hint="eastAsia" w:ascii="宋体" w:hAnsi="宋体"/>
          <w:color w:val="auto"/>
          <w:szCs w:val="21"/>
        </w:rPr>
        <w:t>关于农民工工资发放情况的说明表</w:t>
      </w:r>
    </w:p>
    <w:tbl>
      <w:tblPr>
        <w:tblStyle w:val="45"/>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7D98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tcPr>
          <w:p w14:paraId="159CA6B7">
            <w:pPr>
              <w:widowControl/>
              <w:snapToGrid w:val="0"/>
              <w:spacing w:after="100" w:afterAutospacing="1" w:line="400" w:lineRule="exact"/>
              <w:jc w:val="left"/>
              <w:rPr>
                <w:rFonts w:ascii="宋体" w:hAnsi="宋体"/>
                <w:color w:val="auto"/>
                <w:kern w:val="0"/>
                <w:szCs w:val="21"/>
              </w:rPr>
            </w:pPr>
            <w:r>
              <w:rPr>
                <w:rFonts w:hint="eastAsia" w:ascii="宋体" w:hAnsi="宋体"/>
                <w:color w:val="auto"/>
                <w:kern w:val="0"/>
                <w:szCs w:val="21"/>
              </w:rPr>
              <w:t>工程名称：</w:t>
            </w:r>
          </w:p>
        </w:tc>
      </w:tr>
      <w:tr w14:paraId="268E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tcPr>
          <w:p w14:paraId="0F8D1320">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施工单位：</w:t>
            </w:r>
          </w:p>
        </w:tc>
        <w:tc>
          <w:tcPr>
            <w:tcW w:w="6201" w:type="dxa"/>
          </w:tcPr>
          <w:p w14:paraId="7899ACC1">
            <w:pPr>
              <w:widowControl/>
              <w:snapToGrid w:val="0"/>
              <w:spacing w:after="100" w:afterAutospacing="1" w:line="400" w:lineRule="exact"/>
              <w:rPr>
                <w:rFonts w:ascii="宋体" w:hAnsi="宋体"/>
                <w:color w:val="auto"/>
                <w:kern w:val="0"/>
                <w:szCs w:val="21"/>
              </w:rPr>
            </w:pPr>
          </w:p>
        </w:tc>
      </w:tr>
      <w:tr w14:paraId="582B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727AB5E5">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监理单位：</w:t>
            </w:r>
          </w:p>
        </w:tc>
        <w:tc>
          <w:tcPr>
            <w:tcW w:w="6201" w:type="dxa"/>
          </w:tcPr>
          <w:p w14:paraId="6D138B43">
            <w:pPr>
              <w:widowControl/>
              <w:snapToGrid w:val="0"/>
              <w:spacing w:after="100" w:afterAutospacing="1" w:line="400" w:lineRule="exact"/>
              <w:rPr>
                <w:rFonts w:ascii="宋体" w:hAnsi="宋体"/>
                <w:color w:val="auto"/>
                <w:kern w:val="0"/>
                <w:szCs w:val="21"/>
              </w:rPr>
            </w:pPr>
          </w:p>
        </w:tc>
      </w:tr>
      <w:tr w14:paraId="4D2B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tcPr>
          <w:p w14:paraId="3F003009">
            <w:pPr>
              <w:widowControl/>
              <w:snapToGrid w:val="0"/>
              <w:spacing w:after="100" w:afterAutospacing="1" w:line="400" w:lineRule="exact"/>
              <w:rPr>
                <w:rFonts w:ascii="宋体" w:hAnsi="宋体"/>
                <w:color w:val="auto"/>
                <w:kern w:val="0"/>
                <w:szCs w:val="21"/>
                <w:u w:val="single"/>
              </w:rPr>
            </w:pPr>
          </w:p>
          <w:p w14:paraId="0812F20D">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（项目业主单位名称）：</w:t>
            </w:r>
            <w:r>
              <w:rPr>
                <w:rFonts w:hint="eastAsia" w:ascii="宋体" w:hAnsi="宋体"/>
                <w:color w:val="auto"/>
                <w:kern w:val="0"/>
                <w:szCs w:val="21"/>
                <w:u w:val="single"/>
              </w:rPr>
              <w:br w:type="textWrapping"/>
            </w:r>
            <w:r>
              <w:rPr>
                <w:rFonts w:hint="eastAsia" w:ascii="宋体" w:hAnsi="宋体"/>
                <w:color w:val="auto"/>
                <w:kern w:val="0"/>
                <w:szCs w:val="21"/>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color w:val="auto"/>
                <w:kern w:val="0"/>
                <w:szCs w:val="21"/>
              </w:rPr>
              <w:br w:type="textWrapping"/>
            </w:r>
          </w:p>
          <w:p w14:paraId="25EE37B8">
            <w:pPr>
              <w:widowControl/>
              <w:snapToGrid w:val="0"/>
              <w:spacing w:after="100" w:afterAutospacing="1" w:line="400" w:lineRule="exact"/>
              <w:ind w:firstLine="1260" w:firstLineChars="600"/>
              <w:rPr>
                <w:rFonts w:ascii="宋体" w:hAnsi="宋体"/>
                <w:color w:val="auto"/>
                <w:kern w:val="0"/>
                <w:szCs w:val="21"/>
                <w:u w:val="single"/>
              </w:rPr>
            </w:pPr>
            <w:r>
              <w:rPr>
                <w:rFonts w:hint="eastAsia" w:ascii="宋体" w:hAnsi="宋体"/>
                <w:color w:val="auto"/>
                <w:kern w:val="0"/>
                <w:szCs w:val="21"/>
              </w:rPr>
              <w:t>施工单位项目负责人签字（加盖项目章）：</w:t>
            </w:r>
            <w:r>
              <w:rPr>
                <w:rFonts w:hint="eastAsia" w:ascii="宋体" w:hAnsi="宋体"/>
                <w:color w:val="auto"/>
                <w:kern w:val="0"/>
                <w:szCs w:val="21"/>
                <w:u w:val="single"/>
              </w:rPr>
              <w:t xml:space="preserve">        </w:t>
            </w:r>
          </w:p>
        </w:tc>
      </w:tr>
      <w:tr w14:paraId="4206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vAlign w:val="center"/>
          </w:tcPr>
          <w:p w14:paraId="7752E0A4">
            <w:pPr>
              <w:widowControl/>
              <w:snapToGrid w:val="0"/>
              <w:spacing w:after="100" w:afterAutospacing="1" w:line="400" w:lineRule="exact"/>
              <w:jc w:val="center"/>
              <w:rPr>
                <w:rFonts w:ascii="宋体" w:hAnsi="宋体" w:cs="宋体"/>
                <w:color w:val="auto"/>
                <w:kern w:val="0"/>
                <w:szCs w:val="21"/>
              </w:rPr>
            </w:pPr>
            <w:r>
              <w:rPr>
                <w:rFonts w:hint="eastAsia" w:ascii="宋体" w:hAnsi="宋体" w:cs="宋体"/>
                <w:color w:val="auto"/>
                <w:kern w:val="0"/>
                <w:szCs w:val="21"/>
              </w:rPr>
              <w:t>监理单位意见：</w:t>
            </w:r>
          </w:p>
        </w:tc>
        <w:tc>
          <w:tcPr>
            <w:tcW w:w="6201" w:type="dxa"/>
          </w:tcPr>
          <w:p w14:paraId="2B6326DA">
            <w:pPr>
              <w:widowControl/>
              <w:snapToGrid w:val="0"/>
              <w:spacing w:after="100" w:afterAutospacing="1" w:line="400" w:lineRule="exact"/>
              <w:rPr>
                <w:rFonts w:ascii="宋体" w:hAnsi="宋体"/>
                <w:color w:val="auto"/>
                <w:kern w:val="0"/>
                <w:szCs w:val="21"/>
                <w:u w:val="single"/>
              </w:rPr>
            </w:pPr>
          </w:p>
          <w:p w14:paraId="3835991F">
            <w:pPr>
              <w:widowControl/>
              <w:snapToGrid w:val="0"/>
              <w:spacing w:after="100" w:afterAutospacing="1" w:line="400" w:lineRule="exact"/>
              <w:rPr>
                <w:rFonts w:ascii="宋体" w:hAnsi="宋体"/>
                <w:color w:val="auto"/>
                <w:kern w:val="0"/>
                <w:szCs w:val="21"/>
                <w:u w:val="single"/>
              </w:rPr>
            </w:pPr>
            <w:r>
              <w:rPr>
                <w:rFonts w:hint="eastAsia" w:ascii="宋体" w:hAnsi="宋体"/>
                <w:color w:val="auto"/>
                <w:kern w:val="0"/>
                <w:szCs w:val="21"/>
              </w:rPr>
              <w:t xml:space="preserve">             总监签字并加盖项目章：</w:t>
            </w:r>
            <w:r>
              <w:rPr>
                <w:rFonts w:hint="eastAsia" w:ascii="宋体" w:hAnsi="宋体"/>
                <w:color w:val="auto"/>
                <w:kern w:val="0"/>
                <w:szCs w:val="21"/>
                <w:u w:val="single"/>
              </w:rPr>
              <w:t xml:space="preserve">        </w:t>
            </w:r>
          </w:p>
        </w:tc>
      </w:tr>
      <w:tr w14:paraId="6016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vAlign w:val="center"/>
          </w:tcPr>
          <w:p w14:paraId="7CB4D0AF">
            <w:pPr>
              <w:widowControl/>
              <w:snapToGrid w:val="0"/>
              <w:spacing w:after="100" w:afterAutospacing="1" w:line="400" w:lineRule="exact"/>
              <w:jc w:val="center"/>
              <w:rPr>
                <w:rFonts w:ascii="宋体" w:hAnsi="宋体"/>
                <w:color w:val="auto"/>
                <w:kern w:val="0"/>
                <w:szCs w:val="21"/>
              </w:rPr>
            </w:pPr>
            <w:r>
              <w:rPr>
                <w:rFonts w:hint="eastAsia" w:ascii="宋体" w:hAnsi="宋体"/>
                <w:color w:val="auto"/>
                <w:kern w:val="0"/>
                <w:szCs w:val="21"/>
              </w:rPr>
              <w:t>工程部项目负责人意见：</w:t>
            </w:r>
          </w:p>
        </w:tc>
        <w:tc>
          <w:tcPr>
            <w:tcW w:w="6201" w:type="dxa"/>
          </w:tcPr>
          <w:p w14:paraId="212397F2">
            <w:pPr>
              <w:widowControl/>
              <w:snapToGrid w:val="0"/>
              <w:spacing w:after="100" w:afterAutospacing="1" w:line="400" w:lineRule="exact"/>
              <w:rPr>
                <w:rFonts w:ascii="宋体" w:hAnsi="宋体"/>
                <w:color w:val="auto"/>
                <w:kern w:val="0"/>
                <w:szCs w:val="21"/>
                <w:u w:val="single"/>
              </w:rPr>
            </w:pPr>
          </w:p>
          <w:p w14:paraId="0CE34D62">
            <w:pPr>
              <w:widowControl/>
              <w:snapToGrid w:val="0"/>
              <w:spacing w:after="100" w:afterAutospacing="1" w:line="400" w:lineRule="exact"/>
              <w:rPr>
                <w:rFonts w:ascii="宋体" w:hAnsi="宋体"/>
                <w:color w:val="auto"/>
                <w:kern w:val="0"/>
                <w:szCs w:val="21"/>
                <w:u w:val="single"/>
              </w:rPr>
            </w:pPr>
            <w:r>
              <w:rPr>
                <w:rFonts w:hint="eastAsia" w:ascii="宋体" w:hAnsi="宋体"/>
                <w:color w:val="auto"/>
                <w:kern w:val="0"/>
                <w:szCs w:val="21"/>
              </w:rPr>
              <w:t xml:space="preserve">                   项目负责人签字：</w:t>
            </w:r>
            <w:r>
              <w:rPr>
                <w:rFonts w:hint="eastAsia" w:ascii="宋体" w:hAnsi="宋体"/>
                <w:color w:val="auto"/>
                <w:kern w:val="0"/>
                <w:szCs w:val="21"/>
                <w:u w:val="single"/>
              </w:rPr>
              <w:t xml:space="preserve">        </w:t>
            </w:r>
          </w:p>
        </w:tc>
      </w:tr>
    </w:tbl>
    <w:p w14:paraId="441B6EB4">
      <w:pPr>
        <w:pStyle w:val="3"/>
        <w:spacing w:line="360" w:lineRule="auto"/>
        <w:ind w:firstLine="2209" w:firstLineChars="500"/>
        <w:jc w:val="both"/>
        <w:rPr>
          <w:rFonts w:hint="eastAsia" w:ascii="宋体" w:hAnsi="宋体" w:cs="仿宋"/>
        </w:rPr>
      </w:pPr>
    </w:p>
    <w:p w14:paraId="3F752877">
      <w:pPr>
        <w:rPr>
          <w:rFonts w:hint="eastAsia" w:ascii="宋体" w:hAnsi="宋体" w:cs="仿宋"/>
        </w:rPr>
      </w:pPr>
    </w:p>
    <w:p w14:paraId="47EC20C1">
      <w:pPr>
        <w:pStyle w:val="2"/>
        <w:rPr>
          <w:rFonts w:hint="eastAsia" w:ascii="宋体" w:hAnsi="宋体" w:cs="仿宋"/>
        </w:rPr>
      </w:pPr>
    </w:p>
    <w:p w14:paraId="220BD339">
      <w:pPr>
        <w:rPr>
          <w:rFonts w:hint="eastAsia" w:ascii="宋体" w:hAnsi="宋体" w:cs="仿宋"/>
        </w:rPr>
      </w:pPr>
    </w:p>
    <w:p w14:paraId="70B9F152">
      <w:pPr>
        <w:pStyle w:val="2"/>
        <w:rPr>
          <w:rFonts w:hint="eastAsia" w:ascii="宋体" w:hAnsi="宋体" w:cs="仿宋"/>
        </w:rPr>
      </w:pPr>
    </w:p>
    <w:p w14:paraId="4436B659">
      <w:pPr>
        <w:rPr>
          <w:rFonts w:hint="eastAsia" w:ascii="宋体" w:hAnsi="宋体" w:cs="仿宋"/>
        </w:rPr>
      </w:pPr>
    </w:p>
    <w:p w14:paraId="3A509B6D">
      <w:pPr>
        <w:pStyle w:val="2"/>
        <w:rPr>
          <w:rFonts w:hint="eastAsia"/>
        </w:rPr>
      </w:pPr>
    </w:p>
    <w:p w14:paraId="0660C6BA">
      <w:pPr>
        <w:pStyle w:val="3"/>
        <w:spacing w:line="360" w:lineRule="auto"/>
        <w:ind w:firstLine="2209" w:firstLineChars="500"/>
        <w:jc w:val="both"/>
        <w:rPr>
          <w:rFonts w:hint="eastAsia" w:ascii="宋体" w:hAnsi="宋体" w:cs="仿宋"/>
        </w:rPr>
      </w:pPr>
      <w:r>
        <w:rPr>
          <w:rFonts w:hint="eastAsia" w:ascii="宋体" w:hAnsi="宋体" w:cs="仿宋"/>
        </w:rPr>
        <w:t xml:space="preserve">第五章  </w:t>
      </w:r>
      <w:bookmarkEnd w:id="748"/>
      <w:bookmarkEnd w:id="749"/>
      <w:bookmarkEnd w:id="750"/>
      <w:bookmarkEnd w:id="751"/>
      <w:bookmarkEnd w:id="752"/>
      <w:bookmarkEnd w:id="753"/>
      <w:r>
        <w:rPr>
          <w:rFonts w:hint="eastAsia" w:ascii="宋体" w:hAnsi="宋体" w:cs="仿宋"/>
        </w:rPr>
        <w:t>工程量清单</w:t>
      </w:r>
      <w:bookmarkEnd w:id="2103"/>
    </w:p>
    <w:p w14:paraId="49B47043">
      <w:pPr>
        <w:pStyle w:val="106"/>
        <w:ind w:firstLine="480"/>
      </w:pPr>
      <w:bookmarkStart w:id="2235" w:name="_Toc170892802"/>
    </w:p>
    <w:p w14:paraId="2A439800">
      <w:pPr>
        <w:pStyle w:val="3"/>
        <w:spacing w:line="360" w:lineRule="auto"/>
        <w:jc w:val="center"/>
        <w:rPr>
          <w:rFonts w:hint="eastAsia" w:ascii="宋体" w:hAnsi="宋体"/>
        </w:rPr>
      </w:pPr>
      <w:r>
        <w:rPr>
          <w:rFonts w:hint="eastAsia" w:ascii="宋体" w:hAnsi="宋体"/>
        </w:rPr>
        <w:br w:type="page"/>
      </w:r>
      <w:bookmarkStart w:id="2236" w:name="_Toc181626938"/>
      <w:r>
        <w:rPr>
          <w:rFonts w:hint="eastAsia" w:ascii="宋体" w:hAnsi="宋体"/>
        </w:rPr>
        <w:t>第六章  竞选文件格式</w:t>
      </w:r>
      <w:bookmarkEnd w:id="2235"/>
      <w:bookmarkEnd w:id="2236"/>
    </w:p>
    <w:p w14:paraId="7E2B13C9">
      <w:pPr>
        <w:spacing w:line="360" w:lineRule="auto"/>
        <w:rPr>
          <w:rFonts w:hint="eastAsia" w:ascii="宋体" w:hAnsi="宋体" w:cs="仿宋"/>
          <w:sz w:val="32"/>
          <w:szCs w:val="32"/>
        </w:rPr>
      </w:pPr>
    </w:p>
    <w:p w14:paraId="55A2F36A">
      <w:pPr>
        <w:pStyle w:val="4"/>
        <w:spacing w:line="360" w:lineRule="auto"/>
        <w:jc w:val="center"/>
        <w:rPr>
          <w:rFonts w:hint="eastAsia" w:ascii="宋体" w:hAnsi="宋体"/>
          <w:kern w:val="0"/>
          <w:sz w:val="28"/>
          <w:szCs w:val="28"/>
        </w:rPr>
      </w:pPr>
      <w:r>
        <w:rPr>
          <w:rFonts w:hint="eastAsia" w:ascii="宋体" w:hAnsi="宋体" w:cs="仿宋"/>
          <w:szCs w:val="20"/>
        </w:rPr>
        <w:br w:type="page"/>
      </w:r>
    </w:p>
    <w:bookmarkEnd w:id="754"/>
    <w:bookmarkEnd w:id="755"/>
    <w:bookmarkEnd w:id="756"/>
    <w:p w14:paraId="56FAE9A6">
      <w:pPr>
        <w:spacing w:line="360" w:lineRule="auto"/>
        <w:jc w:val="center"/>
        <w:rPr>
          <w:rFonts w:ascii="宋体" w:hAnsi="宋体"/>
          <w:color w:val="auto"/>
          <w:sz w:val="36"/>
          <w:szCs w:val="36"/>
        </w:rPr>
      </w:pPr>
      <w:bookmarkStart w:id="2237" w:name="_Toc224103493"/>
      <w:r>
        <w:rPr>
          <w:rFonts w:hint="eastAsia" w:ascii="宋体" w:hAnsi="宋体"/>
          <w:color w:val="auto"/>
          <w:sz w:val="36"/>
          <w:szCs w:val="36"/>
        </w:rPr>
        <w:t>目  录</w:t>
      </w:r>
      <w:bookmarkEnd w:id="2237"/>
    </w:p>
    <w:p w14:paraId="22B24D8E">
      <w:pPr>
        <w:spacing w:line="360" w:lineRule="auto"/>
        <w:jc w:val="center"/>
        <w:rPr>
          <w:rFonts w:ascii="宋体" w:hAnsi="宋体"/>
          <w:color w:val="auto"/>
          <w:szCs w:val="20"/>
        </w:rPr>
      </w:pPr>
    </w:p>
    <w:p w14:paraId="70CD6739">
      <w:pPr>
        <w:spacing w:line="360" w:lineRule="auto"/>
        <w:rPr>
          <w:rFonts w:ascii="宋体" w:hAnsi="宋体"/>
          <w:b/>
          <w:color w:val="auto"/>
        </w:rPr>
      </w:pPr>
      <w:r>
        <w:rPr>
          <w:rFonts w:hint="eastAsia" w:ascii="宋体" w:hAnsi="宋体"/>
          <w:b/>
          <w:color w:val="auto"/>
        </w:rPr>
        <w:t>一</w:t>
      </w:r>
      <w:r>
        <w:rPr>
          <w:rFonts w:ascii="宋体" w:hAnsi="宋体"/>
          <w:b/>
          <w:color w:val="auto"/>
        </w:rPr>
        <w:t>、投标函部分</w:t>
      </w:r>
    </w:p>
    <w:p w14:paraId="5A38DFFF">
      <w:pPr>
        <w:spacing w:line="360" w:lineRule="auto"/>
        <w:ind w:firstLine="420" w:firstLineChars="200"/>
        <w:rPr>
          <w:rFonts w:ascii="宋体" w:hAnsi="宋体"/>
          <w:color w:val="auto"/>
        </w:rPr>
      </w:pPr>
      <w:r>
        <w:rPr>
          <w:rFonts w:ascii="宋体" w:hAnsi="宋体"/>
          <w:color w:val="auto"/>
        </w:rPr>
        <w:t>（一）投标函</w:t>
      </w:r>
    </w:p>
    <w:p w14:paraId="2E350E0F">
      <w:pPr>
        <w:spacing w:line="360" w:lineRule="auto"/>
        <w:ind w:firstLine="420" w:firstLineChars="200"/>
        <w:rPr>
          <w:rFonts w:ascii="宋体" w:hAnsi="宋体"/>
          <w:color w:val="auto"/>
        </w:rPr>
      </w:pPr>
      <w:r>
        <w:rPr>
          <w:rFonts w:ascii="宋体" w:hAnsi="宋体"/>
          <w:color w:val="auto"/>
        </w:rPr>
        <w:t>（二）投标函附录</w:t>
      </w:r>
    </w:p>
    <w:p w14:paraId="31E9319B">
      <w:pPr>
        <w:spacing w:line="360" w:lineRule="auto"/>
        <w:ind w:firstLine="420" w:firstLineChars="200"/>
        <w:rPr>
          <w:rFonts w:ascii="宋体" w:hAnsi="宋体"/>
          <w:color w:val="auto"/>
        </w:rPr>
      </w:pPr>
      <w:r>
        <w:rPr>
          <w:rFonts w:ascii="宋体" w:hAnsi="宋体"/>
          <w:color w:val="auto"/>
        </w:rPr>
        <w:t>（三）</w:t>
      </w:r>
      <w:r>
        <w:rPr>
          <w:rFonts w:hint="eastAsia" w:ascii="宋体" w:hAnsi="宋体"/>
          <w:color w:val="auto"/>
        </w:rPr>
        <w:t>法定代表人身份证明或附有法定代表人身份证明的授权委托书</w:t>
      </w:r>
    </w:p>
    <w:p w14:paraId="473C64D7">
      <w:pPr>
        <w:spacing w:line="360" w:lineRule="auto"/>
        <w:ind w:firstLine="420" w:firstLineChars="200"/>
        <w:rPr>
          <w:rFonts w:ascii="宋体" w:hAnsi="宋体"/>
          <w:color w:val="auto"/>
        </w:rPr>
      </w:pPr>
      <w:r>
        <w:rPr>
          <w:rFonts w:ascii="宋体" w:hAnsi="宋体"/>
          <w:color w:val="auto"/>
        </w:rPr>
        <w:t>（四）</w:t>
      </w:r>
      <w:r>
        <w:rPr>
          <w:rFonts w:hint="eastAsia" w:ascii="宋体" w:hAnsi="宋体"/>
          <w:color w:val="auto"/>
        </w:rPr>
        <w:t>低价风险担保缴纳承诺书（如有）</w:t>
      </w:r>
    </w:p>
    <w:p w14:paraId="51D0E370">
      <w:pPr>
        <w:spacing w:line="360" w:lineRule="auto"/>
        <w:ind w:firstLine="420" w:firstLineChars="200"/>
        <w:rPr>
          <w:rFonts w:ascii="宋体" w:hAnsi="宋体"/>
          <w:color w:val="auto"/>
        </w:rPr>
      </w:pPr>
      <w:r>
        <w:rPr>
          <w:rFonts w:ascii="宋体" w:hAnsi="宋体"/>
          <w:color w:val="auto"/>
        </w:rPr>
        <w:t>（五）联合体协议书</w:t>
      </w:r>
      <w:r>
        <w:rPr>
          <w:rFonts w:hint="eastAsia" w:ascii="宋体" w:hAnsi="宋体"/>
          <w:color w:val="auto"/>
        </w:rPr>
        <w:t>（如有）</w:t>
      </w:r>
    </w:p>
    <w:p w14:paraId="44B8E739">
      <w:pPr>
        <w:spacing w:line="360" w:lineRule="auto"/>
        <w:rPr>
          <w:rFonts w:ascii="宋体" w:hAnsi="宋体"/>
          <w:b/>
          <w:color w:val="auto"/>
        </w:rPr>
      </w:pPr>
      <w:r>
        <w:rPr>
          <w:rFonts w:hint="eastAsia" w:ascii="宋体" w:hAnsi="宋体"/>
          <w:b/>
          <w:color w:val="auto"/>
        </w:rPr>
        <w:t>二</w:t>
      </w:r>
      <w:r>
        <w:rPr>
          <w:rFonts w:ascii="宋体" w:hAnsi="宋体"/>
          <w:b/>
          <w:color w:val="auto"/>
        </w:rPr>
        <w:t>、</w:t>
      </w:r>
      <w:r>
        <w:rPr>
          <w:rFonts w:hint="eastAsia" w:ascii="宋体" w:hAnsi="宋体"/>
          <w:b/>
          <w:color w:val="auto"/>
        </w:rPr>
        <w:t>经济</w:t>
      </w:r>
      <w:r>
        <w:rPr>
          <w:rFonts w:ascii="宋体" w:hAnsi="宋体"/>
          <w:b/>
          <w:color w:val="auto"/>
        </w:rPr>
        <w:t>部分</w:t>
      </w:r>
    </w:p>
    <w:p w14:paraId="0962BA70">
      <w:pPr>
        <w:spacing w:line="360" w:lineRule="auto"/>
        <w:ind w:firstLine="420" w:firstLineChars="200"/>
        <w:rPr>
          <w:rFonts w:ascii="宋体" w:hAnsi="宋体"/>
          <w:color w:val="auto"/>
        </w:rPr>
      </w:pPr>
      <w:r>
        <w:rPr>
          <w:rFonts w:ascii="宋体" w:hAnsi="宋体"/>
          <w:color w:val="auto"/>
        </w:rPr>
        <w:t>已标价工程量清单</w:t>
      </w:r>
    </w:p>
    <w:p w14:paraId="29A49344">
      <w:pPr>
        <w:spacing w:line="360" w:lineRule="auto"/>
        <w:rPr>
          <w:rFonts w:ascii="宋体" w:hAnsi="宋体"/>
          <w:b/>
          <w:color w:val="auto"/>
        </w:rPr>
      </w:pPr>
      <w:r>
        <w:rPr>
          <w:rFonts w:hint="eastAsia" w:ascii="宋体" w:hAnsi="宋体"/>
          <w:b/>
          <w:color w:val="auto"/>
          <w:lang w:eastAsia="zh-CN"/>
        </w:rPr>
        <w:t>三</w:t>
      </w:r>
      <w:r>
        <w:rPr>
          <w:rFonts w:ascii="宋体" w:hAnsi="宋体"/>
          <w:b/>
          <w:color w:val="auto"/>
        </w:rPr>
        <w:t>、</w:t>
      </w:r>
      <w:r>
        <w:rPr>
          <w:rFonts w:hint="eastAsia" w:ascii="宋体" w:hAnsi="宋体"/>
          <w:b/>
          <w:color w:val="auto"/>
        </w:rPr>
        <w:t>资格审查部分</w:t>
      </w:r>
    </w:p>
    <w:p w14:paraId="4CEC01E0">
      <w:pPr>
        <w:spacing w:line="360" w:lineRule="auto"/>
        <w:ind w:firstLine="420" w:firstLineChars="200"/>
        <w:rPr>
          <w:rFonts w:ascii="宋体" w:hAnsi="宋体"/>
          <w:color w:val="auto"/>
        </w:rPr>
      </w:pPr>
      <w:r>
        <w:rPr>
          <w:rFonts w:ascii="宋体" w:hAnsi="宋体"/>
          <w:color w:val="auto"/>
        </w:rPr>
        <w:t>（一）</w:t>
      </w:r>
      <w:r>
        <w:rPr>
          <w:rFonts w:hint="eastAsia" w:ascii="宋体" w:hAnsi="宋体"/>
          <w:color w:val="auto"/>
        </w:rPr>
        <w:t>法定代表人身份证明或附有法定代表人身份证明的授权委托书</w:t>
      </w:r>
    </w:p>
    <w:p w14:paraId="65E0C50A">
      <w:pPr>
        <w:spacing w:line="360" w:lineRule="auto"/>
        <w:ind w:firstLine="420" w:firstLineChars="200"/>
        <w:rPr>
          <w:rFonts w:ascii="宋体" w:hAnsi="宋体"/>
          <w:color w:val="auto"/>
        </w:rPr>
      </w:pPr>
      <w:r>
        <w:rPr>
          <w:rFonts w:ascii="宋体" w:hAnsi="宋体"/>
          <w:color w:val="auto"/>
        </w:rPr>
        <w:t>（二）联合体协议书</w:t>
      </w:r>
      <w:r>
        <w:rPr>
          <w:rFonts w:hint="eastAsia" w:ascii="宋体" w:hAnsi="宋体"/>
          <w:color w:val="auto"/>
        </w:rPr>
        <w:t>（如有）</w:t>
      </w:r>
    </w:p>
    <w:p w14:paraId="3F3CDB24">
      <w:pPr>
        <w:spacing w:line="360" w:lineRule="auto"/>
        <w:ind w:firstLine="420" w:firstLineChars="200"/>
        <w:rPr>
          <w:rFonts w:ascii="宋体" w:hAnsi="宋体"/>
          <w:color w:val="auto"/>
        </w:rPr>
      </w:pPr>
      <w:r>
        <w:rPr>
          <w:rFonts w:ascii="宋体" w:hAnsi="宋体"/>
          <w:color w:val="auto"/>
        </w:rPr>
        <w:t>（三）投标人基本情况表</w:t>
      </w:r>
    </w:p>
    <w:p w14:paraId="7982F62F">
      <w:pPr>
        <w:spacing w:line="360" w:lineRule="auto"/>
        <w:ind w:firstLine="420" w:firstLineChars="200"/>
        <w:rPr>
          <w:rFonts w:ascii="宋体" w:hAnsi="宋体"/>
          <w:color w:val="auto"/>
        </w:rPr>
      </w:pPr>
      <w:r>
        <w:rPr>
          <w:rFonts w:ascii="宋体" w:hAnsi="宋体"/>
          <w:color w:val="auto"/>
        </w:rPr>
        <w:t>（四）项目管理机构</w:t>
      </w:r>
    </w:p>
    <w:p w14:paraId="378F4BE0">
      <w:pPr>
        <w:spacing w:line="360" w:lineRule="auto"/>
        <w:ind w:firstLine="420" w:firstLineChars="200"/>
        <w:rPr>
          <w:rFonts w:ascii="宋体" w:hAnsi="宋体"/>
          <w:color w:val="auto"/>
        </w:rPr>
      </w:pPr>
      <w:r>
        <w:rPr>
          <w:rFonts w:ascii="宋体" w:hAnsi="宋体"/>
          <w:color w:val="auto"/>
        </w:rPr>
        <w:t>（五）近年财务状况表</w:t>
      </w:r>
    </w:p>
    <w:p w14:paraId="54E4673B">
      <w:pPr>
        <w:spacing w:line="360" w:lineRule="auto"/>
        <w:ind w:firstLine="420" w:firstLineChars="200"/>
        <w:rPr>
          <w:rFonts w:ascii="宋体" w:hAnsi="宋体"/>
          <w:color w:val="auto"/>
        </w:rPr>
      </w:pPr>
      <w:r>
        <w:rPr>
          <w:rFonts w:ascii="宋体" w:hAnsi="宋体"/>
          <w:color w:val="auto"/>
        </w:rPr>
        <w:t>（六）类似项目情况表</w:t>
      </w:r>
    </w:p>
    <w:p w14:paraId="6F0B19BC">
      <w:pPr>
        <w:spacing w:line="360" w:lineRule="auto"/>
        <w:ind w:firstLine="420" w:firstLineChars="200"/>
        <w:rPr>
          <w:rFonts w:ascii="宋体" w:hAnsi="宋体"/>
          <w:color w:val="auto"/>
        </w:rPr>
      </w:pPr>
      <w:r>
        <w:rPr>
          <w:rFonts w:ascii="宋体" w:hAnsi="宋体"/>
          <w:color w:val="auto"/>
        </w:rPr>
        <w:t>（七）</w:t>
      </w:r>
      <w:r>
        <w:rPr>
          <w:rFonts w:hint="eastAsia" w:ascii="宋体" w:hAnsi="宋体"/>
          <w:color w:val="auto"/>
        </w:rPr>
        <w:t>承诺</w:t>
      </w:r>
    </w:p>
    <w:p w14:paraId="4B5CEA02">
      <w:pPr>
        <w:spacing w:line="360" w:lineRule="auto"/>
        <w:ind w:firstLine="420" w:firstLineChars="200"/>
        <w:rPr>
          <w:rFonts w:ascii="宋体" w:hAnsi="宋体"/>
          <w:color w:val="auto"/>
        </w:rPr>
      </w:pPr>
      <w:r>
        <w:rPr>
          <w:rFonts w:ascii="宋体" w:hAnsi="宋体"/>
          <w:color w:val="auto"/>
        </w:rPr>
        <w:t>（</w:t>
      </w:r>
      <w:r>
        <w:rPr>
          <w:rFonts w:hint="eastAsia" w:ascii="宋体" w:hAnsi="宋体"/>
          <w:color w:val="auto"/>
        </w:rPr>
        <w:t>八</w:t>
      </w:r>
      <w:r>
        <w:rPr>
          <w:rFonts w:ascii="宋体" w:hAnsi="宋体"/>
          <w:color w:val="auto"/>
        </w:rPr>
        <w:t>）其他资料</w:t>
      </w:r>
    </w:p>
    <w:p w14:paraId="4E0DF623">
      <w:pPr>
        <w:autoSpaceDE w:val="0"/>
        <w:autoSpaceDN w:val="0"/>
        <w:adjustRightInd w:val="0"/>
        <w:spacing w:line="276" w:lineRule="auto"/>
        <w:ind w:right="-23"/>
        <w:jc w:val="left"/>
        <w:rPr>
          <w:rFonts w:ascii="宋体" w:hAnsi="宋体"/>
          <w:color w:val="auto"/>
          <w:kern w:val="0"/>
          <w:szCs w:val="21"/>
          <w:u w:val="single"/>
        </w:rPr>
      </w:pPr>
      <w:r>
        <w:rPr>
          <w:rFonts w:ascii="宋体" w:hAnsi="宋体"/>
          <w:b/>
          <w:color w:val="auto"/>
          <w:kern w:val="0"/>
          <w:sz w:val="24"/>
        </w:rPr>
        <w:br w:type="page"/>
      </w:r>
      <w:bookmarkStart w:id="2238" w:name="_Toc430530529"/>
      <w:bookmarkStart w:id="2239" w:name="_Toc287620813"/>
      <w:bookmarkStart w:id="2240" w:name="_Toc287607866"/>
      <w:bookmarkStart w:id="2241" w:name="_Toc277082642"/>
      <w:bookmarkStart w:id="2242" w:name="_Toc224103494"/>
    </w:p>
    <w:p w14:paraId="7B9071BB">
      <w:pPr>
        <w:pStyle w:val="4"/>
        <w:spacing w:line="360" w:lineRule="auto"/>
        <w:jc w:val="center"/>
        <w:rPr>
          <w:rFonts w:ascii="宋体" w:hAnsi="宋体"/>
          <w:b w:val="0"/>
          <w:bCs w:val="0"/>
          <w:color w:val="auto"/>
          <w:sz w:val="44"/>
          <w:szCs w:val="44"/>
        </w:rPr>
      </w:pPr>
      <w:bookmarkStart w:id="2243" w:name="_Toc6817"/>
      <w:r>
        <w:rPr>
          <w:rFonts w:hint="eastAsia" w:ascii="宋体" w:hAnsi="宋体"/>
          <w:b w:val="0"/>
          <w:bCs w:val="0"/>
          <w:color w:val="auto"/>
          <w:sz w:val="44"/>
          <w:szCs w:val="44"/>
        </w:rPr>
        <w:t>一、投标函部分</w:t>
      </w:r>
      <w:bookmarkEnd w:id="2238"/>
      <w:bookmarkEnd w:id="2239"/>
      <w:bookmarkEnd w:id="2240"/>
      <w:bookmarkEnd w:id="2241"/>
      <w:bookmarkEnd w:id="2242"/>
      <w:bookmarkEnd w:id="2243"/>
    </w:p>
    <w:p w14:paraId="5BA4EBE5">
      <w:pPr>
        <w:tabs>
          <w:tab w:val="left" w:pos="2580"/>
          <w:tab w:val="left" w:pos="5940"/>
        </w:tabs>
        <w:autoSpaceDE w:val="0"/>
        <w:autoSpaceDN w:val="0"/>
        <w:adjustRightInd w:val="0"/>
        <w:snapToGrid w:val="0"/>
        <w:spacing w:line="360" w:lineRule="auto"/>
        <w:jc w:val="left"/>
        <w:rPr>
          <w:rFonts w:ascii="宋体" w:hAnsi="宋体"/>
          <w:color w:val="auto"/>
          <w:kern w:val="0"/>
          <w:sz w:val="28"/>
          <w:szCs w:val="28"/>
          <w:u w:val="single"/>
        </w:rPr>
      </w:pPr>
      <w:r>
        <w:rPr>
          <w:rFonts w:ascii="宋体" w:hAnsi="宋体"/>
          <w:color w:val="auto"/>
          <w:kern w:val="0"/>
          <w:sz w:val="28"/>
          <w:szCs w:val="28"/>
          <w:u w:val="single"/>
        </w:rPr>
        <w:br w:type="page"/>
      </w:r>
    </w:p>
    <w:p w14:paraId="7D7080BD">
      <w:pPr>
        <w:spacing w:line="360" w:lineRule="auto"/>
        <w:jc w:val="center"/>
        <w:rPr>
          <w:rFonts w:ascii="宋体" w:hAnsi="宋体"/>
          <w:color w:val="auto"/>
          <w:kern w:val="0"/>
          <w:sz w:val="32"/>
          <w:szCs w:val="32"/>
        </w:rPr>
      </w:pPr>
      <w:r>
        <w:rPr>
          <w:rFonts w:hint="eastAsia" w:ascii="宋体" w:hAnsi="宋体"/>
          <w:color w:val="auto"/>
          <w:kern w:val="0"/>
          <w:sz w:val="32"/>
          <w:szCs w:val="32"/>
          <w:u w:val="single"/>
        </w:rPr>
        <w:t xml:space="preserve">                   （项目名称）</w:t>
      </w:r>
    </w:p>
    <w:p w14:paraId="2F82A01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38B8E6A4">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3F532CE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2B8A38F">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4AC348E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B5DFF20">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1AE02426">
      <w:pPr>
        <w:autoSpaceDE w:val="0"/>
        <w:autoSpaceDN w:val="0"/>
        <w:adjustRightInd w:val="0"/>
        <w:snapToGrid w:val="0"/>
        <w:spacing w:line="360" w:lineRule="auto"/>
        <w:jc w:val="left"/>
        <w:rPr>
          <w:rFonts w:ascii="宋体" w:hAnsi="宋体"/>
          <w:color w:val="auto"/>
          <w:kern w:val="0"/>
          <w:sz w:val="16"/>
          <w:szCs w:val="16"/>
        </w:rPr>
      </w:pPr>
    </w:p>
    <w:p w14:paraId="59C22743">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投标函部分</w:t>
      </w:r>
    </w:p>
    <w:p w14:paraId="5F443BCD">
      <w:pPr>
        <w:autoSpaceDE w:val="0"/>
        <w:autoSpaceDN w:val="0"/>
        <w:adjustRightInd w:val="0"/>
        <w:snapToGrid w:val="0"/>
        <w:spacing w:line="360" w:lineRule="auto"/>
        <w:jc w:val="left"/>
        <w:rPr>
          <w:rFonts w:ascii="宋体" w:hAnsi="宋体"/>
          <w:b/>
          <w:color w:val="auto"/>
          <w:kern w:val="0"/>
          <w:sz w:val="20"/>
          <w:szCs w:val="20"/>
        </w:rPr>
      </w:pPr>
    </w:p>
    <w:p w14:paraId="28E9A964">
      <w:pPr>
        <w:autoSpaceDE w:val="0"/>
        <w:autoSpaceDN w:val="0"/>
        <w:adjustRightInd w:val="0"/>
        <w:snapToGrid w:val="0"/>
        <w:spacing w:line="360" w:lineRule="auto"/>
        <w:jc w:val="left"/>
        <w:rPr>
          <w:rFonts w:ascii="宋体" w:hAnsi="宋体"/>
          <w:b/>
          <w:color w:val="auto"/>
          <w:kern w:val="0"/>
          <w:sz w:val="20"/>
          <w:szCs w:val="20"/>
        </w:rPr>
      </w:pPr>
    </w:p>
    <w:p w14:paraId="457AEF60">
      <w:pPr>
        <w:autoSpaceDE w:val="0"/>
        <w:autoSpaceDN w:val="0"/>
        <w:adjustRightInd w:val="0"/>
        <w:snapToGrid w:val="0"/>
        <w:spacing w:line="360" w:lineRule="auto"/>
        <w:jc w:val="left"/>
        <w:rPr>
          <w:rFonts w:ascii="宋体" w:hAnsi="宋体"/>
          <w:b/>
          <w:color w:val="auto"/>
          <w:kern w:val="0"/>
          <w:sz w:val="20"/>
          <w:szCs w:val="20"/>
        </w:rPr>
      </w:pPr>
    </w:p>
    <w:p w14:paraId="3E63F7A7">
      <w:pPr>
        <w:autoSpaceDE w:val="0"/>
        <w:autoSpaceDN w:val="0"/>
        <w:adjustRightInd w:val="0"/>
        <w:snapToGrid w:val="0"/>
        <w:spacing w:line="360" w:lineRule="auto"/>
        <w:jc w:val="left"/>
        <w:rPr>
          <w:rFonts w:ascii="宋体" w:hAnsi="宋体"/>
          <w:b/>
          <w:color w:val="auto"/>
          <w:kern w:val="0"/>
          <w:sz w:val="20"/>
          <w:szCs w:val="20"/>
        </w:rPr>
      </w:pPr>
    </w:p>
    <w:p w14:paraId="703EB9B9">
      <w:pPr>
        <w:autoSpaceDE w:val="0"/>
        <w:autoSpaceDN w:val="0"/>
        <w:adjustRightInd w:val="0"/>
        <w:snapToGrid w:val="0"/>
        <w:spacing w:line="360" w:lineRule="auto"/>
        <w:jc w:val="left"/>
        <w:rPr>
          <w:rFonts w:ascii="宋体" w:hAnsi="宋体"/>
          <w:b/>
          <w:color w:val="auto"/>
          <w:kern w:val="0"/>
          <w:sz w:val="20"/>
          <w:szCs w:val="20"/>
        </w:rPr>
      </w:pPr>
    </w:p>
    <w:p w14:paraId="7967F2A6">
      <w:pPr>
        <w:autoSpaceDE w:val="0"/>
        <w:autoSpaceDN w:val="0"/>
        <w:adjustRightInd w:val="0"/>
        <w:snapToGrid w:val="0"/>
        <w:spacing w:line="360" w:lineRule="auto"/>
        <w:jc w:val="left"/>
        <w:rPr>
          <w:rFonts w:ascii="宋体" w:hAnsi="宋体"/>
          <w:b/>
          <w:color w:val="auto"/>
          <w:kern w:val="0"/>
          <w:sz w:val="20"/>
          <w:szCs w:val="20"/>
        </w:rPr>
      </w:pPr>
    </w:p>
    <w:p w14:paraId="19290371">
      <w:pPr>
        <w:autoSpaceDE w:val="0"/>
        <w:autoSpaceDN w:val="0"/>
        <w:adjustRightInd w:val="0"/>
        <w:snapToGrid w:val="0"/>
        <w:spacing w:line="360" w:lineRule="auto"/>
        <w:jc w:val="left"/>
        <w:rPr>
          <w:rFonts w:ascii="宋体" w:hAnsi="宋体"/>
          <w:b/>
          <w:color w:val="auto"/>
          <w:kern w:val="0"/>
          <w:sz w:val="20"/>
          <w:szCs w:val="20"/>
        </w:rPr>
      </w:pPr>
    </w:p>
    <w:p w14:paraId="06988024">
      <w:pPr>
        <w:autoSpaceDE w:val="0"/>
        <w:autoSpaceDN w:val="0"/>
        <w:adjustRightInd w:val="0"/>
        <w:snapToGrid w:val="0"/>
        <w:spacing w:line="360" w:lineRule="auto"/>
        <w:jc w:val="left"/>
        <w:rPr>
          <w:rFonts w:ascii="宋体" w:hAnsi="宋体"/>
          <w:b/>
          <w:color w:val="auto"/>
          <w:kern w:val="0"/>
          <w:sz w:val="20"/>
          <w:szCs w:val="20"/>
        </w:rPr>
      </w:pPr>
    </w:p>
    <w:p w14:paraId="0B637208">
      <w:pPr>
        <w:autoSpaceDE w:val="0"/>
        <w:autoSpaceDN w:val="0"/>
        <w:adjustRightInd w:val="0"/>
        <w:snapToGrid w:val="0"/>
        <w:spacing w:line="360" w:lineRule="auto"/>
        <w:jc w:val="left"/>
        <w:rPr>
          <w:rFonts w:ascii="宋体" w:hAnsi="宋体"/>
          <w:b/>
          <w:color w:val="auto"/>
          <w:kern w:val="0"/>
          <w:sz w:val="20"/>
          <w:szCs w:val="20"/>
        </w:rPr>
      </w:pPr>
    </w:p>
    <w:p w14:paraId="50BC2028">
      <w:pPr>
        <w:autoSpaceDE w:val="0"/>
        <w:autoSpaceDN w:val="0"/>
        <w:adjustRightInd w:val="0"/>
        <w:snapToGrid w:val="0"/>
        <w:spacing w:line="360" w:lineRule="auto"/>
        <w:jc w:val="left"/>
        <w:rPr>
          <w:rFonts w:ascii="宋体" w:hAnsi="宋体"/>
          <w:b/>
          <w:color w:val="auto"/>
          <w:kern w:val="0"/>
          <w:sz w:val="20"/>
          <w:szCs w:val="20"/>
        </w:rPr>
      </w:pPr>
    </w:p>
    <w:p w14:paraId="63D3D05D">
      <w:pPr>
        <w:autoSpaceDE w:val="0"/>
        <w:autoSpaceDN w:val="0"/>
        <w:adjustRightInd w:val="0"/>
        <w:snapToGrid w:val="0"/>
        <w:spacing w:line="360" w:lineRule="auto"/>
        <w:jc w:val="left"/>
        <w:rPr>
          <w:rFonts w:ascii="宋体" w:hAnsi="宋体"/>
          <w:b/>
          <w:color w:val="auto"/>
          <w:kern w:val="0"/>
          <w:sz w:val="20"/>
          <w:szCs w:val="20"/>
        </w:rPr>
      </w:pPr>
    </w:p>
    <w:p w14:paraId="21202868">
      <w:pPr>
        <w:tabs>
          <w:tab w:val="left" w:pos="6080"/>
          <w:tab w:val="left" w:pos="6640"/>
        </w:tabs>
        <w:autoSpaceDE w:val="0"/>
        <w:autoSpaceDN w:val="0"/>
        <w:adjustRightInd w:val="0"/>
        <w:snapToGrid w:val="0"/>
        <w:spacing w:afterLines="50" w:line="36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73E1E31F">
      <w:pPr>
        <w:tabs>
          <w:tab w:val="left" w:pos="6080"/>
          <w:tab w:val="left" w:pos="6640"/>
        </w:tabs>
        <w:autoSpaceDE w:val="0"/>
        <w:autoSpaceDN w:val="0"/>
        <w:adjustRightInd w:val="0"/>
        <w:snapToGrid w:val="0"/>
        <w:spacing w:afterLines="50" w:line="360" w:lineRule="auto"/>
        <w:jc w:val="center"/>
        <w:rPr>
          <w:rFonts w:ascii="宋体" w:hAnsi="宋体"/>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52E2C1FF">
      <w:pPr>
        <w:autoSpaceDE w:val="0"/>
        <w:autoSpaceDN w:val="0"/>
        <w:adjustRightInd w:val="0"/>
        <w:snapToGrid w:val="0"/>
        <w:spacing w:line="360" w:lineRule="auto"/>
        <w:jc w:val="center"/>
        <w:rPr>
          <w:rFonts w:ascii="宋体" w:hAnsi="宋体"/>
          <w:color w:val="auto"/>
          <w:kern w:val="0"/>
          <w:sz w:val="24"/>
          <w:szCs w:val="21"/>
        </w:rPr>
      </w:pP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年</w:t>
      </w: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月</w:t>
      </w: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日</w:t>
      </w:r>
      <w:r>
        <w:rPr>
          <w:rFonts w:ascii="宋体" w:hAnsi="宋体"/>
          <w:color w:val="auto"/>
          <w:kern w:val="0"/>
          <w:sz w:val="24"/>
          <w:szCs w:val="21"/>
        </w:rPr>
        <w:br w:type="page"/>
      </w:r>
    </w:p>
    <w:p w14:paraId="5D47C7D7">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目  录</w:t>
      </w:r>
    </w:p>
    <w:p w14:paraId="206087B9">
      <w:pPr>
        <w:autoSpaceDE w:val="0"/>
        <w:autoSpaceDN w:val="0"/>
        <w:adjustRightInd w:val="0"/>
        <w:snapToGrid w:val="0"/>
        <w:spacing w:line="360" w:lineRule="auto"/>
        <w:jc w:val="left"/>
        <w:rPr>
          <w:rFonts w:ascii="宋体" w:hAnsi="宋体"/>
          <w:color w:val="auto"/>
          <w:kern w:val="0"/>
          <w:sz w:val="24"/>
          <w:szCs w:val="21"/>
        </w:rPr>
      </w:pPr>
    </w:p>
    <w:p w14:paraId="480024FA">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（一）投标函</w:t>
      </w:r>
    </w:p>
    <w:p w14:paraId="6A2743AD">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（二）投标函附录</w:t>
      </w:r>
    </w:p>
    <w:p w14:paraId="6BC751EE">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（三）</w:t>
      </w:r>
      <w:r>
        <w:rPr>
          <w:rFonts w:hint="eastAsia" w:ascii="宋体" w:hAnsi="宋体"/>
          <w:color w:val="auto"/>
          <w:kern w:val="0"/>
          <w:sz w:val="24"/>
        </w:rPr>
        <w:t>法定代表人身份证明或附有法定代表人身份证明的授权委托书</w:t>
      </w:r>
    </w:p>
    <w:p w14:paraId="53AF5804">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（四）</w:t>
      </w:r>
      <w:r>
        <w:rPr>
          <w:rFonts w:hint="eastAsia" w:ascii="宋体" w:hAnsi="宋体"/>
          <w:color w:val="auto"/>
          <w:kern w:val="0"/>
          <w:sz w:val="24"/>
        </w:rPr>
        <w:t>低价风险担保缴纳承诺书（如有）</w:t>
      </w:r>
    </w:p>
    <w:p w14:paraId="42188AEF">
      <w:pPr>
        <w:autoSpaceDE w:val="0"/>
        <w:autoSpaceDN w:val="0"/>
        <w:adjustRightInd w:val="0"/>
        <w:spacing w:line="360" w:lineRule="auto"/>
        <w:ind w:firstLine="480" w:firstLineChars="200"/>
        <w:jc w:val="left"/>
        <w:rPr>
          <w:rFonts w:ascii="宋体" w:hAnsi="宋体"/>
          <w:color w:val="auto"/>
          <w:kern w:val="0"/>
          <w:sz w:val="24"/>
        </w:rPr>
      </w:pPr>
      <w:r>
        <w:rPr>
          <w:rFonts w:hint="eastAsia" w:ascii="宋体" w:hAnsi="宋体"/>
          <w:color w:val="auto"/>
          <w:kern w:val="0"/>
          <w:sz w:val="24"/>
        </w:rPr>
        <w:t>（五）</w:t>
      </w:r>
      <w:r>
        <w:rPr>
          <w:rFonts w:ascii="宋体" w:hAnsi="宋体"/>
          <w:color w:val="auto"/>
          <w:kern w:val="0"/>
          <w:sz w:val="24"/>
        </w:rPr>
        <w:t>联合体协议书</w:t>
      </w:r>
      <w:r>
        <w:rPr>
          <w:rFonts w:hint="eastAsia" w:ascii="宋体" w:hAnsi="宋体"/>
          <w:color w:val="auto"/>
          <w:kern w:val="0"/>
          <w:sz w:val="24"/>
        </w:rPr>
        <w:t>（如有）</w:t>
      </w:r>
    </w:p>
    <w:p w14:paraId="17AFD8E8">
      <w:pPr>
        <w:pStyle w:val="5"/>
        <w:spacing w:before="0" w:after="0" w:line="240" w:lineRule="auto"/>
        <w:jc w:val="center"/>
        <w:rPr>
          <w:rFonts w:ascii="宋体" w:hAnsi="宋体"/>
          <w:b w:val="0"/>
          <w:color w:val="auto"/>
        </w:rPr>
      </w:pPr>
      <w:bookmarkStart w:id="2244" w:name="_Toc430530530"/>
      <w:bookmarkStart w:id="2245" w:name="_Toc224103495"/>
      <w:bookmarkStart w:id="2246" w:name="_Toc509218854"/>
      <w:bookmarkStart w:id="2247" w:name="_Toc287607867"/>
      <w:bookmarkStart w:id="2248" w:name="_Toc277082643"/>
      <w:bookmarkStart w:id="2249" w:name="_Toc534185831"/>
      <w:bookmarkStart w:id="2250" w:name="_Toc287620814"/>
      <w:r>
        <w:rPr>
          <w:rFonts w:ascii="宋体" w:hAnsi="宋体"/>
          <w:color w:val="auto"/>
        </w:rPr>
        <w:br w:type="page"/>
      </w:r>
      <w:bookmarkStart w:id="2251" w:name="_Toc2394"/>
      <w:r>
        <w:rPr>
          <w:rFonts w:hint="eastAsia" w:ascii="宋体" w:hAnsi="宋体"/>
          <w:b w:val="0"/>
          <w:bCs w:val="0"/>
          <w:color w:val="auto"/>
        </w:rPr>
        <w:t>（一）投标函</w:t>
      </w:r>
      <w:bookmarkEnd w:id="2244"/>
      <w:bookmarkEnd w:id="2245"/>
      <w:bookmarkEnd w:id="2246"/>
      <w:bookmarkEnd w:id="2247"/>
      <w:bookmarkEnd w:id="2248"/>
      <w:bookmarkEnd w:id="2249"/>
      <w:bookmarkEnd w:id="2250"/>
      <w:bookmarkEnd w:id="2251"/>
    </w:p>
    <w:p w14:paraId="3D217B82">
      <w:pPr>
        <w:tabs>
          <w:tab w:val="left" w:pos="2640"/>
        </w:tabs>
        <w:autoSpaceDE w:val="0"/>
        <w:autoSpaceDN w:val="0"/>
        <w:adjustRightInd w:val="0"/>
        <w:spacing w:line="400" w:lineRule="exact"/>
        <w:rPr>
          <w:rFonts w:ascii="宋体" w:hAnsi="宋体"/>
          <w:snapToGrid w:val="0"/>
          <w:color w:val="auto"/>
          <w:kern w:val="0"/>
          <w:szCs w:val="21"/>
        </w:rPr>
      </w:pPr>
      <w:r>
        <w:rPr>
          <w:rFonts w:ascii="宋体" w:hAnsi="宋体"/>
          <w:snapToGrid w:val="0"/>
          <w:color w:val="auto"/>
          <w:kern w:val="0"/>
          <w:szCs w:val="21"/>
          <w:u w:val="single"/>
        </w:rPr>
        <w:tab/>
      </w:r>
      <w:r>
        <w:rPr>
          <w:rFonts w:ascii="宋体" w:hAnsi="宋体"/>
          <w:snapToGrid w:val="0"/>
          <w:color w:val="auto"/>
          <w:kern w:val="0"/>
          <w:szCs w:val="21"/>
          <w:u w:val="single"/>
        </w:rPr>
        <w:t>（</w:t>
      </w:r>
      <w:r>
        <w:rPr>
          <w:rFonts w:hint="eastAsia" w:ascii="宋体" w:hAnsi="宋体"/>
          <w:snapToGrid w:val="0"/>
          <w:color w:val="auto"/>
          <w:kern w:val="0"/>
          <w:szCs w:val="21"/>
          <w:u w:val="single"/>
        </w:rPr>
        <w:t>采购</w:t>
      </w:r>
      <w:r>
        <w:rPr>
          <w:rFonts w:ascii="宋体" w:hAnsi="宋体"/>
          <w:snapToGrid w:val="0"/>
          <w:color w:val="auto"/>
          <w:kern w:val="0"/>
          <w:szCs w:val="21"/>
          <w:u w:val="single"/>
        </w:rPr>
        <w:t>人名称）</w:t>
      </w:r>
      <w:r>
        <w:rPr>
          <w:rFonts w:ascii="宋体" w:hAnsi="宋体"/>
          <w:snapToGrid w:val="0"/>
          <w:color w:val="auto"/>
          <w:kern w:val="0"/>
          <w:szCs w:val="21"/>
        </w:rPr>
        <w:t>：</w:t>
      </w:r>
    </w:p>
    <w:p w14:paraId="565770BF">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1</w:t>
      </w:r>
      <w:r>
        <w:rPr>
          <w:rFonts w:hint="eastAsia" w:ascii="宋体" w:hAnsi="宋体"/>
          <w:snapToGrid w:val="0"/>
          <w:color w:val="auto"/>
          <w:kern w:val="0"/>
          <w:szCs w:val="21"/>
        </w:rPr>
        <w:t xml:space="preserve">. </w:t>
      </w:r>
      <w:r>
        <w:rPr>
          <w:rFonts w:ascii="宋体" w:hAnsi="宋体"/>
          <w:snapToGrid w:val="0"/>
          <w:color w:val="auto"/>
          <w:kern w:val="0"/>
          <w:szCs w:val="21"/>
        </w:rPr>
        <w:t>我方已仔细研究了</w:t>
      </w:r>
      <w:r>
        <w:rPr>
          <w:rFonts w:ascii="宋体" w:hAnsi="宋体"/>
          <w:snapToGrid w:val="0"/>
          <w:color w:val="auto"/>
          <w:kern w:val="0"/>
          <w:szCs w:val="21"/>
          <w:u w:val="single"/>
        </w:rPr>
        <w:tab/>
      </w:r>
      <w:r>
        <w:rPr>
          <w:rFonts w:ascii="宋体" w:hAnsi="宋体"/>
          <w:snapToGrid w:val="0"/>
          <w:color w:val="auto"/>
          <w:kern w:val="0"/>
          <w:szCs w:val="21"/>
          <w:u w:val="single"/>
        </w:rPr>
        <w:tab/>
      </w:r>
      <w:r>
        <w:rPr>
          <w:rFonts w:ascii="宋体" w:hAnsi="宋体"/>
          <w:snapToGrid w:val="0"/>
          <w:color w:val="auto"/>
          <w:kern w:val="0"/>
          <w:szCs w:val="21"/>
          <w:u w:val="single"/>
        </w:rPr>
        <w:t>（项目名称）</w:t>
      </w:r>
      <w:r>
        <w:rPr>
          <w:rFonts w:hint="eastAsia" w:ascii="宋体" w:hAnsi="宋体"/>
          <w:snapToGrid w:val="0"/>
          <w:color w:val="auto"/>
          <w:kern w:val="0"/>
          <w:szCs w:val="21"/>
        </w:rPr>
        <w:t>采购</w:t>
      </w:r>
      <w:r>
        <w:rPr>
          <w:rFonts w:ascii="宋体" w:hAnsi="宋体"/>
          <w:snapToGrid w:val="0"/>
          <w:color w:val="auto"/>
          <w:kern w:val="0"/>
          <w:szCs w:val="21"/>
        </w:rPr>
        <w:t>文件的全部内容，愿意以人民币（大写）</w:t>
      </w:r>
      <w:r>
        <w:rPr>
          <w:rFonts w:ascii="宋体" w:hAnsi="宋体"/>
          <w:snapToGrid w:val="0"/>
          <w:color w:val="auto"/>
          <w:kern w:val="0"/>
          <w:szCs w:val="21"/>
          <w:u w:val="single"/>
        </w:rPr>
        <w:tab/>
      </w:r>
      <w:r>
        <w:rPr>
          <w:rFonts w:ascii="宋体" w:hAnsi="宋体"/>
          <w:snapToGrid w:val="0"/>
          <w:color w:val="auto"/>
          <w:kern w:val="0"/>
          <w:szCs w:val="21"/>
        </w:rPr>
        <w:t>（¥</w:t>
      </w:r>
      <w:r>
        <w:rPr>
          <w:rFonts w:hint="eastAsia" w:ascii="宋体" w:hAnsi="宋体"/>
          <w:snapToGrid w:val="0"/>
          <w:color w:val="auto"/>
          <w:kern w:val="0"/>
          <w:szCs w:val="21"/>
          <w:u w:val="single"/>
        </w:rPr>
        <w:t xml:space="preserve">    </w:t>
      </w:r>
      <w:r>
        <w:rPr>
          <w:rFonts w:ascii="宋体" w:hAnsi="宋体"/>
          <w:snapToGrid w:val="0"/>
          <w:color w:val="auto"/>
          <w:kern w:val="0"/>
          <w:szCs w:val="21"/>
        </w:rPr>
        <w:t>）的投标总报价进行报价，其中</w:t>
      </w:r>
      <w:r>
        <w:rPr>
          <w:rFonts w:ascii="宋体" w:hAnsi="宋体"/>
          <w:snapToGrid w:val="0"/>
          <w:color w:val="auto"/>
          <w:kern w:val="0"/>
        </w:rPr>
        <w:t>安全文明施工费暂定金额为人民币</w:t>
      </w:r>
      <w:r>
        <w:rPr>
          <w:rFonts w:ascii="宋体" w:hAnsi="宋体"/>
          <w:snapToGrid w:val="0"/>
          <w:color w:val="auto"/>
          <w:kern w:val="0"/>
          <w:u w:val="single"/>
        </w:rPr>
        <w:t xml:space="preserve">        </w:t>
      </w:r>
      <w:r>
        <w:rPr>
          <w:rFonts w:ascii="宋体" w:hAnsi="宋体"/>
          <w:snapToGrid w:val="0"/>
          <w:color w:val="auto"/>
          <w:kern w:val="0"/>
        </w:rPr>
        <w:t>万元</w:t>
      </w:r>
      <w:r>
        <w:rPr>
          <w:rFonts w:ascii="宋体" w:hAnsi="宋体"/>
          <w:snapToGrid w:val="0"/>
          <w:color w:val="auto"/>
          <w:kern w:val="0"/>
          <w:szCs w:val="21"/>
        </w:rPr>
        <w:t>，该工程</w:t>
      </w:r>
      <w:r>
        <w:rPr>
          <w:rFonts w:ascii="宋体" w:hAnsi="宋体"/>
          <w:snapToGrid w:val="0"/>
          <w:color w:val="auto"/>
          <w:kern w:val="0"/>
        </w:rPr>
        <w:t>项目经理为</w:t>
      </w:r>
      <w:r>
        <w:rPr>
          <w:rFonts w:hint="eastAsia" w:ascii="宋体" w:hAnsi="宋体"/>
          <w:snapToGrid w:val="0"/>
          <w:color w:val="auto"/>
          <w:kern w:val="0"/>
          <w:u w:val="single"/>
        </w:rPr>
        <w:t xml:space="preserve">        </w:t>
      </w:r>
      <w:r>
        <w:rPr>
          <w:rFonts w:hint="eastAsia" w:ascii="宋体" w:hAnsi="宋体"/>
          <w:snapToGrid w:val="0"/>
          <w:color w:val="auto"/>
          <w:kern w:val="0"/>
          <w:szCs w:val="21"/>
        </w:rPr>
        <w:t>，身份证号码为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；委托代理人为：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，身份证号码为</w:t>
      </w:r>
      <w:r>
        <w:rPr>
          <w:rFonts w:hint="eastAsia" w:ascii="宋体" w:hAnsi="宋体"/>
          <w:snapToGrid w:val="0"/>
          <w:color w:val="auto"/>
          <w:kern w:val="0"/>
          <w:szCs w:val="21"/>
          <w:u w:val="single"/>
        </w:rPr>
        <w:t xml:space="preserve">        </w:t>
      </w:r>
      <w:r>
        <w:rPr>
          <w:rFonts w:ascii="宋体" w:hAnsi="宋体"/>
          <w:snapToGrid w:val="0"/>
          <w:color w:val="auto"/>
          <w:kern w:val="0"/>
          <w:szCs w:val="21"/>
        </w:rPr>
        <w:t>。工期</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缺陷责任期</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r>
        <w:rPr>
          <w:rFonts w:ascii="宋体" w:hAnsi="宋体"/>
          <w:snapToGrid w:val="0"/>
          <w:color w:val="auto"/>
          <w:kern w:val="0"/>
          <w:szCs w:val="21"/>
        </w:rPr>
        <w:t xml:space="preserve"> 按合同约定实施和完成承包工程，修补工程中的任何缺陷，工程质量达到</w:t>
      </w:r>
      <w:r>
        <w:rPr>
          <w:rFonts w:ascii="宋体" w:hAnsi="宋体"/>
          <w:snapToGrid w:val="0"/>
          <w:color w:val="auto"/>
          <w:kern w:val="0"/>
          <w:szCs w:val="21"/>
          <w:u w:val="single"/>
        </w:rPr>
        <w:tab/>
      </w:r>
      <w:r>
        <w:rPr>
          <w:rFonts w:ascii="宋体" w:hAnsi="宋体"/>
          <w:snapToGrid w:val="0"/>
          <w:color w:val="auto"/>
          <w:kern w:val="0"/>
          <w:szCs w:val="21"/>
          <w:u w:val="single"/>
        </w:rPr>
        <w:tab/>
      </w:r>
      <w:r>
        <w:rPr>
          <w:rFonts w:ascii="宋体" w:hAnsi="宋体"/>
          <w:snapToGrid w:val="0"/>
          <w:color w:val="auto"/>
          <w:kern w:val="0"/>
          <w:szCs w:val="21"/>
        </w:rPr>
        <w:t xml:space="preserve"> 。</w:t>
      </w:r>
    </w:p>
    <w:p w14:paraId="65ED8A48">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2</w:t>
      </w:r>
      <w:r>
        <w:rPr>
          <w:rFonts w:hint="eastAsia" w:ascii="宋体" w:hAnsi="宋体"/>
          <w:snapToGrid w:val="0"/>
          <w:color w:val="auto"/>
          <w:kern w:val="0"/>
          <w:szCs w:val="21"/>
        </w:rPr>
        <w:t xml:space="preserve">. </w:t>
      </w:r>
      <w:r>
        <w:rPr>
          <w:rFonts w:ascii="宋体" w:hAnsi="宋体"/>
          <w:snapToGrid w:val="0"/>
          <w:color w:val="auto"/>
          <w:kern w:val="0"/>
          <w:szCs w:val="21"/>
        </w:rPr>
        <w:t>我方承诺在投标有效期内不修改、撤销投标文件。</w:t>
      </w:r>
    </w:p>
    <w:p w14:paraId="688E6FD8">
      <w:pPr>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3</w:t>
      </w:r>
      <w:r>
        <w:rPr>
          <w:rFonts w:hint="eastAsia" w:ascii="宋体" w:hAnsi="宋体"/>
          <w:snapToGrid w:val="0"/>
          <w:color w:val="auto"/>
          <w:kern w:val="0"/>
          <w:szCs w:val="21"/>
        </w:rPr>
        <w:t xml:space="preserve">. </w:t>
      </w:r>
      <w:r>
        <w:rPr>
          <w:rFonts w:ascii="宋体" w:hAnsi="宋体"/>
          <w:snapToGrid w:val="0"/>
          <w:color w:val="auto"/>
          <w:kern w:val="0"/>
          <w:szCs w:val="21"/>
        </w:rPr>
        <w:t>如我方中标：</w:t>
      </w:r>
    </w:p>
    <w:p w14:paraId="6CDBAE1F">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（1）我方承诺在收到中标通知书后，在中标通知书规定的期限内与你方签订合同。</w:t>
      </w:r>
    </w:p>
    <w:p w14:paraId="2A89B4D0">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（2）随同本投标函递交的投标函附录属于合同文件的组成部分。</w:t>
      </w:r>
    </w:p>
    <w:p w14:paraId="192F1DBE">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（3）我方承诺按照</w:t>
      </w:r>
      <w:r>
        <w:rPr>
          <w:rFonts w:hint="eastAsia" w:ascii="宋体" w:hAnsi="宋体"/>
          <w:snapToGrid w:val="0"/>
          <w:color w:val="auto"/>
          <w:kern w:val="0"/>
          <w:szCs w:val="21"/>
        </w:rPr>
        <w:t>采购</w:t>
      </w:r>
      <w:r>
        <w:rPr>
          <w:rFonts w:ascii="宋体" w:hAnsi="宋体"/>
          <w:snapToGrid w:val="0"/>
          <w:color w:val="auto"/>
          <w:kern w:val="0"/>
          <w:szCs w:val="21"/>
        </w:rPr>
        <w:t>文件规定向你方递交履约担保。</w:t>
      </w:r>
    </w:p>
    <w:p w14:paraId="6E289104">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（4）我方承诺在合同约定的期限内完成并移交全部合同工程。</w:t>
      </w:r>
    </w:p>
    <w:p w14:paraId="16085585">
      <w:pPr>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4</w:t>
      </w:r>
      <w:r>
        <w:rPr>
          <w:rFonts w:hint="eastAsia" w:ascii="宋体" w:hAnsi="宋体"/>
          <w:snapToGrid w:val="0"/>
          <w:color w:val="auto"/>
          <w:kern w:val="0"/>
          <w:szCs w:val="21"/>
        </w:rPr>
        <w:t xml:space="preserve">. </w:t>
      </w:r>
      <w:r>
        <w:rPr>
          <w:rFonts w:ascii="宋体" w:hAnsi="宋体"/>
          <w:snapToGrid w:val="0"/>
          <w:color w:val="auto"/>
          <w:kern w:val="0"/>
          <w:szCs w:val="21"/>
        </w:rPr>
        <w:t>我方</w:t>
      </w:r>
      <w:r>
        <w:rPr>
          <w:rFonts w:ascii="宋体" w:hAnsi="宋体"/>
          <w:snapToGrid w:val="0"/>
          <w:color w:val="auto"/>
          <w:spacing w:val="-2"/>
          <w:kern w:val="0"/>
          <w:szCs w:val="21"/>
        </w:rPr>
        <w:t>在此声明，所递交的投标文件及有关资料内容完整、真实和准确，且不存在第二章“投标人</w:t>
      </w:r>
      <w:r>
        <w:rPr>
          <w:rFonts w:ascii="宋体" w:hAnsi="宋体"/>
          <w:snapToGrid w:val="0"/>
          <w:color w:val="auto"/>
          <w:kern w:val="0"/>
          <w:szCs w:val="21"/>
        </w:rPr>
        <w:t>须知”第 1.4.3 项规定的任何一种情形。同时我方承诺接受</w:t>
      </w:r>
      <w:r>
        <w:rPr>
          <w:rFonts w:hint="eastAsia" w:ascii="宋体" w:hAnsi="宋体"/>
          <w:snapToGrid w:val="0"/>
          <w:color w:val="auto"/>
          <w:kern w:val="0"/>
          <w:szCs w:val="21"/>
        </w:rPr>
        <w:t>采购</w:t>
      </w:r>
      <w:r>
        <w:rPr>
          <w:rFonts w:ascii="宋体" w:hAnsi="宋体"/>
          <w:snapToGrid w:val="0"/>
          <w:color w:val="auto"/>
          <w:kern w:val="0"/>
          <w:szCs w:val="21"/>
        </w:rPr>
        <w:t>文件及附件、</w:t>
      </w:r>
      <w:r>
        <w:rPr>
          <w:rFonts w:hint="eastAsia" w:ascii="宋体" w:hAnsi="宋体"/>
          <w:snapToGrid w:val="0"/>
          <w:color w:val="auto"/>
          <w:kern w:val="0"/>
          <w:szCs w:val="21"/>
        </w:rPr>
        <w:t>澄清</w:t>
      </w:r>
      <w:r>
        <w:rPr>
          <w:rFonts w:ascii="宋体" w:hAnsi="宋体"/>
          <w:snapToGrid w:val="0"/>
          <w:color w:val="auto"/>
          <w:kern w:val="0"/>
          <w:szCs w:val="21"/>
        </w:rPr>
        <w:t>及</w:t>
      </w:r>
      <w:r>
        <w:rPr>
          <w:rFonts w:hint="eastAsia" w:ascii="宋体" w:hAnsi="宋体"/>
          <w:snapToGrid w:val="0"/>
          <w:color w:val="auto"/>
          <w:kern w:val="0"/>
          <w:szCs w:val="21"/>
        </w:rPr>
        <w:t>修改</w:t>
      </w:r>
      <w:r>
        <w:rPr>
          <w:rFonts w:ascii="宋体" w:hAnsi="宋体"/>
          <w:snapToGrid w:val="0"/>
          <w:color w:val="auto"/>
          <w:kern w:val="0"/>
          <w:szCs w:val="21"/>
        </w:rPr>
        <w:t>通知中所有的内容。</w:t>
      </w:r>
    </w:p>
    <w:p w14:paraId="64C59827">
      <w:pPr>
        <w:tabs>
          <w:tab w:val="left" w:pos="5985"/>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5</w:t>
      </w:r>
      <w:r>
        <w:rPr>
          <w:rFonts w:hint="eastAsia" w:ascii="宋体" w:hAnsi="宋体"/>
          <w:snapToGrid w:val="0"/>
          <w:color w:val="auto"/>
          <w:kern w:val="0"/>
          <w:szCs w:val="21"/>
        </w:rPr>
        <w:t xml:space="preserve">. </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ab/>
      </w:r>
      <w:r>
        <w:rPr>
          <w:rFonts w:ascii="宋体" w:hAnsi="宋体"/>
          <w:snapToGrid w:val="0"/>
          <w:color w:val="auto"/>
          <w:kern w:val="0"/>
          <w:szCs w:val="21"/>
          <w:u w:val="single"/>
        </w:rPr>
        <w:t>（其他补充说明）</w:t>
      </w:r>
      <w:r>
        <w:rPr>
          <w:rFonts w:ascii="宋体" w:hAnsi="宋体"/>
          <w:snapToGrid w:val="0"/>
          <w:color w:val="auto"/>
          <w:kern w:val="0"/>
          <w:szCs w:val="21"/>
        </w:rPr>
        <w:t>。</w:t>
      </w:r>
    </w:p>
    <w:p w14:paraId="31EAC140">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投  标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（盖单位法人章） </w:t>
      </w:r>
    </w:p>
    <w:p w14:paraId="3DF54C1F">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法定代表人</w:t>
      </w:r>
      <w:r>
        <w:rPr>
          <w:rFonts w:hint="eastAsia" w:ascii="宋体" w:hAnsi="宋体"/>
          <w:snapToGrid w:val="0"/>
          <w:color w:val="auto"/>
          <w:kern w:val="0"/>
          <w:szCs w:val="21"/>
        </w:rPr>
        <w:t>或其委托代理人</w:t>
      </w:r>
      <w:r>
        <w:rPr>
          <w:rFonts w:ascii="宋体" w:hAnsi="宋体"/>
          <w:snapToGrid w:val="0"/>
          <w:color w:val="auto"/>
          <w:kern w:val="0"/>
          <w:szCs w:val="21"/>
        </w:rPr>
        <w:t>：</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p>
    <w:p w14:paraId="253F10C4">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地</w:t>
      </w:r>
      <w:r>
        <w:rPr>
          <w:rFonts w:hint="eastAsia" w:ascii="宋体" w:hAnsi="宋体"/>
          <w:snapToGrid w:val="0"/>
          <w:color w:val="auto"/>
          <w:kern w:val="0"/>
          <w:szCs w:val="21"/>
        </w:rPr>
        <w:t xml:space="preserve">    </w:t>
      </w:r>
      <w:r>
        <w:rPr>
          <w:rFonts w:ascii="宋体" w:hAnsi="宋体"/>
          <w:snapToGrid w:val="0"/>
          <w:color w:val="auto"/>
          <w:kern w:val="0"/>
          <w:szCs w:val="21"/>
        </w:rPr>
        <w:t>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31FB9D5F">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网</w:t>
      </w:r>
      <w:r>
        <w:rPr>
          <w:rFonts w:hint="eastAsia" w:ascii="宋体" w:hAnsi="宋体"/>
          <w:snapToGrid w:val="0"/>
          <w:color w:val="auto"/>
          <w:kern w:val="0"/>
          <w:szCs w:val="21"/>
        </w:rPr>
        <w:t xml:space="preserve">    </w:t>
      </w:r>
      <w:r>
        <w:rPr>
          <w:rFonts w:ascii="宋体" w:hAnsi="宋体"/>
          <w:snapToGrid w:val="0"/>
          <w:color w:val="auto"/>
          <w:kern w:val="0"/>
          <w:szCs w:val="21"/>
        </w:rPr>
        <w:t>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78F74BC7">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hint="eastAsia" w:ascii="宋体" w:hAnsi="宋体"/>
          <w:snapToGrid w:val="0"/>
          <w:color w:val="auto"/>
          <w:kern w:val="0"/>
          <w:szCs w:val="21"/>
        </w:rPr>
        <w:t>单位电话（座机）：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委托代理人电话（手机）：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08F6D54">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传</w:t>
      </w:r>
      <w:r>
        <w:rPr>
          <w:rFonts w:hint="eastAsia" w:ascii="宋体" w:hAnsi="宋体"/>
          <w:snapToGrid w:val="0"/>
          <w:color w:val="auto"/>
          <w:kern w:val="0"/>
          <w:szCs w:val="21"/>
        </w:rPr>
        <w:t xml:space="preserve">    </w:t>
      </w:r>
      <w:r>
        <w:rPr>
          <w:rFonts w:ascii="宋体" w:hAnsi="宋体"/>
          <w:snapToGrid w:val="0"/>
          <w:color w:val="auto"/>
          <w:kern w:val="0"/>
          <w:szCs w:val="21"/>
        </w:rPr>
        <w:t>真：</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495BD664">
      <w:pPr>
        <w:tabs>
          <w:tab w:val="left" w:pos="8300"/>
        </w:tabs>
        <w:autoSpaceDE w:val="0"/>
        <w:autoSpaceDN w:val="0"/>
        <w:adjustRightInd w:val="0"/>
        <w:spacing w:line="400" w:lineRule="exact"/>
        <w:ind w:firstLine="420" w:firstLineChars="200"/>
        <w:rPr>
          <w:rFonts w:ascii="宋体" w:hAnsi="宋体"/>
          <w:snapToGrid w:val="0"/>
          <w:color w:val="auto"/>
          <w:kern w:val="0"/>
          <w:szCs w:val="21"/>
          <w:u w:val="single"/>
        </w:rPr>
      </w:pPr>
      <w:r>
        <w:rPr>
          <w:rFonts w:ascii="宋体" w:hAnsi="宋体"/>
          <w:snapToGrid w:val="0"/>
          <w:color w:val="auto"/>
          <w:kern w:val="0"/>
          <w:szCs w:val="21"/>
        </w:rPr>
        <w:t>邮政编码：</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0B652932">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rPr>
      </w:pPr>
    </w:p>
    <w:p w14:paraId="06CEA19F">
      <w:pPr>
        <w:tabs>
          <w:tab w:val="left" w:pos="8300"/>
        </w:tabs>
        <w:autoSpaceDE w:val="0"/>
        <w:autoSpaceDN w:val="0"/>
        <w:adjustRightInd w:val="0"/>
        <w:spacing w:line="400" w:lineRule="exact"/>
        <w:ind w:firstLine="420" w:firstLineChars="200"/>
        <w:jc w:val="right"/>
        <w:rPr>
          <w:rFonts w:ascii="宋体" w:hAnsi="宋体"/>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53E9F8E8">
      <w:pPr>
        <w:tabs>
          <w:tab w:val="left" w:pos="8300"/>
        </w:tabs>
        <w:autoSpaceDE w:val="0"/>
        <w:autoSpaceDN w:val="0"/>
        <w:adjustRightInd w:val="0"/>
        <w:spacing w:line="400" w:lineRule="exact"/>
        <w:ind w:firstLine="420" w:firstLineChars="200"/>
        <w:jc w:val="right"/>
        <w:rPr>
          <w:rFonts w:ascii="宋体" w:hAnsi="宋体"/>
          <w:color w:val="auto"/>
          <w:kern w:val="0"/>
          <w:szCs w:val="21"/>
        </w:rPr>
      </w:pPr>
    </w:p>
    <w:p w14:paraId="37E8F2FF">
      <w:pPr>
        <w:tabs>
          <w:tab w:val="left" w:pos="8300"/>
        </w:tabs>
        <w:autoSpaceDE w:val="0"/>
        <w:autoSpaceDN w:val="0"/>
        <w:adjustRightInd w:val="0"/>
        <w:spacing w:line="4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注：联合体投标的，应在本投标函第6条中列明联合体全体成员的单位全称；要求加盖单位法人章的地方由联合体牵头人使用 CA 数字证书加盖单位电子印章即可。</w:t>
      </w:r>
    </w:p>
    <w:p w14:paraId="1B5F7D01">
      <w:pPr>
        <w:pStyle w:val="5"/>
        <w:spacing w:before="0" w:after="0" w:line="240" w:lineRule="auto"/>
        <w:jc w:val="center"/>
        <w:rPr>
          <w:rFonts w:ascii="宋体" w:hAnsi="宋体"/>
          <w:snapToGrid w:val="0"/>
          <w:color w:val="auto"/>
          <w:kern w:val="0"/>
          <w:szCs w:val="21"/>
        </w:rPr>
      </w:pPr>
      <w:bookmarkStart w:id="2252" w:name="_Toc430530531"/>
      <w:bookmarkStart w:id="2253" w:name="_Toc224103496"/>
      <w:bookmarkStart w:id="2254" w:name="_Toc277082644"/>
      <w:bookmarkStart w:id="2255" w:name="_Toc287607868"/>
      <w:bookmarkStart w:id="2256" w:name="_Toc287620815"/>
      <w:r>
        <w:rPr>
          <w:rFonts w:ascii="宋体" w:hAnsi="宋体"/>
          <w:color w:val="auto"/>
          <w:sz w:val="28"/>
        </w:rPr>
        <w:br w:type="page"/>
      </w:r>
      <w:bookmarkStart w:id="2257" w:name="_Toc534185832"/>
      <w:bookmarkStart w:id="2258" w:name="_Toc509218855"/>
      <w:bookmarkStart w:id="2259" w:name="_Toc2276"/>
      <w:r>
        <w:rPr>
          <w:rFonts w:ascii="宋体" w:hAnsi="宋体"/>
          <w:b w:val="0"/>
          <w:bCs w:val="0"/>
          <w:color w:val="auto"/>
        </w:rPr>
        <w:t>（二）投标函附录</w:t>
      </w:r>
      <w:bookmarkEnd w:id="2252"/>
      <w:bookmarkEnd w:id="2253"/>
      <w:bookmarkEnd w:id="2254"/>
      <w:bookmarkEnd w:id="2255"/>
      <w:bookmarkEnd w:id="2256"/>
      <w:bookmarkEnd w:id="2257"/>
      <w:bookmarkEnd w:id="2258"/>
      <w:bookmarkEnd w:id="2259"/>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3739BC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71A9845">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序号</w:t>
            </w:r>
          </w:p>
        </w:tc>
        <w:tc>
          <w:tcPr>
            <w:tcW w:w="2582" w:type="dxa"/>
            <w:vAlign w:val="center"/>
          </w:tcPr>
          <w:p w14:paraId="6034BE93">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条款名称</w:t>
            </w:r>
          </w:p>
        </w:tc>
        <w:tc>
          <w:tcPr>
            <w:tcW w:w="2388" w:type="dxa"/>
            <w:vAlign w:val="center"/>
          </w:tcPr>
          <w:p w14:paraId="343721F6">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合同条款号</w:t>
            </w:r>
          </w:p>
        </w:tc>
        <w:tc>
          <w:tcPr>
            <w:tcW w:w="2987" w:type="dxa"/>
            <w:vAlign w:val="center"/>
          </w:tcPr>
          <w:p w14:paraId="4162EBB6">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约定内容</w:t>
            </w:r>
          </w:p>
        </w:tc>
        <w:tc>
          <w:tcPr>
            <w:tcW w:w="792" w:type="dxa"/>
            <w:vAlign w:val="center"/>
          </w:tcPr>
          <w:p w14:paraId="6B41D533">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备注</w:t>
            </w:r>
          </w:p>
        </w:tc>
      </w:tr>
      <w:tr w14:paraId="26927D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0D769D7D">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w:t>
            </w:r>
          </w:p>
        </w:tc>
        <w:tc>
          <w:tcPr>
            <w:tcW w:w="2582" w:type="dxa"/>
            <w:vAlign w:val="center"/>
          </w:tcPr>
          <w:p w14:paraId="4E402C08">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项目经理</w:t>
            </w:r>
          </w:p>
        </w:tc>
        <w:tc>
          <w:tcPr>
            <w:tcW w:w="2388" w:type="dxa"/>
            <w:vAlign w:val="center"/>
          </w:tcPr>
          <w:p w14:paraId="5BB7EA96">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1.1.2.8</w:t>
            </w:r>
          </w:p>
        </w:tc>
        <w:tc>
          <w:tcPr>
            <w:tcW w:w="2987" w:type="dxa"/>
            <w:vAlign w:val="center"/>
          </w:tcPr>
          <w:p w14:paraId="229646E6">
            <w:pPr>
              <w:tabs>
                <w:tab w:val="left" w:pos="2190"/>
              </w:tabs>
              <w:autoSpaceDE w:val="0"/>
              <w:autoSpaceDN w:val="0"/>
              <w:adjustRightInd w:val="0"/>
              <w:jc w:val="center"/>
              <w:rPr>
                <w:rFonts w:ascii="宋体" w:hAnsi="宋体"/>
                <w:snapToGrid w:val="0"/>
                <w:color w:val="auto"/>
                <w:kern w:val="0"/>
                <w:szCs w:val="21"/>
                <w:u w:val="single"/>
              </w:rPr>
            </w:pPr>
            <w:r>
              <w:rPr>
                <w:rFonts w:ascii="宋体" w:hAnsi="宋体"/>
                <w:snapToGrid w:val="0"/>
                <w:color w:val="auto"/>
                <w:kern w:val="0"/>
                <w:szCs w:val="21"/>
              </w:rPr>
              <w:t>姓名：</w:t>
            </w:r>
            <w:r>
              <w:rPr>
                <w:rFonts w:hint="eastAsia" w:ascii="宋体" w:hAnsi="宋体"/>
                <w:snapToGrid w:val="0"/>
                <w:color w:val="auto"/>
                <w:kern w:val="0"/>
                <w:szCs w:val="21"/>
              </w:rPr>
              <w:t xml:space="preserve">    </w:t>
            </w:r>
          </w:p>
        </w:tc>
        <w:tc>
          <w:tcPr>
            <w:tcW w:w="792" w:type="dxa"/>
            <w:vAlign w:val="center"/>
          </w:tcPr>
          <w:p w14:paraId="377A21D5">
            <w:pPr>
              <w:autoSpaceDE w:val="0"/>
              <w:autoSpaceDN w:val="0"/>
              <w:adjustRightInd w:val="0"/>
              <w:jc w:val="center"/>
              <w:rPr>
                <w:rFonts w:ascii="宋体" w:hAnsi="宋体"/>
                <w:snapToGrid w:val="0"/>
                <w:color w:val="auto"/>
                <w:kern w:val="0"/>
                <w:szCs w:val="21"/>
              </w:rPr>
            </w:pPr>
          </w:p>
        </w:tc>
      </w:tr>
      <w:tr w14:paraId="411539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4803C244">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2</w:t>
            </w:r>
          </w:p>
        </w:tc>
        <w:tc>
          <w:tcPr>
            <w:tcW w:w="2582" w:type="dxa"/>
            <w:vAlign w:val="center"/>
          </w:tcPr>
          <w:p w14:paraId="2A51C502">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工期</w:t>
            </w:r>
          </w:p>
        </w:tc>
        <w:tc>
          <w:tcPr>
            <w:tcW w:w="2388" w:type="dxa"/>
            <w:vAlign w:val="center"/>
          </w:tcPr>
          <w:p w14:paraId="36B73071">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1.1.4.3</w:t>
            </w:r>
          </w:p>
        </w:tc>
        <w:tc>
          <w:tcPr>
            <w:tcW w:w="2987" w:type="dxa"/>
            <w:vAlign w:val="center"/>
          </w:tcPr>
          <w:p w14:paraId="4541C1DD">
            <w:pPr>
              <w:tabs>
                <w:tab w:val="left" w:pos="1560"/>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天数：</w:t>
            </w:r>
            <w:r>
              <w:rPr>
                <w:rFonts w:hint="eastAsia" w:ascii="宋体" w:hAnsi="宋体"/>
                <w:snapToGrid w:val="0"/>
                <w:color w:val="auto"/>
                <w:kern w:val="0"/>
                <w:szCs w:val="21"/>
                <w:u w:val="single"/>
              </w:rPr>
              <w:t xml:space="preserve">    </w:t>
            </w:r>
          </w:p>
        </w:tc>
        <w:tc>
          <w:tcPr>
            <w:tcW w:w="792" w:type="dxa"/>
            <w:vAlign w:val="center"/>
          </w:tcPr>
          <w:p w14:paraId="3027A3D5">
            <w:pPr>
              <w:autoSpaceDE w:val="0"/>
              <w:autoSpaceDN w:val="0"/>
              <w:adjustRightInd w:val="0"/>
              <w:jc w:val="center"/>
              <w:rPr>
                <w:rFonts w:ascii="宋体" w:hAnsi="宋体"/>
                <w:snapToGrid w:val="0"/>
                <w:color w:val="auto"/>
                <w:kern w:val="0"/>
                <w:szCs w:val="21"/>
              </w:rPr>
            </w:pPr>
          </w:p>
        </w:tc>
      </w:tr>
      <w:tr w14:paraId="45AF93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5AF530A">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3</w:t>
            </w:r>
          </w:p>
        </w:tc>
        <w:tc>
          <w:tcPr>
            <w:tcW w:w="2582" w:type="dxa"/>
            <w:vAlign w:val="center"/>
          </w:tcPr>
          <w:p w14:paraId="2C67CA49">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缺陷责任期</w:t>
            </w:r>
          </w:p>
        </w:tc>
        <w:tc>
          <w:tcPr>
            <w:tcW w:w="2388" w:type="dxa"/>
            <w:vAlign w:val="center"/>
          </w:tcPr>
          <w:p w14:paraId="401F3D33">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1.1.4.4</w:t>
            </w:r>
          </w:p>
        </w:tc>
        <w:tc>
          <w:tcPr>
            <w:tcW w:w="2987" w:type="dxa"/>
            <w:vAlign w:val="center"/>
          </w:tcPr>
          <w:p w14:paraId="64894900">
            <w:pPr>
              <w:autoSpaceDE w:val="0"/>
              <w:autoSpaceDN w:val="0"/>
              <w:adjustRightInd w:val="0"/>
              <w:jc w:val="center"/>
              <w:rPr>
                <w:rFonts w:ascii="宋体" w:hAnsi="宋体"/>
                <w:snapToGrid w:val="0"/>
                <w:color w:val="auto"/>
                <w:kern w:val="0"/>
                <w:szCs w:val="21"/>
              </w:rPr>
            </w:pPr>
          </w:p>
        </w:tc>
        <w:tc>
          <w:tcPr>
            <w:tcW w:w="792" w:type="dxa"/>
            <w:vAlign w:val="center"/>
          </w:tcPr>
          <w:p w14:paraId="1B4AD03A">
            <w:pPr>
              <w:autoSpaceDE w:val="0"/>
              <w:autoSpaceDN w:val="0"/>
              <w:adjustRightInd w:val="0"/>
              <w:jc w:val="center"/>
              <w:rPr>
                <w:rFonts w:ascii="宋体" w:hAnsi="宋体"/>
                <w:snapToGrid w:val="0"/>
                <w:color w:val="auto"/>
                <w:kern w:val="0"/>
                <w:szCs w:val="21"/>
              </w:rPr>
            </w:pPr>
          </w:p>
        </w:tc>
      </w:tr>
      <w:tr w14:paraId="105772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36A1E5F9">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4</w:t>
            </w:r>
          </w:p>
        </w:tc>
        <w:tc>
          <w:tcPr>
            <w:tcW w:w="2582" w:type="dxa"/>
            <w:vAlign w:val="center"/>
          </w:tcPr>
          <w:p w14:paraId="5C8ECF44">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分包</w:t>
            </w:r>
          </w:p>
        </w:tc>
        <w:tc>
          <w:tcPr>
            <w:tcW w:w="2388" w:type="dxa"/>
            <w:vAlign w:val="center"/>
          </w:tcPr>
          <w:p w14:paraId="3F7BBA2B">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3.5</w:t>
            </w:r>
          </w:p>
        </w:tc>
        <w:tc>
          <w:tcPr>
            <w:tcW w:w="2987" w:type="dxa"/>
            <w:vAlign w:val="center"/>
          </w:tcPr>
          <w:p w14:paraId="726864BE">
            <w:pPr>
              <w:autoSpaceDE w:val="0"/>
              <w:autoSpaceDN w:val="0"/>
              <w:adjustRightInd w:val="0"/>
              <w:jc w:val="center"/>
              <w:rPr>
                <w:rFonts w:ascii="宋体" w:hAnsi="宋体"/>
                <w:snapToGrid w:val="0"/>
                <w:color w:val="auto"/>
                <w:kern w:val="0"/>
                <w:szCs w:val="21"/>
              </w:rPr>
            </w:pPr>
          </w:p>
        </w:tc>
        <w:tc>
          <w:tcPr>
            <w:tcW w:w="792" w:type="dxa"/>
            <w:vAlign w:val="center"/>
          </w:tcPr>
          <w:p w14:paraId="78B94444">
            <w:pPr>
              <w:autoSpaceDE w:val="0"/>
              <w:autoSpaceDN w:val="0"/>
              <w:adjustRightInd w:val="0"/>
              <w:jc w:val="center"/>
              <w:rPr>
                <w:rFonts w:ascii="宋体" w:hAnsi="宋体"/>
                <w:snapToGrid w:val="0"/>
                <w:color w:val="auto"/>
                <w:kern w:val="0"/>
                <w:szCs w:val="21"/>
              </w:rPr>
            </w:pPr>
          </w:p>
        </w:tc>
      </w:tr>
      <w:tr w14:paraId="21B958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6BB71F0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582" w:type="dxa"/>
            <w:vAlign w:val="center"/>
          </w:tcPr>
          <w:p w14:paraId="7697EB9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388" w:type="dxa"/>
            <w:vAlign w:val="center"/>
          </w:tcPr>
          <w:p w14:paraId="392DA5BD">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987" w:type="dxa"/>
            <w:vAlign w:val="center"/>
          </w:tcPr>
          <w:p w14:paraId="2EE7F21B">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792" w:type="dxa"/>
            <w:vAlign w:val="center"/>
          </w:tcPr>
          <w:p w14:paraId="3E0E2DA8">
            <w:pPr>
              <w:autoSpaceDE w:val="0"/>
              <w:autoSpaceDN w:val="0"/>
              <w:adjustRightInd w:val="0"/>
              <w:jc w:val="center"/>
              <w:rPr>
                <w:rFonts w:ascii="宋体" w:hAnsi="宋体"/>
                <w:snapToGrid w:val="0"/>
                <w:color w:val="auto"/>
                <w:kern w:val="0"/>
                <w:szCs w:val="21"/>
              </w:rPr>
            </w:pPr>
          </w:p>
        </w:tc>
      </w:tr>
      <w:tr w14:paraId="70D9B9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F103CB6">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582" w:type="dxa"/>
            <w:vAlign w:val="center"/>
          </w:tcPr>
          <w:p w14:paraId="7726274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388" w:type="dxa"/>
            <w:vAlign w:val="center"/>
          </w:tcPr>
          <w:p w14:paraId="6DD23ADC">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987" w:type="dxa"/>
            <w:vAlign w:val="center"/>
          </w:tcPr>
          <w:p w14:paraId="58073A15">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792" w:type="dxa"/>
            <w:vAlign w:val="center"/>
          </w:tcPr>
          <w:p w14:paraId="7F137809">
            <w:pPr>
              <w:autoSpaceDE w:val="0"/>
              <w:autoSpaceDN w:val="0"/>
              <w:adjustRightInd w:val="0"/>
              <w:jc w:val="center"/>
              <w:rPr>
                <w:rFonts w:ascii="宋体" w:hAnsi="宋体"/>
                <w:snapToGrid w:val="0"/>
                <w:color w:val="auto"/>
                <w:kern w:val="0"/>
                <w:szCs w:val="21"/>
              </w:rPr>
            </w:pPr>
          </w:p>
        </w:tc>
      </w:tr>
    </w:tbl>
    <w:p w14:paraId="09C51E93">
      <w:pPr>
        <w:spacing w:line="360" w:lineRule="auto"/>
        <w:rPr>
          <w:rFonts w:ascii="宋体" w:hAnsi="宋体"/>
          <w:snapToGrid w:val="0"/>
          <w:color w:val="auto"/>
          <w:w w:val="99"/>
        </w:rPr>
      </w:pPr>
    </w:p>
    <w:p w14:paraId="19FB7E9E">
      <w:pPr>
        <w:spacing w:line="360" w:lineRule="auto"/>
        <w:rPr>
          <w:rFonts w:ascii="宋体" w:hAnsi="宋体"/>
          <w:snapToGrid w:val="0"/>
          <w:color w:val="auto"/>
          <w:kern w:val="0"/>
          <w:sz w:val="32"/>
          <w:szCs w:val="32"/>
        </w:rPr>
      </w:pPr>
    </w:p>
    <w:p w14:paraId="1A97260C">
      <w:pPr>
        <w:spacing w:line="360" w:lineRule="auto"/>
        <w:rPr>
          <w:rFonts w:ascii="宋体" w:hAnsi="宋体"/>
          <w:snapToGrid w:val="0"/>
          <w:color w:val="auto"/>
        </w:rPr>
      </w:pPr>
    </w:p>
    <w:p w14:paraId="6618C78D">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color w:val="auto"/>
          <w:kern w:val="0"/>
          <w:szCs w:val="21"/>
        </w:rPr>
      </w:pPr>
      <w:r>
        <w:rPr>
          <w:rFonts w:ascii="宋体" w:hAnsi="宋体"/>
          <w:snapToGrid w:val="0"/>
          <w:color w:val="auto"/>
          <w:kern w:val="0"/>
          <w:szCs w:val="21"/>
        </w:rPr>
        <w:t>投  标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（盖单位法人章） </w:t>
      </w:r>
    </w:p>
    <w:p w14:paraId="7BA64FCF">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color w:val="auto"/>
          <w:kern w:val="0"/>
          <w:szCs w:val="21"/>
        </w:rPr>
      </w:pPr>
      <w:r>
        <w:rPr>
          <w:rFonts w:hint="eastAsia" w:ascii="宋体" w:hAnsi="宋体"/>
          <w:snapToGrid w:val="0"/>
          <w:color w:val="auto"/>
          <w:kern w:val="0"/>
          <w:szCs w:val="21"/>
        </w:rPr>
        <w:t xml:space="preserve">   </w:t>
      </w:r>
    </w:p>
    <w:p w14:paraId="1FA19785">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 xml:space="preserve">或盖章） </w:t>
      </w:r>
    </w:p>
    <w:p w14:paraId="68064611">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rPr>
      </w:pPr>
    </w:p>
    <w:p w14:paraId="4D6CFCAB">
      <w:pPr>
        <w:pStyle w:val="5"/>
        <w:spacing w:before="0" w:after="0" w:line="240" w:lineRule="auto"/>
        <w:jc w:val="center"/>
        <w:rPr>
          <w:rFonts w:ascii="宋体" w:hAnsi="宋体"/>
          <w:snapToGrid w:val="0"/>
          <w:color w:val="auto"/>
          <w:kern w:val="0"/>
          <w:szCs w:val="21"/>
        </w:rPr>
      </w:pPr>
      <w:r>
        <w:rPr>
          <w:rFonts w:ascii="宋体" w:hAnsi="宋体"/>
          <w:snapToGrid w:val="0"/>
          <w:color w:val="auto"/>
        </w:rPr>
        <w:br w:type="page"/>
      </w:r>
      <w:bookmarkStart w:id="2260" w:name="_Toc287620816"/>
      <w:bookmarkStart w:id="2261" w:name="_Toc19159"/>
      <w:bookmarkStart w:id="2262" w:name="_Toc287607869"/>
      <w:bookmarkStart w:id="2263" w:name="_Toc277082645"/>
      <w:bookmarkStart w:id="2264" w:name="_Toc224103497"/>
      <w:bookmarkStart w:id="2265" w:name="_Toc430530532"/>
      <w:r>
        <w:rPr>
          <w:rFonts w:ascii="宋体" w:hAnsi="宋体"/>
          <w:b w:val="0"/>
          <w:bCs w:val="0"/>
          <w:color w:val="auto"/>
        </w:rPr>
        <w:t>（三）</w:t>
      </w:r>
      <w:r>
        <w:rPr>
          <w:rFonts w:hint="eastAsia" w:ascii="宋体" w:hAnsi="宋体"/>
          <w:b w:val="0"/>
          <w:bCs w:val="0"/>
          <w:color w:val="auto"/>
        </w:rPr>
        <w:t>法定代表人身份证明或附有法定代表人身份证明的授权委托书</w:t>
      </w:r>
      <w:bookmarkEnd w:id="2260"/>
      <w:bookmarkEnd w:id="2261"/>
      <w:bookmarkEnd w:id="2262"/>
      <w:bookmarkEnd w:id="2263"/>
      <w:bookmarkEnd w:id="2264"/>
      <w:bookmarkEnd w:id="2265"/>
    </w:p>
    <w:p w14:paraId="4614AB55">
      <w:pPr>
        <w:spacing w:line="480" w:lineRule="auto"/>
        <w:jc w:val="center"/>
        <w:rPr>
          <w:rFonts w:ascii="宋体" w:hAnsi="宋体"/>
          <w:color w:val="auto"/>
          <w:sz w:val="28"/>
        </w:rPr>
      </w:pPr>
      <w:r>
        <w:rPr>
          <w:rFonts w:hint="eastAsia" w:ascii="宋体" w:hAnsi="宋体"/>
          <w:color w:val="auto"/>
          <w:sz w:val="28"/>
        </w:rPr>
        <w:t>法定代表人身份证明</w:t>
      </w:r>
    </w:p>
    <w:p w14:paraId="219F15ED">
      <w:pPr>
        <w:spacing w:line="480" w:lineRule="auto"/>
        <w:jc w:val="center"/>
        <w:rPr>
          <w:rFonts w:ascii="宋体" w:hAnsi="宋体"/>
          <w:color w:val="auto"/>
        </w:rPr>
      </w:pPr>
    </w:p>
    <w:p w14:paraId="023692E4">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投标人名称：</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389E7BA">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单位性质：</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1AEB4078">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地</w:t>
      </w:r>
      <w:r>
        <w:rPr>
          <w:rFonts w:hint="eastAsia" w:ascii="宋体" w:hAnsi="宋体"/>
          <w:color w:val="auto"/>
          <w:kern w:val="0"/>
          <w:szCs w:val="21"/>
        </w:rPr>
        <w:t xml:space="preserve">    </w:t>
      </w:r>
      <w:r>
        <w:rPr>
          <w:rFonts w:ascii="宋体" w:hAnsi="宋体"/>
          <w:color w:val="auto"/>
          <w:kern w:val="0"/>
          <w:szCs w:val="21"/>
        </w:rPr>
        <w:t>址：</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2E8AFA5">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rPr>
      </w:pPr>
      <w:r>
        <w:rPr>
          <w:rFonts w:ascii="宋体" w:hAnsi="宋体"/>
          <w:color w:val="auto"/>
          <w:kern w:val="0"/>
          <w:szCs w:val="21"/>
        </w:rPr>
        <w:t>成立时间：</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p>
    <w:p w14:paraId="556A86C6">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经营期限：</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7225ADBF">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姓名：</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性别</w:t>
      </w:r>
      <w:r>
        <w:rPr>
          <w:rFonts w:ascii="宋体" w:hAnsi="宋体"/>
          <w:color w:val="auto"/>
          <w:spacing w:val="-1"/>
          <w:kern w:val="0"/>
          <w:szCs w:val="21"/>
        </w:rPr>
        <w:t>：</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spacing w:val="-1"/>
          <w:kern w:val="0"/>
          <w:szCs w:val="21"/>
        </w:rPr>
        <w:t>年</w:t>
      </w:r>
      <w:r>
        <w:rPr>
          <w:rFonts w:ascii="宋体" w:hAnsi="宋体"/>
          <w:color w:val="auto"/>
          <w:kern w:val="0"/>
          <w:szCs w:val="21"/>
        </w:rPr>
        <w:t>龄：</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职务：</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14:paraId="0C8AA294">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系</w:t>
      </w:r>
      <w:r>
        <w:rPr>
          <w:rFonts w:hint="eastAsia" w:ascii="宋体" w:hAnsi="宋体"/>
          <w:color w:val="auto"/>
          <w:kern w:val="0"/>
          <w:szCs w:val="21"/>
          <w:u w:val="single"/>
        </w:rPr>
        <w:t xml:space="preserve">                                                        </w:t>
      </w:r>
      <w:r>
        <w:rPr>
          <w:rFonts w:ascii="宋体" w:hAnsi="宋体"/>
          <w:color w:val="auto"/>
          <w:kern w:val="0"/>
          <w:szCs w:val="21"/>
          <w:u w:val="single"/>
        </w:rPr>
        <w:t xml:space="preserve"> （投标人名称）</w:t>
      </w:r>
      <w:r>
        <w:rPr>
          <w:rFonts w:ascii="宋体" w:hAnsi="宋体"/>
          <w:color w:val="auto"/>
          <w:kern w:val="0"/>
          <w:szCs w:val="21"/>
        </w:rPr>
        <w:t>的法定代表人。</w:t>
      </w:r>
    </w:p>
    <w:p w14:paraId="25CFA4C5">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特此证明。</w:t>
      </w:r>
    </w:p>
    <w:p w14:paraId="6BBBF26F">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附：法定代表人身份证明扫描件（双面）</w:t>
      </w:r>
    </w:p>
    <w:p w14:paraId="50B0D590">
      <w:pPr>
        <w:autoSpaceDE w:val="0"/>
        <w:autoSpaceDN w:val="0"/>
        <w:adjustRightInd w:val="0"/>
        <w:snapToGrid w:val="0"/>
        <w:spacing w:line="360" w:lineRule="auto"/>
        <w:jc w:val="left"/>
        <w:rPr>
          <w:rFonts w:ascii="宋体" w:hAnsi="宋体"/>
          <w:color w:val="auto"/>
          <w:szCs w:val="21"/>
        </w:rPr>
      </w:pPr>
    </w:p>
    <w:p w14:paraId="5A48221E">
      <w:pPr>
        <w:pStyle w:val="2"/>
        <w:spacing w:after="0" w:line="360" w:lineRule="auto"/>
        <w:rPr>
          <w:rFonts w:ascii="宋体" w:hAnsi="宋体"/>
          <w:color w:val="auto"/>
          <w:szCs w:val="21"/>
        </w:rPr>
      </w:pPr>
    </w:p>
    <w:p w14:paraId="673BB732">
      <w:pPr>
        <w:pStyle w:val="2"/>
        <w:spacing w:after="0" w:line="360" w:lineRule="auto"/>
        <w:rPr>
          <w:rFonts w:ascii="宋体" w:hAnsi="宋体"/>
          <w:color w:val="auto"/>
          <w:szCs w:val="21"/>
        </w:rPr>
      </w:pPr>
    </w:p>
    <w:p w14:paraId="34F99D98">
      <w:pPr>
        <w:pStyle w:val="2"/>
        <w:spacing w:after="0" w:line="360" w:lineRule="auto"/>
        <w:rPr>
          <w:rFonts w:ascii="宋体" w:hAnsi="宋体"/>
          <w:color w:val="auto"/>
          <w:szCs w:val="21"/>
        </w:rPr>
      </w:pPr>
    </w:p>
    <w:p w14:paraId="1F42258B">
      <w:pPr>
        <w:pStyle w:val="2"/>
        <w:spacing w:after="0" w:line="360" w:lineRule="auto"/>
        <w:rPr>
          <w:rFonts w:ascii="宋体" w:hAnsi="宋体"/>
          <w:color w:val="auto"/>
          <w:szCs w:val="21"/>
        </w:rPr>
      </w:pPr>
    </w:p>
    <w:p w14:paraId="5F5BC878">
      <w:pPr>
        <w:pStyle w:val="2"/>
        <w:spacing w:after="0" w:line="360" w:lineRule="auto"/>
        <w:rPr>
          <w:rFonts w:ascii="宋体" w:hAnsi="宋体"/>
          <w:color w:val="auto"/>
          <w:szCs w:val="21"/>
        </w:rPr>
      </w:pPr>
    </w:p>
    <w:p w14:paraId="4EA50126">
      <w:pPr>
        <w:tabs>
          <w:tab w:val="left" w:pos="5475"/>
        </w:tabs>
        <w:autoSpaceDE w:val="0"/>
        <w:autoSpaceDN w:val="0"/>
        <w:adjustRightInd w:val="0"/>
        <w:snapToGrid w:val="0"/>
        <w:spacing w:line="480" w:lineRule="auto"/>
        <w:ind w:firstLine="372" w:firstLineChars="186"/>
        <w:jc w:val="left"/>
        <w:rPr>
          <w:rFonts w:ascii="宋体" w:hAnsi="宋体"/>
          <w:color w:val="auto"/>
          <w:kern w:val="0"/>
          <w:sz w:val="20"/>
          <w:szCs w:val="20"/>
        </w:rPr>
      </w:pPr>
    </w:p>
    <w:p w14:paraId="1C19387B">
      <w:pPr>
        <w:tabs>
          <w:tab w:val="left" w:pos="5460"/>
        </w:tabs>
        <w:autoSpaceDE w:val="0"/>
        <w:autoSpaceDN w:val="0"/>
        <w:adjustRightInd w:val="0"/>
        <w:snapToGrid w:val="0"/>
        <w:spacing w:line="480" w:lineRule="auto"/>
        <w:ind w:firstLine="2100"/>
        <w:jc w:val="right"/>
        <w:rPr>
          <w:rFonts w:ascii="宋体" w:hAnsi="宋体"/>
          <w:color w:val="auto"/>
          <w:kern w:val="0"/>
          <w:szCs w:val="21"/>
        </w:rPr>
      </w:pPr>
      <w:r>
        <w:rPr>
          <w:rFonts w:ascii="宋体" w:hAnsi="宋体"/>
          <w:color w:val="auto"/>
          <w:kern w:val="0"/>
          <w:szCs w:val="21"/>
        </w:rPr>
        <w:t>投标</w:t>
      </w:r>
      <w:r>
        <w:rPr>
          <w:rFonts w:ascii="宋体" w:hAnsi="宋体"/>
          <w:color w:val="auto"/>
          <w:spacing w:val="-1"/>
          <w:kern w:val="0"/>
          <w:szCs w:val="21"/>
        </w:rPr>
        <w:t>人</w:t>
      </w:r>
      <w:r>
        <w:rPr>
          <w:rFonts w:ascii="宋体" w:hAnsi="宋体"/>
          <w:color w:val="auto"/>
          <w:kern w:val="0"/>
          <w:szCs w:val="21"/>
        </w:rPr>
        <w:t>：</w:t>
      </w:r>
      <w:r>
        <w:rPr>
          <w:rFonts w:ascii="宋体" w:hAnsi="宋体"/>
          <w:color w:val="auto"/>
          <w:w w:val="200"/>
          <w:kern w:val="0"/>
          <w:szCs w:val="21"/>
          <w:u w:val="single"/>
        </w:rPr>
        <w:t xml:space="preserve">              </w:t>
      </w:r>
      <w:r>
        <w:rPr>
          <w:rFonts w:ascii="宋体" w:hAnsi="宋体"/>
          <w:color w:val="auto"/>
          <w:kern w:val="0"/>
          <w:szCs w:val="21"/>
          <w:u w:val="single"/>
        </w:rPr>
        <w:tab/>
      </w:r>
      <w:r>
        <w:rPr>
          <w:rFonts w:ascii="宋体" w:hAnsi="宋体"/>
          <w:color w:val="auto"/>
          <w:spacing w:val="-1"/>
          <w:kern w:val="0"/>
          <w:szCs w:val="21"/>
        </w:rPr>
        <w:t>（</w:t>
      </w:r>
      <w:r>
        <w:rPr>
          <w:rFonts w:ascii="宋体" w:hAnsi="宋体"/>
          <w:color w:val="auto"/>
          <w:kern w:val="0"/>
          <w:szCs w:val="21"/>
        </w:rPr>
        <w:t>盖单位法人章）</w:t>
      </w:r>
    </w:p>
    <w:p w14:paraId="5CAF0BD6">
      <w:pPr>
        <w:autoSpaceDE w:val="0"/>
        <w:autoSpaceDN w:val="0"/>
        <w:adjustRightInd w:val="0"/>
        <w:snapToGrid w:val="0"/>
        <w:spacing w:line="480" w:lineRule="auto"/>
        <w:jc w:val="left"/>
        <w:rPr>
          <w:rFonts w:ascii="宋体" w:hAnsi="宋体"/>
          <w:color w:val="auto"/>
          <w:kern w:val="0"/>
          <w:sz w:val="20"/>
          <w:szCs w:val="20"/>
        </w:rPr>
      </w:pPr>
    </w:p>
    <w:p w14:paraId="587332CA">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72952BE4">
      <w:pPr>
        <w:autoSpaceDE w:val="0"/>
        <w:autoSpaceDN w:val="0"/>
        <w:adjustRightInd w:val="0"/>
        <w:snapToGrid w:val="0"/>
        <w:spacing w:line="360" w:lineRule="auto"/>
        <w:jc w:val="left"/>
        <w:rPr>
          <w:rFonts w:ascii="宋体" w:hAnsi="宋体"/>
          <w:color w:val="auto"/>
          <w:kern w:val="0"/>
        </w:rPr>
      </w:pPr>
    </w:p>
    <w:p w14:paraId="5E8B796D">
      <w:pPr>
        <w:autoSpaceDE w:val="0"/>
        <w:autoSpaceDN w:val="0"/>
        <w:adjustRightInd w:val="0"/>
        <w:snapToGrid w:val="0"/>
        <w:spacing w:line="360" w:lineRule="auto"/>
        <w:jc w:val="left"/>
        <w:rPr>
          <w:rFonts w:ascii="宋体" w:hAnsi="宋体"/>
          <w:color w:val="auto"/>
          <w:kern w:val="0"/>
        </w:rPr>
      </w:pPr>
    </w:p>
    <w:p w14:paraId="14A9D9A7">
      <w:pPr>
        <w:spacing w:line="360" w:lineRule="auto"/>
        <w:ind w:firstLine="420" w:firstLineChars="200"/>
        <w:rPr>
          <w:rFonts w:ascii="宋体" w:hAnsi="宋体"/>
          <w:color w:val="auto"/>
        </w:rPr>
      </w:pPr>
      <w:r>
        <w:rPr>
          <w:rFonts w:ascii="宋体" w:hAnsi="宋体"/>
          <w:color w:val="auto"/>
        </w:rPr>
        <w:t>注：法定代表人身份证明需按上述格式填写完整，不可缺少内容。在此基础上增加内容的不影响其有效性。</w:t>
      </w:r>
    </w:p>
    <w:p w14:paraId="2BCC31A3">
      <w:pPr>
        <w:spacing w:line="360" w:lineRule="auto"/>
        <w:ind w:firstLine="420" w:firstLineChars="200"/>
        <w:rPr>
          <w:rFonts w:ascii="宋体" w:hAnsi="宋体"/>
          <w:color w:val="auto"/>
        </w:rPr>
      </w:pPr>
    </w:p>
    <w:p w14:paraId="7ACB85BD">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rPr>
      </w:pPr>
      <w:r>
        <w:rPr>
          <w:rFonts w:ascii="宋体" w:hAnsi="宋体"/>
          <w:color w:val="auto"/>
          <w:kern w:val="0"/>
        </w:rPr>
        <w:br w:type="page"/>
      </w:r>
      <w:r>
        <w:rPr>
          <w:rFonts w:ascii="宋体" w:hAnsi="宋体"/>
          <w:snapToGrid w:val="0"/>
          <w:color w:val="auto"/>
          <w:kern w:val="0"/>
          <w:sz w:val="32"/>
          <w:szCs w:val="32"/>
        </w:rPr>
        <w:t>授权委托书</w:t>
      </w:r>
    </w:p>
    <w:p w14:paraId="2D2233E7">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rPr>
      </w:pPr>
      <w:r>
        <w:rPr>
          <w:rFonts w:ascii="宋体" w:hAnsi="宋体"/>
          <w:color w:val="auto"/>
          <w:kern w:val="0"/>
          <w:szCs w:val="21"/>
        </w:rPr>
        <w:t>本人</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系</w:t>
      </w:r>
      <w:r>
        <w:rPr>
          <w:rFonts w:hint="eastAsia" w:ascii="宋体" w:hAnsi="宋体"/>
          <w:color w:val="auto"/>
          <w:w w:val="200"/>
          <w:kern w:val="0"/>
          <w:szCs w:val="21"/>
          <w:u w:val="single"/>
        </w:rPr>
        <w:t xml:space="preserve">        </w:t>
      </w:r>
      <w:r>
        <w:rPr>
          <w:rFonts w:ascii="宋体" w:hAnsi="宋体"/>
          <w:color w:val="auto"/>
          <w:kern w:val="0"/>
          <w:szCs w:val="21"/>
          <w:u w:val="single"/>
        </w:rPr>
        <w:t>（</w:t>
      </w:r>
      <w:r>
        <w:rPr>
          <w:rFonts w:ascii="宋体" w:hAnsi="宋体"/>
          <w:color w:val="auto"/>
          <w:spacing w:val="-1"/>
          <w:kern w:val="0"/>
          <w:szCs w:val="21"/>
          <w:u w:val="single"/>
        </w:rPr>
        <w:t>投</w:t>
      </w:r>
      <w:r>
        <w:rPr>
          <w:rFonts w:ascii="宋体" w:hAnsi="宋体"/>
          <w:color w:val="auto"/>
          <w:kern w:val="0"/>
          <w:szCs w:val="21"/>
          <w:u w:val="single"/>
        </w:rPr>
        <w:t>标人名称</w:t>
      </w:r>
      <w:r>
        <w:rPr>
          <w:rFonts w:ascii="宋体" w:hAnsi="宋体"/>
          <w:color w:val="auto"/>
          <w:spacing w:val="1"/>
          <w:kern w:val="0"/>
          <w:szCs w:val="21"/>
          <w:u w:val="single"/>
        </w:rPr>
        <w:t>）</w:t>
      </w:r>
      <w:r>
        <w:rPr>
          <w:rFonts w:ascii="宋体" w:hAnsi="宋体"/>
          <w:color w:val="auto"/>
          <w:kern w:val="0"/>
          <w:szCs w:val="21"/>
        </w:rPr>
        <w:t>的法定代</w:t>
      </w:r>
      <w:r>
        <w:rPr>
          <w:rFonts w:ascii="宋体" w:hAnsi="宋体"/>
          <w:color w:val="auto"/>
          <w:spacing w:val="1"/>
          <w:kern w:val="0"/>
          <w:szCs w:val="21"/>
        </w:rPr>
        <w:t>表</w:t>
      </w:r>
      <w:r>
        <w:rPr>
          <w:rFonts w:ascii="宋体" w:hAnsi="宋体"/>
          <w:color w:val="auto"/>
          <w:kern w:val="0"/>
          <w:szCs w:val="21"/>
        </w:rPr>
        <w:t>人，现委托</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为我方代理人。代理人根据授权，以我方名义签署、澄清、说明、补正、递交、撤回、 修改</w:t>
      </w:r>
      <w:r>
        <w:rPr>
          <w:rFonts w:hint="eastAsia" w:ascii="宋体" w:hAnsi="宋体"/>
          <w:color w:val="auto"/>
          <w:w w:val="200"/>
          <w:kern w:val="0"/>
          <w:szCs w:val="21"/>
          <w:u w:val="single"/>
        </w:rPr>
        <w:t xml:space="preserve">        </w:t>
      </w:r>
      <w:r>
        <w:rPr>
          <w:rFonts w:ascii="宋体" w:hAnsi="宋体"/>
          <w:color w:val="auto"/>
          <w:kern w:val="0"/>
          <w:szCs w:val="21"/>
          <w:u w:val="single"/>
        </w:rPr>
        <w:t>（项</w:t>
      </w:r>
      <w:r>
        <w:rPr>
          <w:rFonts w:ascii="宋体" w:hAnsi="宋体"/>
          <w:color w:val="auto"/>
          <w:spacing w:val="-1"/>
          <w:kern w:val="0"/>
          <w:szCs w:val="21"/>
          <w:u w:val="single"/>
        </w:rPr>
        <w:t>目</w:t>
      </w:r>
      <w:r>
        <w:rPr>
          <w:rFonts w:ascii="宋体" w:hAnsi="宋体"/>
          <w:color w:val="auto"/>
          <w:kern w:val="0"/>
          <w:szCs w:val="21"/>
          <w:u w:val="single"/>
        </w:rPr>
        <w:t>名称）</w:t>
      </w:r>
      <w:r>
        <w:rPr>
          <w:rFonts w:ascii="宋体" w:hAnsi="宋体"/>
          <w:color w:val="auto"/>
          <w:kern w:val="0"/>
          <w:szCs w:val="21"/>
        </w:rPr>
        <w:t>投标文件、签订合同和处理有关事宜， 其法律后果由我方承担。</w:t>
      </w:r>
    </w:p>
    <w:p w14:paraId="1FD1172A">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委托</w:t>
      </w:r>
      <w:r>
        <w:rPr>
          <w:rFonts w:ascii="宋体" w:hAnsi="宋体"/>
          <w:color w:val="auto"/>
          <w:spacing w:val="-1"/>
          <w:kern w:val="0"/>
          <w:szCs w:val="21"/>
        </w:rPr>
        <w:t>期</w:t>
      </w:r>
      <w:r>
        <w:rPr>
          <w:rFonts w:ascii="宋体" w:hAnsi="宋体"/>
          <w:color w:val="auto"/>
          <w:kern w:val="0"/>
          <w:szCs w:val="21"/>
        </w:rPr>
        <w:t>限：</w:t>
      </w:r>
      <w:r>
        <w:rPr>
          <w:rFonts w:hint="eastAsia" w:ascii="宋体" w:hAnsi="宋体"/>
          <w:color w:val="auto"/>
          <w:w w:val="200"/>
          <w:kern w:val="0"/>
          <w:szCs w:val="21"/>
          <w:u w:val="single"/>
        </w:rPr>
        <w:t xml:space="preserve">        </w:t>
      </w:r>
      <w:r>
        <w:rPr>
          <w:rFonts w:ascii="宋体" w:hAnsi="宋体"/>
          <w:color w:val="auto"/>
          <w:kern w:val="0"/>
          <w:szCs w:val="21"/>
        </w:rPr>
        <w:t xml:space="preserve">。 </w:t>
      </w:r>
    </w:p>
    <w:p w14:paraId="4F35313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代理人无转委托权。</w:t>
      </w:r>
    </w:p>
    <w:p w14:paraId="265A12C0">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p>
    <w:p w14:paraId="341BCF62">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64165449">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03AFF99F">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5247A124">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委托代理人：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w:t>
      </w:r>
    </w:p>
    <w:p w14:paraId="54BAD974">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3C822602">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hint="eastAsia" w:ascii="宋体" w:hAnsi="宋体"/>
          <w:color w:val="auto"/>
          <w:kern w:val="0"/>
          <w:szCs w:val="21"/>
        </w:rPr>
        <w:t>单位电话（座机）：</w:t>
      </w:r>
      <w:r>
        <w:rPr>
          <w:rFonts w:hint="eastAsia" w:ascii="宋体" w:hAnsi="宋体"/>
          <w:color w:val="auto"/>
          <w:kern w:val="0"/>
          <w:szCs w:val="21"/>
          <w:u w:val="single"/>
        </w:rPr>
        <w:t xml:space="preserve">                              </w:t>
      </w:r>
    </w:p>
    <w:p w14:paraId="523345C2">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hint="eastAsia" w:ascii="宋体" w:hAnsi="宋体"/>
          <w:color w:val="auto"/>
          <w:kern w:val="0"/>
          <w:szCs w:val="21"/>
        </w:rPr>
        <w:t xml:space="preserve">委托代理人电话（手机）：                                          </w:t>
      </w:r>
    </w:p>
    <w:p w14:paraId="6644BEE2">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附：法定代表人和委托代理人身份证明扫描件（双面）</w:t>
      </w:r>
    </w:p>
    <w:p w14:paraId="5AD7739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u w:val="single"/>
        </w:rPr>
      </w:pPr>
    </w:p>
    <w:p w14:paraId="09CB2A55">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391F7408">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4809283E">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0AFE2207">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8D81DAC">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B691CEA">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6C3E231">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rPr>
      </w:pPr>
    </w:p>
    <w:p w14:paraId="5328C02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hint="eastAsia" w:ascii="宋体" w:hAnsi="宋体"/>
          <w:color w:val="auto"/>
          <w:w w:val="200"/>
          <w:kern w:val="0"/>
          <w:szCs w:val="21"/>
          <w:u w:val="single"/>
        </w:rPr>
        <w:t xml:space="preserve">  </w:t>
      </w:r>
      <w:r>
        <w:rPr>
          <w:rFonts w:ascii="宋体" w:hAnsi="宋体"/>
          <w:color w:val="auto"/>
          <w:kern w:val="0"/>
          <w:szCs w:val="21"/>
        </w:rPr>
        <w:t>月</w:t>
      </w:r>
      <w:r>
        <w:rPr>
          <w:rFonts w:hint="eastAsia" w:ascii="宋体" w:hAnsi="宋体"/>
          <w:color w:val="auto"/>
          <w:w w:val="200"/>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2F02126D">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rPr>
      </w:pPr>
    </w:p>
    <w:p w14:paraId="7BF78DBD">
      <w:pPr>
        <w:tabs>
          <w:tab w:val="left" w:pos="5760"/>
        </w:tabs>
        <w:autoSpaceDE w:val="0"/>
        <w:autoSpaceDN w:val="0"/>
        <w:adjustRightInd w:val="0"/>
        <w:spacing w:line="360" w:lineRule="auto"/>
        <w:ind w:firstLine="420" w:firstLineChars="200"/>
        <w:rPr>
          <w:rFonts w:ascii="宋体" w:hAnsi="宋体"/>
          <w:color w:val="auto"/>
          <w:kern w:val="0"/>
        </w:rPr>
      </w:pPr>
    </w:p>
    <w:p w14:paraId="00F2D8A0">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rPr>
      </w:pPr>
      <w:r>
        <w:rPr>
          <w:rFonts w:ascii="宋体" w:hAnsi="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259461C6">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kern w:val="0"/>
          <w:szCs w:val="21"/>
        </w:rPr>
        <w:t>2.</w:t>
      </w:r>
      <w:r>
        <w:rPr>
          <w:rFonts w:hint="eastAsia" w:ascii="宋体" w:hAnsi="宋体"/>
          <w:color w:val="auto"/>
        </w:rPr>
        <w:t>授权委托书</w:t>
      </w:r>
      <w:r>
        <w:rPr>
          <w:rFonts w:ascii="宋体" w:hAnsi="宋体"/>
          <w:color w:val="auto"/>
        </w:rPr>
        <w:t>需按上述格式填写完整，不可缺少内容。在此基础上增加内容的不影响其有效性。</w:t>
      </w:r>
    </w:p>
    <w:p w14:paraId="3FA8AB9E">
      <w:pPr>
        <w:spacing w:line="360" w:lineRule="auto"/>
        <w:ind w:firstLine="420" w:firstLineChars="200"/>
        <w:rPr>
          <w:rFonts w:ascii="宋体" w:hAnsi="宋体"/>
          <w:color w:val="auto"/>
        </w:rPr>
      </w:pPr>
      <w:r>
        <w:rPr>
          <w:rFonts w:ascii="宋体" w:hAnsi="宋体"/>
          <w:color w:val="auto"/>
        </w:rPr>
        <w:br w:type="page"/>
      </w:r>
    </w:p>
    <w:p w14:paraId="4B6B10EF">
      <w:pPr>
        <w:pStyle w:val="5"/>
        <w:spacing w:before="0" w:after="0" w:line="240" w:lineRule="auto"/>
        <w:jc w:val="center"/>
        <w:rPr>
          <w:rFonts w:ascii="宋体" w:hAnsi="宋体"/>
          <w:b w:val="0"/>
          <w:bCs w:val="0"/>
          <w:color w:val="auto"/>
        </w:rPr>
      </w:pPr>
      <w:bookmarkStart w:id="2266" w:name="_Toc287607870"/>
      <w:bookmarkStart w:id="2267" w:name="_Toc224103498"/>
      <w:bookmarkStart w:id="2268" w:name="_Toc287620817"/>
      <w:bookmarkStart w:id="2269" w:name="_Toc277082646"/>
      <w:bookmarkStart w:id="2270" w:name="_Toc6203"/>
      <w:bookmarkStart w:id="2271" w:name="_Toc430530533"/>
      <w:r>
        <w:rPr>
          <w:rFonts w:ascii="宋体" w:hAnsi="宋体"/>
          <w:b w:val="0"/>
          <w:bCs w:val="0"/>
          <w:color w:val="auto"/>
        </w:rPr>
        <w:t>（四）</w:t>
      </w:r>
      <w:bookmarkEnd w:id="2266"/>
      <w:bookmarkEnd w:id="2267"/>
      <w:bookmarkEnd w:id="2268"/>
      <w:bookmarkEnd w:id="2269"/>
      <w:bookmarkStart w:id="2272" w:name="_Toc277082647"/>
      <w:bookmarkStart w:id="2273" w:name="_Toc287620818"/>
      <w:bookmarkStart w:id="2274" w:name="_Toc287607871"/>
      <w:bookmarkStart w:id="2275" w:name="_Toc224103499"/>
      <w:r>
        <w:rPr>
          <w:rFonts w:hint="eastAsia" w:ascii="宋体" w:hAnsi="宋体"/>
          <w:b w:val="0"/>
          <w:bCs w:val="0"/>
          <w:color w:val="auto"/>
        </w:rPr>
        <w:t>低价风险担保缴纳承诺书</w:t>
      </w:r>
      <w:bookmarkEnd w:id="2270"/>
    </w:p>
    <w:p w14:paraId="16855092">
      <w:pPr>
        <w:autoSpaceDE w:val="0"/>
        <w:autoSpaceDN w:val="0"/>
        <w:adjustRightInd w:val="0"/>
        <w:snapToGrid w:val="0"/>
        <w:spacing w:line="360" w:lineRule="auto"/>
        <w:jc w:val="center"/>
        <w:rPr>
          <w:rFonts w:ascii="宋体" w:hAnsi="宋体"/>
          <w:snapToGrid w:val="0"/>
          <w:color w:val="auto"/>
          <w:kern w:val="0"/>
          <w:sz w:val="32"/>
          <w:szCs w:val="32"/>
        </w:rPr>
      </w:pPr>
    </w:p>
    <w:p w14:paraId="22BBB4FF">
      <w:pPr>
        <w:autoSpaceDE w:val="0"/>
        <w:autoSpaceDN w:val="0"/>
        <w:adjustRightInd w:val="0"/>
        <w:snapToGrid w:val="0"/>
        <w:spacing w:line="360" w:lineRule="auto"/>
        <w:jc w:val="center"/>
        <w:rPr>
          <w:rFonts w:ascii="宋体" w:hAnsi="宋体"/>
          <w:snapToGrid w:val="0"/>
          <w:color w:val="auto"/>
          <w:kern w:val="0"/>
          <w:sz w:val="32"/>
          <w:szCs w:val="32"/>
        </w:rPr>
      </w:pPr>
      <w:r>
        <w:rPr>
          <w:rFonts w:hint="eastAsia" w:ascii="宋体" w:hAnsi="宋体"/>
          <w:snapToGrid w:val="0"/>
          <w:color w:val="auto"/>
          <w:kern w:val="0"/>
          <w:sz w:val="32"/>
          <w:szCs w:val="32"/>
        </w:rPr>
        <w:t>（投标报价低于采购项目最高限价的85%时采用）</w:t>
      </w:r>
    </w:p>
    <w:p w14:paraId="66C401C1">
      <w:pPr>
        <w:autoSpaceDE w:val="0"/>
        <w:autoSpaceDN w:val="0"/>
        <w:adjustRightInd w:val="0"/>
        <w:snapToGrid w:val="0"/>
        <w:spacing w:line="360" w:lineRule="auto"/>
        <w:jc w:val="center"/>
        <w:rPr>
          <w:rFonts w:ascii="宋体" w:hAnsi="宋体"/>
          <w:snapToGrid w:val="0"/>
          <w:color w:val="auto"/>
          <w:kern w:val="0"/>
          <w:sz w:val="32"/>
          <w:szCs w:val="32"/>
        </w:rPr>
      </w:pPr>
    </w:p>
    <w:p w14:paraId="1AC0AD65">
      <w:pPr>
        <w:autoSpaceDE w:val="0"/>
        <w:autoSpaceDN w:val="0"/>
        <w:adjustRightInd w:val="0"/>
        <w:snapToGrid w:val="0"/>
        <w:spacing w:line="360" w:lineRule="auto"/>
        <w:rPr>
          <w:rFonts w:ascii="宋体" w:hAnsi="宋体" w:cs="宋体"/>
          <w:snapToGrid w:val="0"/>
          <w:color w:val="auto"/>
          <w:kern w:val="0"/>
          <w:szCs w:val="21"/>
        </w:rPr>
      </w:pPr>
      <w:r>
        <w:rPr>
          <w:rFonts w:hint="eastAsia" w:ascii="宋体" w:hAnsi="宋体" w:cs="宋体"/>
          <w:snapToGrid w:val="0"/>
          <w:color w:val="auto"/>
          <w:kern w:val="0"/>
          <w:szCs w:val="21"/>
          <w:u w:val="single"/>
        </w:rPr>
        <w:t xml:space="preserve">        （采购人名称）</w:t>
      </w:r>
      <w:r>
        <w:rPr>
          <w:rFonts w:hint="eastAsia" w:ascii="宋体" w:hAnsi="宋体" w:cs="宋体"/>
          <w:snapToGrid w:val="0"/>
          <w:color w:val="auto"/>
          <w:kern w:val="0"/>
          <w:szCs w:val="21"/>
        </w:rPr>
        <w:t>：</w:t>
      </w:r>
    </w:p>
    <w:p w14:paraId="7D53DC82">
      <w:pPr>
        <w:autoSpaceDE w:val="0"/>
        <w:autoSpaceDN w:val="0"/>
        <w:adjustRightInd w:val="0"/>
        <w:snapToGrid w:val="0"/>
        <w:spacing w:line="360" w:lineRule="auto"/>
        <w:ind w:firstLine="420" w:firstLineChars="200"/>
        <w:rPr>
          <w:rFonts w:ascii="宋体" w:hAnsi="宋体" w:cs="宋体"/>
          <w:snapToGrid w:val="0"/>
          <w:color w:val="auto"/>
          <w:kern w:val="0"/>
          <w:szCs w:val="21"/>
        </w:rPr>
      </w:pPr>
      <w:r>
        <w:rPr>
          <w:rFonts w:hint="eastAsia" w:ascii="宋体" w:hAnsi="宋体" w:cs="宋体"/>
          <w:snapToGrid w:val="0"/>
          <w:color w:val="auto"/>
          <w:kern w:val="0"/>
          <w:szCs w:val="21"/>
        </w:rPr>
        <w:t>我公司</w:t>
      </w:r>
      <w:r>
        <w:rPr>
          <w:rFonts w:hint="eastAsia" w:ascii="宋体" w:hAnsi="宋体" w:cs="宋体"/>
          <w:snapToGrid w:val="0"/>
          <w:color w:val="auto"/>
          <w:kern w:val="0"/>
          <w:szCs w:val="21"/>
          <w:u w:val="single"/>
        </w:rPr>
        <w:t xml:space="preserve">        （投标人名称）</w:t>
      </w:r>
      <w:r>
        <w:rPr>
          <w:rFonts w:hint="eastAsia" w:ascii="宋体" w:hAnsi="宋体" w:cs="宋体"/>
          <w:snapToGrid w:val="0"/>
          <w:color w:val="auto"/>
          <w:kern w:val="0"/>
          <w:szCs w:val="21"/>
        </w:rPr>
        <w:t>参加了你公司</w:t>
      </w:r>
      <w:r>
        <w:rPr>
          <w:rFonts w:hint="eastAsia" w:ascii="宋体" w:hAnsi="宋体" w:cs="宋体"/>
          <w:snapToGrid w:val="0"/>
          <w:color w:val="auto"/>
          <w:kern w:val="0"/>
          <w:szCs w:val="21"/>
          <w:u w:val="single"/>
        </w:rPr>
        <w:t xml:space="preserve">        （项目名称）</w:t>
      </w:r>
      <w:r>
        <w:rPr>
          <w:rFonts w:hint="eastAsia" w:ascii="宋体" w:hAnsi="宋体" w:cs="宋体"/>
          <w:snapToGrid w:val="0"/>
          <w:color w:val="auto"/>
          <w:kern w:val="0"/>
          <w:szCs w:val="21"/>
        </w:rPr>
        <w:t>的投标。我公司投标报价低于最高限价的85%，若获得中标资格，我公司承诺按照采购文件的规定递交低价风险担保。同时，我公司已落实低价风险担保的缴纳方案，承诺如采用保函形式缴纳低价风险担保，保函的格式和内容符合采购文件的要求。否则，我公司愿承担采购文件中约定的，因未按规定递交低价风险担保的相应责任。</w:t>
      </w:r>
    </w:p>
    <w:p w14:paraId="73CBC95B">
      <w:pPr>
        <w:autoSpaceDE w:val="0"/>
        <w:autoSpaceDN w:val="0"/>
        <w:adjustRightInd w:val="0"/>
        <w:snapToGrid w:val="0"/>
        <w:spacing w:line="360" w:lineRule="auto"/>
        <w:ind w:firstLine="640"/>
        <w:rPr>
          <w:rFonts w:ascii="宋体" w:hAnsi="宋体" w:cs="宋体"/>
          <w:snapToGrid w:val="0"/>
          <w:color w:val="auto"/>
          <w:kern w:val="0"/>
          <w:szCs w:val="21"/>
        </w:rPr>
      </w:pPr>
    </w:p>
    <w:p w14:paraId="21BA6164">
      <w:pPr>
        <w:autoSpaceDE w:val="0"/>
        <w:autoSpaceDN w:val="0"/>
        <w:adjustRightInd w:val="0"/>
        <w:snapToGrid w:val="0"/>
        <w:spacing w:line="360" w:lineRule="auto"/>
        <w:ind w:firstLine="640"/>
        <w:rPr>
          <w:rFonts w:ascii="宋体" w:hAnsi="宋体" w:cs="宋体"/>
          <w:snapToGrid w:val="0"/>
          <w:color w:val="auto"/>
          <w:kern w:val="0"/>
          <w:szCs w:val="21"/>
        </w:rPr>
      </w:pPr>
      <w:r>
        <w:rPr>
          <w:rFonts w:hint="eastAsia" w:ascii="宋体" w:hAnsi="宋体" w:cs="宋体"/>
          <w:snapToGrid w:val="0"/>
          <w:color w:val="auto"/>
          <w:kern w:val="0"/>
          <w:szCs w:val="21"/>
        </w:rPr>
        <w:t>特此承诺。</w:t>
      </w:r>
    </w:p>
    <w:p w14:paraId="4B49EE90">
      <w:pPr>
        <w:autoSpaceDE w:val="0"/>
        <w:autoSpaceDN w:val="0"/>
        <w:adjustRightInd w:val="0"/>
        <w:snapToGrid w:val="0"/>
        <w:spacing w:line="360" w:lineRule="auto"/>
        <w:ind w:firstLine="640"/>
        <w:rPr>
          <w:rFonts w:ascii="宋体" w:hAnsi="宋体" w:cs="宋体"/>
          <w:snapToGrid w:val="0"/>
          <w:color w:val="auto"/>
          <w:kern w:val="0"/>
          <w:sz w:val="32"/>
          <w:szCs w:val="32"/>
        </w:rPr>
      </w:pPr>
    </w:p>
    <w:p w14:paraId="3CDFF7EF">
      <w:pPr>
        <w:autoSpaceDE w:val="0"/>
        <w:autoSpaceDN w:val="0"/>
        <w:adjustRightInd w:val="0"/>
        <w:snapToGrid w:val="0"/>
        <w:spacing w:line="360" w:lineRule="auto"/>
        <w:ind w:firstLine="640"/>
        <w:rPr>
          <w:rFonts w:ascii="宋体" w:hAnsi="宋体" w:cs="宋体"/>
          <w:snapToGrid w:val="0"/>
          <w:color w:val="auto"/>
          <w:kern w:val="0"/>
          <w:sz w:val="32"/>
          <w:szCs w:val="32"/>
        </w:rPr>
      </w:pPr>
    </w:p>
    <w:p w14:paraId="1FBF875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7D0C3043">
      <w:pPr>
        <w:autoSpaceDE w:val="0"/>
        <w:autoSpaceDN w:val="0"/>
        <w:adjustRightInd w:val="0"/>
        <w:snapToGrid w:val="0"/>
        <w:spacing w:line="360" w:lineRule="auto"/>
        <w:ind w:firstLine="640"/>
        <w:rPr>
          <w:rFonts w:ascii="宋体" w:hAnsi="宋体" w:cs="宋体"/>
          <w:snapToGrid w:val="0"/>
          <w:color w:val="auto"/>
          <w:kern w:val="0"/>
          <w:sz w:val="32"/>
          <w:szCs w:val="32"/>
        </w:rPr>
      </w:pPr>
    </w:p>
    <w:p w14:paraId="7F369E1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63E2EEC9">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65606F77">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51853DF6">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rPr>
      </w:pPr>
    </w:p>
    <w:p w14:paraId="4332FB75">
      <w:pPr>
        <w:tabs>
          <w:tab w:val="left" w:pos="3840"/>
          <w:tab w:val="left" w:pos="4780"/>
          <w:tab w:val="left" w:pos="5720"/>
        </w:tabs>
        <w:autoSpaceDE w:val="0"/>
        <w:autoSpaceDN w:val="0"/>
        <w:adjustRightInd w:val="0"/>
        <w:snapToGrid w:val="0"/>
        <w:spacing w:beforeLines="50" w:line="360" w:lineRule="auto"/>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1059CE3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680511C8">
      <w:pPr>
        <w:autoSpaceDE w:val="0"/>
        <w:autoSpaceDN w:val="0"/>
        <w:adjustRightInd w:val="0"/>
        <w:snapToGrid w:val="0"/>
        <w:spacing w:line="360" w:lineRule="auto"/>
        <w:jc w:val="center"/>
        <w:rPr>
          <w:rFonts w:ascii="宋体" w:hAnsi="宋体"/>
          <w:snapToGrid w:val="0"/>
          <w:color w:val="auto"/>
          <w:kern w:val="0"/>
          <w:sz w:val="32"/>
          <w:szCs w:val="32"/>
        </w:rPr>
      </w:pPr>
    </w:p>
    <w:p w14:paraId="5FA843C0">
      <w:pPr>
        <w:pStyle w:val="2"/>
        <w:rPr>
          <w:rFonts w:ascii="宋体" w:hAnsi="宋体"/>
          <w:snapToGrid w:val="0"/>
          <w:color w:val="auto"/>
          <w:kern w:val="0"/>
          <w:sz w:val="32"/>
          <w:szCs w:val="32"/>
        </w:rPr>
      </w:pPr>
      <w:r>
        <w:rPr>
          <w:rFonts w:ascii="宋体" w:hAnsi="宋体"/>
          <w:snapToGrid w:val="0"/>
          <w:color w:val="auto"/>
          <w:kern w:val="0"/>
          <w:sz w:val="32"/>
          <w:szCs w:val="32"/>
        </w:rPr>
        <w:br w:type="page"/>
      </w:r>
    </w:p>
    <w:p w14:paraId="45AD4BB9">
      <w:pPr>
        <w:pStyle w:val="5"/>
        <w:spacing w:before="0" w:after="0" w:line="240" w:lineRule="auto"/>
        <w:jc w:val="center"/>
        <w:rPr>
          <w:rFonts w:ascii="宋体" w:hAnsi="宋体"/>
          <w:b w:val="0"/>
          <w:bCs w:val="0"/>
          <w:color w:val="auto"/>
        </w:rPr>
      </w:pPr>
      <w:bookmarkStart w:id="2276" w:name="_Toc14213"/>
      <w:bookmarkStart w:id="2277" w:name="_Toc57820652"/>
      <w:r>
        <w:rPr>
          <w:rFonts w:hint="eastAsia" w:ascii="宋体" w:hAnsi="宋体"/>
          <w:b w:val="0"/>
          <w:bCs w:val="0"/>
          <w:color w:val="auto"/>
        </w:rPr>
        <w:t>（五）</w:t>
      </w:r>
      <w:r>
        <w:rPr>
          <w:rFonts w:ascii="宋体" w:hAnsi="宋体"/>
          <w:b w:val="0"/>
          <w:bCs w:val="0"/>
          <w:color w:val="auto"/>
        </w:rPr>
        <w:t>联合体协议书</w:t>
      </w:r>
      <w:bookmarkEnd w:id="2271"/>
      <w:bookmarkEnd w:id="2272"/>
      <w:bookmarkEnd w:id="2273"/>
      <w:bookmarkEnd w:id="2274"/>
      <w:bookmarkEnd w:id="2275"/>
      <w:r>
        <w:rPr>
          <w:rFonts w:hint="eastAsia" w:ascii="宋体" w:hAnsi="宋体"/>
          <w:b w:val="0"/>
          <w:bCs w:val="0"/>
          <w:color w:val="auto"/>
        </w:rPr>
        <w:t>（如有）</w:t>
      </w:r>
      <w:bookmarkEnd w:id="2276"/>
      <w:bookmarkEnd w:id="2277"/>
    </w:p>
    <w:p w14:paraId="402CE9D6">
      <w:pPr>
        <w:autoSpaceDE w:val="0"/>
        <w:autoSpaceDN w:val="0"/>
        <w:adjustRightInd w:val="0"/>
        <w:snapToGrid w:val="0"/>
        <w:spacing w:line="500" w:lineRule="exact"/>
        <w:ind w:firstLine="420" w:firstLineChars="200"/>
        <w:rPr>
          <w:rFonts w:ascii="宋体" w:hAnsi="宋体"/>
          <w:snapToGrid w:val="0"/>
          <w:color w:val="auto"/>
          <w:kern w:val="0"/>
          <w:szCs w:val="21"/>
        </w:rPr>
      </w:pP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（所有成员单位名称）</w:t>
      </w:r>
      <w:r>
        <w:rPr>
          <w:rFonts w:ascii="宋体" w:hAnsi="宋体"/>
          <w:snapToGrid w:val="0"/>
          <w:color w:val="auto"/>
          <w:kern w:val="0"/>
          <w:szCs w:val="21"/>
        </w:rPr>
        <w:t>自愿组成联合体，共同参加</w:t>
      </w: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（项目名称）</w:t>
      </w:r>
      <w:r>
        <w:rPr>
          <w:rFonts w:ascii="宋体" w:hAnsi="宋体"/>
          <w:snapToGrid w:val="0"/>
          <w:color w:val="auto"/>
          <w:kern w:val="0"/>
          <w:szCs w:val="21"/>
        </w:rPr>
        <w:t>投标。现就联合体投标事宜订立如下协议。</w:t>
      </w:r>
    </w:p>
    <w:p w14:paraId="195DCBA3">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rPr>
      </w:pPr>
      <w:r>
        <w:rPr>
          <w:rFonts w:ascii="宋体" w:hAnsi="宋体"/>
          <w:snapToGrid w:val="0"/>
          <w:color w:val="auto"/>
          <w:kern w:val="0"/>
          <w:szCs w:val="21"/>
        </w:rPr>
        <w:t>1.</w:t>
      </w:r>
      <w:r>
        <w:rPr>
          <w:rFonts w:ascii="宋体" w:hAnsi="宋体"/>
          <w:snapToGrid w:val="0"/>
          <w:color w:val="auto"/>
          <w:kern w:val="0"/>
          <w:szCs w:val="21"/>
          <w:u w:val="single"/>
        </w:rPr>
        <w:tab/>
      </w:r>
      <w:r>
        <w:rPr>
          <w:rFonts w:ascii="宋体" w:hAnsi="宋体"/>
          <w:snapToGrid w:val="0"/>
          <w:color w:val="auto"/>
          <w:kern w:val="0"/>
          <w:szCs w:val="21"/>
          <w:u w:val="single"/>
        </w:rPr>
        <w:t>（某成员单位名称）</w:t>
      </w:r>
      <w:r>
        <w:rPr>
          <w:rFonts w:hint="eastAsia" w:ascii="宋体" w:hAnsi="宋体"/>
          <w:snapToGrid w:val="0"/>
          <w:color w:val="auto"/>
          <w:kern w:val="0"/>
          <w:szCs w:val="21"/>
        </w:rPr>
        <w:t>为</w:t>
      </w:r>
      <w:r>
        <w:rPr>
          <w:rFonts w:hint="eastAsia" w:ascii="宋体" w:hAnsi="宋体"/>
          <w:snapToGrid w:val="0"/>
          <w:color w:val="auto"/>
          <w:kern w:val="0"/>
          <w:szCs w:val="21"/>
          <w:u w:val="single"/>
        </w:rPr>
        <w:tab/>
      </w:r>
      <w:r>
        <w:rPr>
          <w:rFonts w:hint="eastAsia" w:ascii="宋体" w:hAnsi="宋体"/>
          <w:snapToGrid w:val="0"/>
          <w:color w:val="auto"/>
          <w:kern w:val="0"/>
          <w:szCs w:val="21"/>
          <w:u w:val="single"/>
        </w:rPr>
        <w:t xml:space="preserve">      （项目名称）</w:t>
      </w:r>
      <w:r>
        <w:rPr>
          <w:rFonts w:ascii="宋体" w:hAnsi="宋体"/>
          <w:snapToGrid w:val="0"/>
          <w:color w:val="auto"/>
          <w:kern w:val="0"/>
          <w:szCs w:val="21"/>
        </w:rPr>
        <w:t>联合体牵头人。由联合体牵头人单位递交投标保证金。</w:t>
      </w:r>
    </w:p>
    <w:p w14:paraId="221E4119">
      <w:pPr>
        <w:autoSpaceDE w:val="0"/>
        <w:autoSpaceDN w:val="0"/>
        <w:adjustRightInd w:val="0"/>
        <w:snapToGrid w:val="0"/>
        <w:spacing w:line="500" w:lineRule="exact"/>
        <w:ind w:firstLine="420"/>
        <w:rPr>
          <w:rFonts w:ascii="宋体" w:hAnsi="宋体"/>
          <w:snapToGrid w:val="0"/>
          <w:color w:val="auto"/>
          <w:kern w:val="0"/>
          <w:szCs w:val="21"/>
        </w:rPr>
      </w:pPr>
      <w:r>
        <w:rPr>
          <w:rFonts w:ascii="宋体" w:hAnsi="宋体"/>
          <w:snapToGrid w:val="0"/>
          <w:color w:val="auto"/>
          <w:kern w:val="0"/>
          <w:szCs w:val="21"/>
        </w:rPr>
        <w:t>2.联合体牵头人合法代表联合体各成员负责本</w:t>
      </w:r>
      <w:r>
        <w:rPr>
          <w:rFonts w:hint="eastAsia" w:ascii="宋体" w:hAnsi="宋体"/>
          <w:snapToGrid w:val="0"/>
          <w:color w:val="auto"/>
          <w:kern w:val="0"/>
          <w:szCs w:val="21"/>
        </w:rPr>
        <w:t>采购</w:t>
      </w:r>
      <w:r>
        <w:rPr>
          <w:rFonts w:ascii="宋体" w:hAnsi="宋体"/>
          <w:snapToGrid w:val="0"/>
          <w:color w:val="auto"/>
          <w:kern w:val="0"/>
          <w:szCs w:val="21"/>
        </w:rPr>
        <w:t>项目投标文件编制和合同谈判活动， 并代表联合体提交和接收相关的资料、信息及指示，并处理与之有关的一切事务，负责合同 实施阶段的主办、组织和协调工作。</w:t>
      </w:r>
    </w:p>
    <w:p w14:paraId="7E919F58">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3.联合体将严格按照</w:t>
      </w:r>
      <w:r>
        <w:rPr>
          <w:rFonts w:hint="eastAsia" w:ascii="宋体" w:hAnsi="宋体"/>
          <w:snapToGrid w:val="0"/>
          <w:color w:val="auto"/>
          <w:kern w:val="0"/>
          <w:szCs w:val="21"/>
        </w:rPr>
        <w:t>采购</w:t>
      </w:r>
      <w:r>
        <w:rPr>
          <w:rFonts w:ascii="宋体" w:hAnsi="宋体"/>
          <w:snapToGrid w:val="0"/>
          <w:color w:val="auto"/>
          <w:kern w:val="0"/>
          <w:szCs w:val="21"/>
        </w:rPr>
        <w:t>文件的各项要求，递交投标文件，履行合同，并对外承担连带责任。</w:t>
      </w:r>
    </w:p>
    <w:p w14:paraId="7C08C0F5">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4.联合体牵头人代表联合体签署投标文件</w:t>
      </w:r>
      <w:r>
        <w:rPr>
          <w:rFonts w:ascii="宋体" w:hAnsi="宋体"/>
          <w:color w:val="auto"/>
          <w:spacing w:val="-19"/>
          <w:kern w:val="0"/>
          <w:szCs w:val="21"/>
        </w:rPr>
        <w:t>，</w:t>
      </w:r>
      <w:r>
        <w:rPr>
          <w:rFonts w:ascii="宋体" w:hAnsi="宋体"/>
          <w:color w:val="auto"/>
          <w:kern w:val="0"/>
          <w:szCs w:val="21"/>
        </w:rPr>
        <w:t>联合体牵头人的所有承诺均认为代表了联合体各成员。</w:t>
      </w:r>
    </w:p>
    <w:p w14:paraId="7DB9A0FA">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snapToGrid w:val="0"/>
          <w:color w:val="auto"/>
          <w:kern w:val="0"/>
          <w:szCs w:val="21"/>
        </w:rPr>
        <w:t>5.</w:t>
      </w:r>
      <w:r>
        <w:rPr>
          <w:rFonts w:ascii="宋体" w:hAnsi="宋体"/>
          <w:color w:val="auto"/>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64965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C8F3457">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单位名称</w:t>
            </w:r>
          </w:p>
        </w:tc>
        <w:tc>
          <w:tcPr>
            <w:tcW w:w="2410" w:type="dxa"/>
          </w:tcPr>
          <w:p w14:paraId="782F6601">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14772C97">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职责分工</w:t>
            </w:r>
          </w:p>
        </w:tc>
      </w:tr>
      <w:tr w14:paraId="3B43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1C3B50E">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联合体牵头人名称</w:t>
            </w:r>
          </w:p>
        </w:tc>
        <w:tc>
          <w:tcPr>
            <w:tcW w:w="2410" w:type="dxa"/>
          </w:tcPr>
          <w:p w14:paraId="29D369F4">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352E39CE">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6317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06BFCCC">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联合体其他成员单位一名称</w:t>
            </w:r>
          </w:p>
        </w:tc>
        <w:tc>
          <w:tcPr>
            <w:tcW w:w="2410" w:type="dxa"/>
          </w:tcPr>
          <w:p w14:paraId="35D4FF1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2EE0DB58">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25D4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405CFCE">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联合体其他成员单位二名称</w:t>
            </w:r>
          </w:p>
        </w:tc>
        <w:tc>
          <w:tcPr>
            <w:tcW w:w="2410" w:type="dxa"/>
          </w:tcPr>
          <w:p w14:paraId="41BBCF95">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0B80E3A">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0557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7935A90">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w:t>
            </w:r>
          </w:p>
        </w:tc>
        <w:tc>
          <w:tcPr>
            <w:tcW w:w="2410" w:type="dxa"/>
          </w:tcPr>
          <w:p w14:paraId="55A6086F">
            <w:pPr>
              <w:autoSpaceDE w:val="0"/>
              <w:autoSpaceDN w:val="0"/>
              <w:adjustRightInd w:val="0"/>
              <w:snapToGrid w:val="0"/>
              <w:spacing w:line="500" w:lineRule="exact"/>
              <w:ind w:firstLine="420"/>
              <w:jc w:val="left"/>
              <w:rPr>
                <w:rFonts w:ascii="宋体" w:hAnsi="宋体"/>
                <w:snapToGrid w:val="0"/>
                <w:color w:val="auto"/>
                <w:kern w:val="0"/>
                <w:szCs w:val="21"/>
              </w:rPr>
            </w:pPr>
          </w:p>
        </w:tc>
        <w:tc>
          <w:tcPr>
            <w:tcW w:w="2885" w:type="dxa"/>
          </w:tcPr>
          <w:p w14:paraId="6EB8E9C0">
            <w:pPr>
              <w:autoSpaceDE w:val="0"/>
              <w:autoSpaceDN w:val="0"/>
              <w:adjustRightInd w:val="0"/>
              <w:snapToGrid w:val="0"/>
              <w:spacing w:line="500" w:lineRule="exact"/>
              <w:ind w:firstLine="420"/>
              <w:jc w:val="left"/>
              <w:rPr>
                <w:rFonts w:ascii="宋体" w:hAnsi="宋体"/>
                <w:snapToGrid w:val="0"/>
                <w:color w:val="auto"/>
                <w:kern w:val="0"/>
                <w:szCs w:val="21"/>
              </w:rPr>
            </w:pPr>
          </w:p>
        </w:tc>
      </w:tr>
    </w:tbl>
    <w:p w14:paraId="3442EFED">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spacing w:val="7"/>
          <w:kern w:val="0"/>
          <w:szCs w:val="21"/>
        </w:rPr>
      </w:pPr>
      <w:r>
        <w:rPr>
          <w:rFonts w:ascii="宋体" w:hAnsi="宋体"/>
          <w:color w:val="auto"/>
          <w:kern w:val="0"/>
          <w:szCs w:val="21"/>
        </w:rPr>
        <w:t>6</w:t>
      </w:r>
      <w:r>
        <w:rPr>
          <w:rFonts w:ascii="宋体" w:hAnsi="宋体"/>
          <w:color w:val="auto"/>
          <w:spacing w:val="7"/>
          <w:kern w:val="0"/>
          <w:szCs w:val="21"/>
        </w:rPr>
        <w:t>.</w:t>
      </w:r>
      <w:r>
        <w:rPr>
          <w:rFonts w:hint="eastAsia" w:ascii="宋体" w:hAnsi="宋体"/>
          <w:color w:val="auto"/>
          <w:spacing w:val="7"/>
          <w:kern w:val="0"/>
          <w:szCs w:val="21"/>
        </w:rPr>
        <w:t>由联合体牵头人委派本项目的委托代理人。</w:t>
      </w:r>
    </w:p>
    <w:p w14:paraId="26D6F13B">
      <w:pPr>
        <w:autoSpaceDE w:val="0"/>
        <w:autoSpaceDN w:val="0"/>
        <w:adjustRightInd w:val="0"/>
        <w:spacing w:line="500" w:lineRule="exact"/>
        <w:ind w:firstLine="448" w:firstLineChars="200"/>
        <w:jc w:val="left"/>
        <w:rPr>
          <w:rFonts w:ascii="宋体" w:hAnsi="宋体"/>
          <w:color w:val="auto"/>
          <w:kern w:val="0"/>
          <w:szCs w:val="21"/>
        </w:rPr>
      </w:pPr>
      <w:r>
        <w:rPr>
          <w:rFonts w:hint="eastAsia" w:ascii="宋体" w:hAnsi="宋体"/>
          <w:color w:val="auto"/>
          <w:spacing w:val="7"/>
          <w:kern w:val="0"/>
          <w:szCs w:val="21"/>
        </w:rPr>
        <w:t>7.</w:t>
      </w:r>
      <w:r>
        <w:rPr>
          <w:rFonts w:ascii="宋体" w:hAnsi="宋体"/>
          <w:color w:val="auto"/>
          <w:spacing w:val="7"/>
          <w:kern w:val="0"/>
          <w:szCs w:val="21"/>
        </w:rPr>
        <w:t>投标工作和联合体</w:t>
      </w:r>
      <w:r>
        <w:rPr>
          <w:rFonts w:ascii="宋体" w:hAnsi="宋体"/>
          <w:color w:val="auto"/>
          <w:spacing w:val="5"/>
          <w:kern w:val="0"/>
          <w:szCs w:val="21"/>
        </w:rPr>
        <w:t>在</w:t>
      </w:r>
      <w:r>
        <w:rPr>
          <w:rFonts w:ascii="宋体" w:hAnsi="宋体"/>
          <w:color w:val="auto"/>
          <w:spacing w:val="7"/>
          <w:kern w:val="0"/>
          <w:szCs w:val="21"/>
        </w:rPr>
        <w:t>中标后工程实施过</w:t>
      </w:r>
      <w:r>
        <w:rPr>
          <w:rFonts w:ascii="宋体" w:hAnsi="宋体"/>
          <w:color w:val="auto"/>
          <w:spacing w:val="5"/>
          <w:kern w:val="0"/>
          <w:szCs w:val="21"/>
        </w:rPr>
        <w:t>程</w:t>
      </w:r>
      <w:r>
        <w:rPr>
          <w:rFonts w:ascii="宋体" w:hAnsi="宋体"/>
          <w:color w:val="auto"/>
          <w:spacing w:val="7"/>
          <w:kern w:val="0"/>
          <w:szCs w:val="21"/>
        </w:rPr>
        <w:t>中的有关费用按各</w:t>
      </w:r>
      <w:r>
        <w:rPr>
          <w:rFonts w:ascii="宋体" w:hAnsi="宋体"/>
          <w:color w:val="auto"/>
          <w:spacing w:val="5"/>
          <w:kern w:val="0"/>
          <w:szCs w:val="21"/>
        </w:rPr>
        <w:t>自</w:t>
      </w:r>
      <w:r>
        <w:rPr>
          <w:rFonts w:ascii="宋体" w:hAnsi="宋体"/>
          <w:color w:val="auto"/>
          <w:spacing w:val="7"/>
          <w:kern w:val="0"/>
          <w:szCs w:val="21"/>
        </w:rPr>
        <w:t>承担的工作</w:t>
      </w:r>
      <w:r>
        <w:rPr>
          <w:rFonts w:ascii="宋体" w:hAnsi="宋体"/>
          <w:color w:val="auto"/>
          <w:kern w:val="0"/>
          <w:szCs w:val="21"/>
        </w:rPr>
        <w:t>量分摊。</w:t>
      </w:r>
    </w:p>
    <w:p w14:paraId="172860A0">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8</w:t>
      </w:r>
      <w:r>
        <w:rPr>
          <w:rFonts w:ascii="宋体" w:hAnsi="宋体"/>
          <w:snapToGrid w:val="0"/>
          <w:color w:val="auto"/>
          <w:kern w:val="0"/>
          <w:szCs w:val="21"/>
        </w:rPr>
        <w:t>.本协议书自签署之日起生效，合同履行完毕后自动失效。</w:t>
      </w:r>
    </w:p>
    <w:p w14:paraId="277722E1">
      <w:pPr>
        <w:autoSpaceDE w:val="0"/>
        <w:autoSpaceDN w:val="0"/>
        <w:adjustRightInd w:val="0"/>
        <w:snapToGrid w:val="0"/>
        <w:spacing w:line="500" w:lineRule="exact"/>
        <w:ind w:firstLine="390" w:firstLineChars="186"/>
        <w:jc w:val="left"/>
        <w:rPr>
          <w:rFonts w:ascii="宋体" w:hAnsi="宋体"/>
          <w:snapToGrid w:val="0"/>
          <w:color w:val="auto"/>
          <w:kern w:val="0"/>
          <w:szCs w:val="21"/>
        </w:rPr>
      </w:pPr>
      <w:r>
        <w:rPr>
          <w:rFonts w:hint="eastAsia" w:ascii="宋体" w:hAnsi="宋体"/>
          <w:snapToGrid w:val="0"/>
          <w:color w:val="auto"/>
          <w:kern w:val="0"/>
          <w:szCs w:val="21"/>
        </w:rPr>
        <w:t>9</w:t>
      </w:r>
      <w:r>
        <w:rPr>
          <w:rFonts w:ascii="宋体" w:hAnsi="宋体"/>
          <w:snapToGrid w:val="0"/>
          <w:color w:val="auto"/>
          <w:kern w:val="0"/>
          <w:szCs w:val="21"/>
        </w:rPr>
        <w:t>.本协议书一式</w:t>
      </w:r>
      <w:r>
        <w:rPr>
          <w:rFonts w:hint="eastAsia" w:ascii="宋体" w:hAnsi="宋体"/>
          <w:snapToGrid w:val="0"/>
          <w:color w:val="auto"/>
          <w:kern w:val="0"/>
          <w:szCs w:val="21"/>
          <w:u w:val="single"/>
        </w:rPr>
        <w:t xml:space="preserve">    </w:t>
      </w:r>
      <w:r>
        <w:rPr>
          <w:rFonts w:ascii="宋体" w:hAnsi="宋体"/>
          <w:snapToGrid w:val="0"/>
          <w:color w:val="auto"/>
          <w:kern w:val="0"/>
          <w:szCs w:val="21"/>
        </w:rPr>
        <w:t>份，联合体成员和</w:t>
      </w:r>
      <w:r>
        <w:rPr>
          <w:rFonts w:hint="eastAsia" w:ascii="宋体" w:hAnsi="宋体"/>
          <w:snapToGrid w:val="0"/>
          <w:color w:val="auto"/>
          <w:kern w:val="0"/>
          <w:szCs w:val="21"/>
        </w:rPr>
        <w:t>采购</w:t>
      </w:r>
      <w:r>
        <w:rPr>
          <w:rFonts w:ascii="宋体" w:hAnsi="宋体"/>
          <w:snapToGrid w:val="0"/>
          <w:color w:val="auto"/>
          <w:kern w:val="0"/>
          <w:szCs w:val="21"/>
        </w:rPr>
        <w:t>人各执</w:t>
      </w:r>
      <w:r>
        <w:rPr>
          <w:rFonts w:hint="eastAsia" w:ascii="宋体" w:hAnsi="宋体"/>
          <w:snapToGrid w:val="0"/>
          <w:color w:val="auto"/>
          <w:kern w:val="0"/>
          <w:szCs w:val="21"/>
          <w:u w:val="single"/>
        </w:rPr>
        <w:t xml:space="preserve">    </w:t>
      </w:r>
      <w:r>
        <w:rPr>
          <w:rFonts w:ascii="宋体" w:hAnsi="宋体"/>
          <w:snapToGrid w:val="0"/>
          <w:color w:val="auto"/>
          <w:kern w:val="0"/>
          <w:szCs w:val="21"/>
        </w:rPr>
        <w:t>份。</w:t>
      </w:r>
    </w:p>
    <w:p w14:paraId="4984384A">
      <w:pPr>
        <w:autoSpaceDE w:val="0"/>
        <w:autoSpaceDN w:val="0"/>
        <w:adjustRightInd w:val="0"/>
        <w:snapToGrid w:val="0"/>
        <w:spacing w:line="500" w:lineRule="exact"/>
        <w:ind w:firstLine="390" w:firstLineChars="186"/>
        <w:jc w:val="left"/>
        <w:rPr>
          <w:rFonts w:ascii="宋体" w:hAnsi="宋体"/>
          <w:snapToGrid w:val="0"/>
          <w:color w:val="auto"/>
          <w:kern w:val="0"/>
          <w:szCs w:val="21"/>
        </w:rPr>
      </w:pPr>
    </w:p>
    <w:p w14:paraId="545B713F">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牵头人名称：</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（盖单位法人章）</w:t>
      </w:r>
    </w:p>
    <w:p w14:paraId="0D368949">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position w:val="-2"/>
          <w:szCs w:val="21"/>
        </w:rPr>
        <w:t>法定代表人或其委托代理人：</w:t>
      </w:r>
      <w:r>
        <w:rPr>
          <w:rFonts w:hint="eastAsia" w:ascii="宋体" w:hAnsi="宋体"/>
          <w:snapToGrid w:val="0"/>
          <w:color w:val="auto"/>
          <w:kern w:val="0"/>
          <w:position w:val="-2"/>
          <w:szCs w:val="21"/>
          <w:u w:val="single"/>
        </w:rPr>
        <w:t xml:space="preserve">                                    </w:t>
      </w:r>
      <w:r>
        <w:rPr>
          <w:rFonts w:ascii="宋体" w:hAnsi="宋体"/>
          <w:snapToGrid w:val="0"/>
          <w:color w:val="auto"/>
          <w:kern w:val="0"/>
          <w:position w:val="-2"/>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r>
        <w:rPr>
          <w:rFonts w:ascii="宋体" w:hAnsi="宋体"/>
          <w:snapToGrid w:val="0"/>
          <w:color w:val="auto"/>
          <w:kern w:val="0"/>
          <w:position w:val="-2"/>
          <w:szCs w:val="21"/>
        </w:rPr>
        <w:t>）</w:t>
      </w:r>
    </w:p>
    <w:p w14:paraId="55F99D82">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w:t>
      </w:r>
      <w:r>
        <w:rPr>
          <w:rFonts w:ascii="宋体" w:hAnsi="宋体"/>
          <w:color w:val="auto"/>
          <w:kern w:val="0"/>
          <w:szCs w:val="21"/>
        </w:rPr>
        <w:t>一名称：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3C4CE38C">
      <w:pPr>
        <w:tabs>
          <w:tab w:val="left" w:pos="774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32DA5E8E">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联合体其他成员单位二</w:t>
      </w:r>
      <w:r>
        <w:rPr>
          <w:rFonts w:ascii="宋体" w:hAnsi="宋体"/>
          <w:color w:val="auto"/>
          <w:kern w:val="0"/>
          <w:szCs w:val="21"/>
        </w:rPr>
        <w:t>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13DC81DB">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6E792254">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w:t>
      </w:r>
    </w:p>
    <w:p w14:paraId="3CC4521D">
      <w:pPr>
        <w:tabs>
          <w:tab w:val="left" w:pos="3840"/>
          <w:tab w:val="left" w:pos="4780"/>
          <w:tab w:val="left" w:pos="5720"/>
        </w:tabs>
        <w:autoSpaceDE w:val="0"/>
        <w:autoSpaceDN w:val="0"/>
        <w:adjustRightInd w:val="0"/>
        <w:snapToGrid w:val="0"/>
        <w:spacing w:beforeLines="50" w:line="500" w:lineRule="exact"/>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063A40AD">
      <w:pPr>
        <w:spacing w:line="360" w:lineRule="auto"/>
        <w:jc w:val="center"/>
        <w:rPr>
          <w:rFonts w:ascii="宋体" w:hAnsi="宋体"/>
          <w:snapToGrid w:val="0"/>
          <w:color w:val="auto"/>
          <w:szCs w:val="21"/>
        </w:rPr>
      </w:pPr>
    </w:p>
    <w:p w14:paraId="5EB7A3AA">
      <w:pPr>
        <w:spacing w:line="500" w:lineRule="exact"/>
        <w:ind w:firstLine="420" w:firstLineChars="200"/>
        <w:jc w:val="left"/>
        <w:rPr>
          <w:rFonts w:ascii="宋体" w:hAnsi="宋体"/>
          <w:snapToGrid w:val="0"/>
          <w:color w:val="auto"/>
          <w:szCs w:val="21"/>
        </w:rPr>
      </w:pPr>
      <w:r>
        <w:rPr>
          <w:rFonts w:ascii="宋体" w:hAnsi="宋体"/>
          <w:snapToGrid w:val="0"/>
          <w:color w:val="auto"/>
          <w:szCs w:val="21"/>
        </w:rPr>
        <w:t>注：</w:t>
      </w:r>
      <w:r>
        <w:rPr>
          <w:rFonts w:hint="eastAsia" w:ascii="宋体" w:hAnsi="宋体"/>
          <w:snapToGrid w:val="0"/>
          <w:color w:val="auto"/>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6A8B1179">
      <w:pPr>
        <w:spacing w:line="500" w:lineRule="exact"/>
        <w:ind w:firstLine="420" w:firstLineChars="200"/>
        <w:jc w:val="left"/>
        <w:rPr>
          <w:rFonts w:ascii="宋体" w:hAnsi="宋体"/>
          <w:b/>
          <w:color w:val="auto"/>
          <w:szCs w:val="21"/>
        </w:rPr>
      </w:pPr>
      <w:r>
        <w:rPr>
          <w:rFonts w:hint="eastAsia" w:ascii="宋体" w:hAnsi="宋体"/>
          <w:snapToGrid w:val="0"/>
          <w:color w:val="auto"/>
          <w:szCs w:val="21"/>
        </w:rPr>
        <w:t>2.本协议书由委托代理人签字或盖章的，应附法定代表人签字或盖章的授权委托书。</w:t>
      </w:r>
    </w:p>
    <w:p w14:paraId="464A5A01">
      <w:pPr>
        <w:tabs>
          <w:tab w:val="left" w:pos="2580"/>
          <w:tab w:val="left" w:pos="5940"/>
        </w:tabs>
        <w:autoSpaceDE w:val="0"/>
        <w:autoSpaceDN w:val="0"/>
        <w:adjustRightInd w:val="0"/>
        <w:snapToGrid w:val="0"/>
        <w:spacing w:line="360" w:lineRule="auto"/>
        <w:ind w:firstLine="2940"/>
        <w:jc w:val="left"/>
        <w:rPr>
          <w:rFonts w:ascii="宋体" w:hAnsi="宋体"/>
          <w:color w:val="auto"/>
        </w:rPr>
      </w:pPr>
      <w:bookmarkStart w:id="2278" w:name="_Toc224103500"/>
      <w:r>
        <w:rPr>
          <w:rFonts w:ascii="宋体" w:hAnsi="宋体"/>
          <w:color w:val="auto"/>
          <w:sz w:val="32"/>
          <w:szCs w:val="32"/>
        </w:rPr>
        <w:br w:type="page"/>
      </w:r>
      <w:bookmarkStart w:id="2279" w:name="_Toc287607872"/>
      <w:bookmarkStart w:id="2280" w:name="_Toc430530534"/>
      <w:bookmarkStart w:id="2281" w:name="_Toc287620819"/>
    </w:p>
    <w:p w14:paraId="0AD3F702">
      <w:pPr>
        <w:pStyle w:val="4"/>
        <w:spacing w:line="360" w:lineRule="auto"/>
        <w:jc w:val="center"/>
        <w:rPr>
          <w:rFonts w:ascii="宋体" w:hAnsi="宋体"/>
          <w:b w:val="0"/>
          <w:bCs w:val="0"/>
          <w:color w:val="auto"/>
          <w:sz w:val="44"/>
          <w:szCs w:val="44"/>
        </w:rPr>
      </w:pPr>
      <w:bookmarkStart w:id="2282" w:name="_Toc16312"/>
      <w:r>
        <w:rPr>
          <w:rFonts w:hint="eastAsia" w:ascii="宋体" w:hAnsi="宋体"/>
          <w:b w:val="0"/>
          <w:bCs w:val="0"/>
          <w:color w:val="auto"/>
          <w:sz w:val="44"/>
          <w:szCs w:val="44"/>
        </w:rPr>
        <w:t>二、经济部分</w:t>
      </w:r>
      <w:bookmarkEnd w:id="2278"/>
      <w:bookmarkEnd w:id="2279"/>
      <w:bookmarkEnd w:id="2280"/>
      <w:bookmarkEnd w:id="2281"/>
      <w:bookmarkEnd w:id="2282"/>
    </w:p>
    <w:p w14:paraId="288EC1DA">
      <w:pPr>
        <w:spacing w:line="360" w:lineRule="auto"/>
        <w:jc w:val="center"/>
        <w:rPr>
          <w:rFonts w:ascii="宋体" w:hAnsi="宋体"/>
          <w:color w:val="auto"/>
          <w:kern w:val="0"/>
          <w:sz w:val="32"/>
          <w:szCs w:val="32"/>
        </w:rPr>
      </w:pPr>
      <w:r>
        <w:rPr>
          <w:rFonts w:ascii="宋体" w:hAnsi="宋体"/>
          <w:color w:val="auto"/>
          <w:kern w:val="0"/>
          <w:sz w:val="28"/>
          <w:szCs w:val="28"/>
        </w:rPr>
        <w:br w:type="page"/>
      </w:r>
      <w:r>
        <w:rPr>
          <w:rFonts w:hint="eastAsia" w:ascii="宋体" w:hAnsi="宋体"/>
          <w:color w:val="auto"/>
          <w:kern w:val="0"/>
          <w:sz w:val="32"/>
          <w:szCs w:val="32"/>
          <w:u w:val="single"/>
        </w:rPr>
        <w:t xml:space="preserve">                   （项目名称）</w:t>
      </w:r>
    </w:p>
    <w:p w14:paraId="5C70E9E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49A404A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60292A8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228A12F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6249AD16">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164B7303">
      <w:pPr>
        <w:autoSpaceDE w:val="0"/>
        <w:autoSpaceDN w:val="0"/>
        <w:adjustRightInd w:val="0"/>
        <w:snapToGrid w:val="0"/>
        <w:spacing w:line="360" w:lineRule="auto"/>
        <w:jc w:val="left"/>
        <w:rPr>
          <w:rFonts w:ascii="宋体" w:hAnsi="宋体"/>
          <w:color w:val="auto"/>
          <w:kern w:val="0"/>
          <w:sz w:val="16"/>
          <w:szCs w:val="16"/>
        </w:rPr>
      </w:pPr>
    </w:p>
    <w:p w14:paraId="27C6D4F5">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经济部分</w:t>
      </w:r>
    </w:p>
    <w:p w14:paraId="3F6E4FD6">
      <w:pPr>
        <w:autoSpaceDE w:val="0"/>
        <w:autoSpaceDN w:val="0"/>
        <w:adjustRightInd w:val="0"/>
        <w:snapToGrid w:val="0"/>
        <w:spacing w:line="360" w:lineRule="auto"/>
        <w:jc w:val="left"/>
        <w:rPr>
          <w:rFonts w:ascii="宋体" w:hAnsi="宋体"/>
          <w:b/>
          <w:color w:val="auto"/>
          <w:kern w:val="0"/>
          <w:sz w:val="20"/>
          <w:szCs w:val="20"/>
        </w:rPr>
      </w:pPr>
    </w:p>
    <w:p w14:paraId="566D9DAE">
      <w:pPr>
        <w:autoSpaceDE w:val="0"/>
        <w:autoSpaceDN w:val="0"/>
        <w:adjustRightInd w:val="0"/>
        <w:snapToGrid w:val="0"/>
        <w:spacing w:line="360" w:lineRule="auto"/>
        <w:jc w:val="left"/>
        <w:rPr>
          <w:rFonts w:ascii="宋体" w:hAnsi="宋体"/>
          <w:b/>
          <w:color w:val="auto"/>
          <w:kern w:val="0"/>
          <w:sz w:val="20"/>
          <w:szCs w:val="20"/>
        </w:rPr>
      </w:pPr>
    </w:p>
    <w:p w14:paraId="4E67A91D">
      <w:pPr>
        <w:autoSpaceDE w:val="0"/>
        <w:autoSpaceDN w:val="0"/>
        <w:adjustRightInd w:val="0"/>
        <w:snapToGrid w:val="0"/>
        <w:spacing w:line="360" w:lineRule="auto"/>
        <w:jc w:val="left"/>
        <w:rPr>
          <w:rFonts w:ascii="宋体" w:hAnsi="宋体"/>
          <w:b/>
          <w:color w:val="auto"/>
          <w:kern w:val="0"/>
          <w:sz w:val="20"/>
          <w:szCs w:val="20"/>
        </w:rPr>
      </w:pPr>
    </w:p>
    <w:p w14:paraId="3228B28E">
      <w:pPr>
        <w:autoSpaceDE w:val="0"/>
        <w:autoSpaceDN w:val="0"/>
        <w:adjustRightInd w:val="0"/>
        <w:snapToGrid w:val="0"/>
        <w:spacing w:line="360" w:lineRule="auto"/>
        <w:jc w:val="left"/>
        <w:rPr>
          <w:rFonts w:ascii="宋体" w:hAnsi="宋体"/>
          <w:b/>
          <w:color w:val="auto"/>
          <w:kern w:val="0"/>
          <w:sz w:val="20"/>
          <w:szCs w:val="20"/>
        </w:rPr>
      </w:pPr>
    </w:p>
    <w:p w14:paraId="51449860">
      <w:pPr>
        <w:autoSpaceDE w:val="0"/>
        <w:autoSpaceDN w:val="0"/>
        <w:adjustRightInd w:val="0"/>
        <w:snapToGrid w:val="0"/>
        <w:spacing w:line="360" w:lineRule="auto"/>
        <w:jc w:val="left"/>
        <w:rPr>
          <w:rFonts w:ascii="宋体" w:hAnsi="宋体"/>
          <w:b/>
          <w:color w:val="auto"/>
          <w:kern w:val="0"/>
          <w:sz w:val="20"/>
          <w:szCs w:val="20"/>
        </w:rPr>
      </w:pPr>
    </w:p>
    <w:p w14:paraId="7C23BBF9">
      <w:pPr>
        <w:autoSpaceDE w:val="0"/>
        <w:autoSpaceDN w:val="0"/>
        <w:adjustRightInd w:val="0"/>
        <w:snapToGrid w:val="0"/>
        <w:spacing w:line="360" w:lineRule="auto"/>
        <w:jc w:val="left"/>
        <w:rPr>
          <w:rFonts w:ascii="宋体" w:hAnsi="宋体"/>
          <w:b/>
          <w:color w:val="auto"/>
          <w:kern w:val="0"/>
          <w:sz w:val="20"/>
          <w:szCs w:val="20"/>
        </w:rPr>
      </w:pPr>
    </w:p>
    <w:p w14:paraId="76AC6118">
      <w:pPr>
        <w:autoSpaceDE w:val="0"/>
        <w:autoSpaceDN w:val="0"/>
        <w:adjustRightInd w:val="0"/>
        <w:snapToGrid w:val="0"/>
        <w:spacing w:line="360" w:lineRule="auto"/>
        <w:jc w:val="left"/>
        <w:rPr>
          <w:rFonts w:ascii="宋体" w:hAnsi="宋体"/>
          <w:b/>
          <w:color w:val="auto"/>
          <w:kern w:val="0"/>
          <w:sz w:val="20"/>
          <w:szCs w:val="20"/>
        </w:rPr>
      </w:pPr>
    </w:p>
    <w:p w14:paraId="0DBA87A1">
      <w:pPr>
        <w:autoSpaceDE w:val="0"/>
        <w:autoSpaceDN w:val="0"/>
        <w:adjustRightInd w:val="0"/>
        <w:snapToGrid w:val="0"/>
        <w:spacing w:line="360" w:lineRule="auto"/>
        <w:jc w:val="left"/>
        <w:rPr>
          <w:rFonts w:ascii="宋体" w:hAnsi="宋体"/>
          <w:b/>
          <w:color w:val="auto"/>
          <w:kern w:val="0"/>
          <w:sz w:val="20"/>
          <w:szCs w:val="20"/>
        </w:rPr>
      </w:pPr>
    </w:p>
    <w:p w14:paraId="155A4CB6">
      <w:pPr>
        <w:autoSpaceDE w:val="0"/>
        <w:autoSpaceDN w:val="0"/>
        <w:adjustRightInd w:val="0"/>
        <w:snapToGrid w:val="0"/>
        <w:spacing w:line="360" w:lineRule="auto"/>
        <w:jc w:val="left"/>
        <w:rPr>
          <w:rFonts w:ascii="宋体" w:hAnsi="宋体"/>
          <w:b/>
          <w:color w:val="auto"/>
          <w:kern w:val="0"/>
          <w:sz w:val="20"/>
          <w:szCs w:val="20"/>
        </w:rPr>
      </w:pPr>
    </w:p>
    <w:p w14:paraId="3CA984B3">
      <w:pPr>
        <w:autoSpaceDE w:val="0"/>
        <w:autoSpaceDN w:val="0"/>
        <w:adjustRightInd w:val="0"/>
        <w:snapToGrid w:val="0"/>
        <w:spacing w:line="360" w:lineRule="auto"/>
        <w:jc w:val="left"/>
        <w:rPr>
          <w:rFonts w:ascii="宋体" w:hAnsi="宋体"/>
          <w:b/>
          <w:color w:val="auto"/>
          <w:kern w:val="0"/>
          <w:sz w:val="20"/>
          <w:szCs w:val="20"/>
        </w:rPr>
      </w:pPr>
    </w:p>
    <w:p w14:paraId="2D3656B6">
      <w:pPr>
        <w:autoSpaceDE w:val="0"/>
        <w:autoSpaceDN w:val="0"/>
        <w:adjustRightInd w:val="0"/>
        <w:snapToGrid w:val="0"/>
        <w:spacing w:line="360" w:lineRule="auto"/>
        <w:jc w:val="left"/>
        <w:rPr>
          <w:rFonts w:ascii="宋体" w:hAnsi="宋体"/>
          <w:b/>
          <w:color w:val="auto"/>
          <w:kern w:val="0"/>
          <w:sz w:val="20"/>
          <w:szCs w:val="20"/>
        </w:rPr>
      </w:pPr>
    </w:p>
    <w:p w14:paraId="7292D85D">
      <w:pPr>
        <w:autoSpaceDE w:val="0"/>
        <w:autoSpaceDN w:val="0"/>
        <w:adjustRightInd w:val="0"/>
        <w:snapToGrid w:val="0"/>
        <w:spacing w:line="360" w:lineRule="auto"/>
        <w:jc w:val="left"/>
        <w:rPr>
          <w:rFonts w:ascii="宋体" w:hAnsi="宋体"/>
          <w:b/>
          <w:color w:val="auto"/>
          <w:kern w:val="0"/>
          <w:sz w:val="20"/>
          <w:szCs w:val="20"/>
        </w:rPr>
      </w:pPr>
    </w:p>
    <w:p w14:paraId="2D925C4B">
      <w:pPr>
        <w:autoSpaceDE w:val="0"/>
        <w:autoSpaceDN w:val="0"/>
        <w:adjustRightInd w:val="0"/>
        <w:snapToGrid w:val="0"/>
        <w:spacing w:line="360" w:lineRule="auto"/>
        <w:jc w:val="left"/>
        <w:rPr>
          <w:rFonts w:ascii="宋体" w:hAnsi="宋体"/>
          <w:b/>
          <w:color w:val="auto"/>
          <w:kern w:val="0"/>
          <w:sz w:val="20"/>
          <w:szCs w:val="20"/>
        </w:rPr>
      </w:pPr>
    </w:p>
    <w:p w14:paraId="6D4DECCB">
      <w:pPr>
        <w:tabs>
          <w:tab w:val="left" w:pos="6080"/>
          <w:tab w:val="left" w:pos="6640"/>
        </w:tabs>
        <w:autoSpaceDE w:val="0"/>
        <w:autoSpaceDN w:val="0"/>
        <w:adjustRightInd w:val="0"/>
        <w:snapToGrid w:val="0"/>
        <w:spacing w:afterLines="50" w:line="36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55C9AB99">
      <w:pPr>
        <w:tabs>
          <w:tab w:val="left" w:pos="6080"/>
          <w:tab w:val="left" w:pos="6640"/>
        </w:tabs>
        <w:autoSpaceDE w:val="0"/>
        <w:autoSpaceDN w:val="0"/>
        <w:adjustRightInd w:val="0"/>
        <w:snapToGrid w:val="0"/>
        <w:spacing w:afterLines="50" w:line="360" w:lineRule="auto"/>
        <w:jc w:val="center"/>
        <w:rPr>
          <w:rFonts w:ascii="宋体" w:hAnsi="宋体"/>
          <w:b/>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19B10DD7">
      <w:pPr>
        <w:tabs>
          <w:tab w:val="left" w:pos="3280"/>
          <w:tab w:val="left" w:pos="4680"/>
          <w:tab w:val="left" w:pos="6080"/>
        </w:tabs>
        <w:autoSpaceDE w:val="0"/>
        <w:autoSpaceDN w:val="0"/>
        <w:adjustRightInd w:val="0"/>
        <w:snapToGrid w:val="0"/>
        <w:spacing w:afterLines="50" w:line="360" w:lineRule="auto"/>
        <w:jc w:val="center"/>
        <w:rPr>
          <w:rFonts w:ascii="宋体" w:hAnsi="宋体"/>
          <w:color w:val="auto"/>
          <w:kern w:val="0"/>
          <w:sz w:val="28"/>
          <w:szCs w:val="28"/>
        </w:rPr>
      </w:pP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年</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月</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日</w:t>
      </w:r>
    </w:p>
    <w:p w14:paraId="3D9388AC">
      <w:pPr>
        <w:autoSpaceDE w:val="0"/>
        <w:autoSpaceDN w:val="0"/>
        <w:adjustRightInd w:val="0"/>
        <w:snapToGrid w:val="0"/>
        <w:spacing w:line="360" w:lineRule="auto"/>
        <w:jc w:val="left"/>
        <w:rPr>
          <w:rFonts w:ascii="宋体" w:hAnsi="宋体"/>
          <w:color w:val="auto"/>
          <w:kern w:val="0"/>
          <w:sz w:val="24"/>
          <w:szCs w:val="21"/>
        </w:rPr>
      </w:pPr>
      <w:r>
        <w:rPr>
          <w:rFonts w:ascii="宋体" w:hAnsi="宋体"/>
          <w:color w:val="auto"/>
          <w:kern w:val="0"/>
          <w:sz w:val="24"/>
          <w:szCs w:val="21"/>
        </w:rPr>
        <w:br w:type="page"/>
      </w:r>
    </w:p>
    <w:p w14:paraId="789789E3">
      <w:pPr>
        <w:autoSpaceDE w:val="0"/>
        <w:autoSpaceDN w:val="0"/>
        <w:adjustRightInd w:val="0"/>
        <w:snapToGrid w:val="0"/>
        <w:spacing w:line="360" w:lineRule="auto"/>
        <w:jc w:val="center"/>
        <w:rPr>
          <w:rFonts w:ascii="宋体" w:hAnsi="宋体"/>
          <w:color w:val="auto"/>
          <w:kern w:val="0"/>
          <w:szCs w:val="21"/>
        </w:rPr>
      </w:pPr>
      <w:r>
        <w:rPr>
          <w:rFonts w:hint="eastAsia" w:ascii="宋体" w:hAnsi="宋体"/>
          <w:color w:val="auto"/>
          <w:kern w:val="0"/>
          <w:sz w:val="36"/>
          <w:szCs w:val="36"/>
        </w:rPr>
        <w:t>目  录</w:t>
      </w:r>
    </w:p>
    <w:p w14:paraId="4C5D2057">
      <w:pPr>
        <w:autoSpaceDE w:val="0"/>
        <w:autoSpaceDN w:val="0"/>
        <w:adjustRightInd w:val="0"/>
        <w:snapToGrid w:val="0"/>
        <w:spacing w:line="360" w:lineRule="auto"/>
        <w:jc w:val="left"/>
        <w:rPr>
          <w:rFonts w:ascii="宋体" w:hAnsi="宋体"/>
          <w:color w:val="auto"/>
          <w:kern w:val="0"/>
          <w:szCs w:val="21"/>
        </w:rPr>
      </w:pPr>
    </w:p>
    <w:p w14:paraId="62966E10">
      <w:pPr>
        <w:autoSpaceDE w:val="0"/>
        <w:autoSpaceDN w:val="0"/>
        <w:adjustRightInd w:val="0"/>
        <w:snapToGrid w:val="0"/>
        <w:spacing w:line="360" w:lineRule="auto"/>
        <w:jc w:val="center"/>
        <w:rPr>
          <w:rFonts w:ascii="宋体" w:hAnsi="宋体"/>
          <w:i/>
          <w:iCs/>
          <w:color w:val="auto"/>
          <w:kern w:val="0"/>
          <w:szCs w:val="21"/>
        </w:rPr>
      </w:pPr>
      <w:r>
        <w:rPr>
          <w:rFonts w:ascii="宋体" w:hAnsi="宋体"/>
          <w:i/>
          <w:iCs/>
          <w:color w:val="auto"/>
          <w:kern w:val="0"/>
          <w:szCs w:val="21"/>
        </w:rPr>
        <w:t>[</w:t>
      </w:r>
      <w:r>
        <w:rPr>
          <w:rFonts w:hint="eastAsia" w:ascii="宋体" w:hAnsi="宋体"/>
          <w:i/>
          <w:iCs/>
          <w:color w:val="auto"/>
          <w:kern w:val="0"/>
          <w:szCs w:val="21"/>
        </w:rPr>
        <w:t>提示：</w:t>
      </w:r>
      <w:r>
        <w:rPr>
          <w:rFonts w:ascii="宋体" w:hAnsi="宋体"/>
          <w:i/>
          <w:iCs/>
          <w:color w:val="auto"/>
          <w:kern w:val="0"/>
          <w:szCs w:val="21"/>
        </w:rPr>
        <w:t>目录由投标人自行编制]</w:t>
      </w:r>
    </w:p>
    <w:p w14:paraId="381589FC">
      <w:pPr>
        <w:pStyle w:val="5"/>
        <w:spacing w:before="0" w:after="0" w:line="240" w:lineRule="auto"/>
        <w:jc w:val="center"/>
        <w:rPr>
          <w:rFonts w:ascii="宋体" w:hAnsi="宋体"/>
          <w:b w:val="0"/>
          <w:bCs w:val="0"/>
          <w:color w:val="auto"/>
        </w:rPr>
      </w:pPr>
      <w:bookmarkStart w:id="2283" w:name="_Toc287620820"/>
      <w:bookmarkStart w:id="2284" w:name="_Toc224103501"/>
      <w:bookmarkStart w:id="2285" w:name="_Toc287607873"/>
      <w:bookmarkStart w:id="2286" w:name="_Toc277082648"/>
      <w:bookmarkStart w:id="2287" w:name="_Toc430530535"/>
      <w:r>
        <w:rPr>
          <w:rFonts w:ascii="宋体" w:hAnsi="宋体"/>
          <w:b w:val="0"/>
          <w:bCs w:val="0"/>
          <w:color w:val="auto"/>
          <w:kern w:val="0"/>
          <w:sz w:val="21"/>
          <w:szCs w:val="21"/>
        </w:rPr>
        <w:br w:type="page"/>
      </w:r>
      <w:bookmarkStart w:id="2288" w:name="_Toc16279"/>
      <w:r>
        <w:rPr>
          <w:rFonts w:hint="eastAsia" w:ascii="宋体" w:hAnsi="宋体"/>
          <w:b w:val="0"/>
          <w:bCs w:val="0"/>
          <w:color w:val="auto"/>
        </w:rPr>
        <w:t>（一）已标价工程量清单</w:t>
      </w:r>
      <w:bookmarkEnd w:id="2283"/>
      <w:bookmarkEnd w:id="2284"/>
      <w:bookmarkEnd w:id="2285"/>
      <w:bookmarkEnd w:id="2286"/>
      <w:bookmarkEnd w:id="2287"/>
      <w:bookmarkEnd w:id="2288"/>
    </w:p>
    <w:p w14:paraId="5E4B89D2">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rPr>
      </w:pPr>
    </w:p>
    <w:p w14:paraId="51AC5F4F">
      <w:pPr>
        <w:pStyle w:val="4"/>
        <w:spacing w:line="360" w:lineRule="auto"/>
        <w:rPr>
          <w:rFonts w:ascii="宋体" w:hAnsi="宋体"/>
          <w:color w:val="auto"/>
          <w:kern w:val="0"/>
          <w:sz w:val="24"/>
          <w:szCs w:val="21"/>
        </w:rPr>
      </w:pPr>
      <w:bookmarkStart w:id="2289" w:name="_Toc287620821"/>
      <w:bookmarkStart w:id="2290" w:name="_Toc224103502"/>
      <w:bookmarkStart w:id="2291" w:name="_Toc287607874"/>
      <w:bookmarkStart w:id="2292" w:name="_Toc430530536"/>
      <w:r>
        <w:rPr>
          <w:rFonts w:ascii="宋体" w:hAnsi="宋体"/>
          <w:color w:val="auto"/>
        </w:rPr>
        <w:br w:type="page"/>
      </w:r>
    </w:p>
    <w:bookmarkEnd w:id="2289"/>
    <w:bookmarkEnd w:id="2290"/>
    <w:bookmarkEnd w:id="2291"/>
    <w:bookmarkEnd w:id="2292"/>
    <w:p w14:paraId="0BE4C4AC">
      <w:pPr>
        <w:autoSpaceDE w:val="0"/>
        <w:autoSpaceDN w:val="0"/>
        <w:adjustRightInd w:val="0"/>
        <w:snapToGrid w:val="0"/>
        <w:spacing w:line="360" w:lineRule="auto"/>
        <w:jc w:val="left"/>
        <w:rPr>
          <w:rFonts w:ascii="宋体" w:hAnsi="宋体"/>
          <w:color w:val="auto"/>
          <w:kern w:val="0"/>
          <w:sz w:val="24"/>
          <w:szCs w:val="21"/>
        </w:rPr>
      </w:pPr>
    </w:p>
    <w:p w14:paraId="6E3A5E18">
      <w:pPr>
        <w:jc w:val="center"/>
        <w:rPr>
          <w:color w:val="auto"/>
          <w:sz w:val="32"/>
          <w:szCs w:val="32"/>
        </w:rPr>
      </w:pPr>
      <w:bookmarkStart w:id="2293" w:name="_Toc534185834"/>
      <w:bookmarkStart w:id="2294" w:name="_Toc509218857"/>
      <w:bookmarkStart w:id="2295" w:name="_Toc430530539"/>
      <w:bookmarkStart w:id="2296" w:name="_Toc287607876"/>
      <w:bookmarkStart w:id="2297" w:name="_Toc224103504"/>
      <w:bookmarkStart w:id="2298" w:name="_Toc287620823"/>
      <w:bookmarkStart w:id="2299" w:name="_Toc277082650"/>
      <w:bookmarkStart w:id="2300" w:name="_Toc287620826"/>
      <w:bookmarkStart w:id="2301" w:name="_Toc224103507"/>
      <w:bookmarkStart w:id="2302" w:name="_Toc287607879"/>
      <w:bookmarkStart w:id="2303" w:name="_Toc277082653"/>
      <w:r>
        <w:rPr>
          <w:rFonts w:hint="eastAsia"/>
          <w:color w:val="auto"/>
          <w:sz w:val="32"/>
          <w:szCs w:val="32"/>
        </w:rPr>
        <w:t>附表一：拟投入本标段的主要施工设备表</w:t>
      </w:r>
      <w:bookmarkEnd w:id="2293"/>
      <w:bookmarkEnd w:id="2294"/>
      <w:bookmarkEnd w:id="2295"/>
      <w:bookmarkEnd w:id="2296"/>
      <w:bookmarkEnd w:id="2297"/>
      <w:bookmarkEnd w:id="2298"/>
      <w:bookmarkEnd w:id="2299"/>
    </w:p>
    <w:tbl>
      <w:tblPr>
        <w:tblStyle w:val="45"/>
        <w:tblW w:w="9469"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3F7A18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vAlign w:val="center"/>
          </w:tcPr>
          <w:p w14:paraId="3457D10E">
            <w:pPr>
              <w:autoSpaceDE w:val="0"/>
              <w:autoSpaceDN w:val="0"/>
              <w:adjustRightInd w:val="0"/>
              <w:snapToGrid w:val="0"/>
              <w:jc w:val="center"/>
              <w:rPr>
                <w:rFonts w:ascii="宋体" w:hAnsi="宋体"/>
                <w:color w:val="auto"/>
                <w:kern w:val="0"/>
                <w:sz w:val="24"/>
              </w:rPr>
            </w:pPr>
            <w:r>
              <w:rPr>
                <w:rFonts w:ascii="宋体" w:hAnsi="宋体"/>
                <w:color w:val="auto"/>
                <w:kern w:val="0"/>
                <w:szCs w:val="21"/>
              </w:rPr>
              <w:t>序号</w:t>
            </w:r>
          </w:p>
        </w:tc>
        <w:tc>
          <w:tcPr>
            <w:tcW w:w="1176" w:type="dxa"/>
            <w:vAlign w:val="center"/>
          </w:tcPr>
          <w:p w14:paraId="7D88E9DE">
            <w:pPr>
              <w:autoSpaceDE w:val="0"/>
              <w:autoSpaceDN w:val="0"/>
              <w:adjustRightInd w:val="0"/>
              <w:snapToGrid w:val="0"/>
              <w:jc w:val="center"/>
              <w:rPr>
                <w:rFonts w:ascii="宋体" w:hAnsi="宋体"/>
                <w:color w:val="auto"/>
                <w:kern w:val="0"/>
                <w:sz w:val="24"/>
              </w:rPr>
            </w:pPr>
            <w:r>
              <w:rPr>
                <w:rFonts w:ascii="宋体" w:hAnsi="宋体"/>
                <w:color w:val="auto"/>
                <w:kern w:val="0"/>
                <w:szCs w:val="21"/>
              </w:rPr>
              <w:t>设备名称</w:t>
            </w:r>
          </w:p>
        </w:tc>
        <w:tc>
          <w:tcPr>
            <w:tcW w:w="824" w:type="dxa"/>
            <w:vAlign w:val="center"/>
          </w:tcPr>
          <w:p w14:paraId="34D9A9D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型号</w:t>
            </w:r>
          </w:p>
          <w:p w14:paraId="399B7460">
            <w:pPr>
              <w:autoSpaceDE w:val="0"/>
              <w:autoSpaceDN w:val="0"/>
              <w:adjustRightInd w:val="0"/>
              <w:snapToGrid w:val="0"/>
              <w:jc w:val="center"/>
              <w:rPr>
                <w:rFonts w:ascii="宋体" w:hAnsi="宋体"/>
                <w:color w:val="auto"/>
                <w:kern w:val="0"/>
                <w:sz w:val="24"/>
              </w:rPr>
            </w:pPr>
            <w:r>
              <w:rPr>
                <w:rFonts w:ascii="宋体" w:hAnsi="宋体"/>
                <w:color w:val="auto"/>
                <w:kern w:val="0"/>
                <w:szCs w:val="21"/>
              </w:rPr>
              <w:t>规格</w:t>
            </w:r>
          </w:p>
        </w:tc>
        <w:tc>
          <w:tcPr>
            <w:tcW w:w="1072" w:type="dxa"/>
            <w:vAlign w:val="center"/>
          </w:tcPr>
          <w:p w14:paraId="6845D77D">
            <w:pPr>
              <w:autoSpaceDE w:val="0"/>
              <w:autoSpaceDN w:val="0"/>
              <w:adjustRightInd w:val="0"/>
              <w:snapToGrid w:val="0"/>
              <w:jc w:val="center"/>
              <w:rPr>
                <w:rFonts w:ascii="宋体" w:hAnsi="宋体"/>
                <w:color w:val="auto"/>
                <w:kern w:val="0"/>
                <w:sz w:val="24"/>
              </w:rPr>
            </w:pPr>
            <w:r>
              <w:rPr>
                <w:rFonts w:ascii="宋体" w:hAnsi="宋体"/>
                <w:color w:val="auto"/>
                <w:kern w:val="0"/>
                <w:szCs w:val="21"/>
              </w:rPr>
              <w:t>数量</w:t>
            </w:r>
          </w:p>
        </w:tc>
        <w:tc>
          <w:tcPr>
            <w:tcW w:w="728" w:type="dxa"/>
            <w:vAlign w:val="center"/>
          </w:tcPr>
          <w:p w14:paraId="58D027EB">
            <w:pPr>
              <w:autoSpaceDE w:val="0"/>
              <w:autoSpaceDN w:val="0"/>
              <w:adjustRightInd w:val="0"/>
              <w:snapToGrid w:val="0"/>
              <w:jc w:val="center"/>
              <w:rPr>
                <w:rFonts w:ascii="宋体" w:hAnsi="宋体"/>
                <w:color w:val="auto"/>
                <w:kern w:val="0"/>
                <w:sz w:val="24"/>
              </w:rPr>
            </w:pPr>
            <w:r>
              <w:rPr>
                <w:rFonts w:ascii="宋体" w:hAnsi="宋体"/>
                <w:color w:val="auto"/>
                <w:kern w:val="0"/>
                <w:szCs w:val="21"/>
              </w:rPr>
              <w:t>国别 产地</w:t>
            </w:r>
          </w:p>
        </w:tc>
        <w:tc>
          <w:tcPr>
            <w:tcW w:w="799" w:type="dxa"/>
            <w:vAlign w:val="center"/>
          </w:tcPr>
          <w:p w14:paraId="4987D9F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制造</w:t>
            </w:r>
          </w:p>
          <w:p w14:paraId="7DEE133D">
            <w:pPr>
              <w:autoSpaceDE w:val="0"/>
              <w:autoSpaceDN w:val="0"/>
              <w:adjustRightInd w:val="0"/>
              <w:snapToGrid w:val="0"/>
              <w:jc w:val="center"/>
              <w:rPr>
                <w:rFonts w:ascii="宋体" w:hAnsi="宋体"/>
                <w:color w:val="auto"/>
                <w:kern w:val="0"/>
                <w:sz w:val="24"/>
              </w:rPr>
            </w:pPr>
            <w:r>
              <w:rPr>
                <w:rFonts w:ascii="宋体" w:hAnsi="宋体"/>
                <w:color w:val="auto"/>
                <w:kern w:val="0"/>
                <w:szCs w:val="21"/>
              </w:rPr>
              <w:t>年份</w:t>
            </w:r>
          </w:p>
        </w:tc>
        <w:tc>
          <w:tcPr>
            <w:tcW w:w="1312" w:type="dxa"/>
            <w:vAlign w:val="center"/>
          </w:tcPr>
          <w:p w14:paraId="32F72908">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额定功率</w:t>
            </w:r>
          </w:p>
          <w:p w14:paraId="0009AEE3">
            <w:pPr>
              <w:autoSpaceDE w:val="0"/>
              <w:autoSpaceDN w:val="0"/>
              <w:adjustRightInd w:val="0"/>
              <w:snapToGrid w:val="0"/>
              <w:jc w:val="center"/>
              <w:rPr>
                <w:rFonts w:ascii="宋体" w:hAnsi="宋体"/>
                <w:color w:val="auto"/>
                <w:kern w:val="0"/>
                <w:sz w:val="10"/>
                <w:szCs w:val="10"/>
              </w:rPr>
            </w:pPr>
          </w:p>
          <w:p w14:paraId="0778DA0B">
            <w:pPr>
              <w:autoSpaceDE w:val="0"/>
              <w:autoSpaceDN w:val="0"/>
              <w:adjustRightInd w:val="0"/>
              <w:snapToGrid w:val="0"/>
              <w:jc w:val="center"/>
              <w:rPr>
                <w:rFonts w:ascii="宋体" w:hAnsi="宋体"/>
                <w:color w:val="auto"/>
                <w:kern w:val="0"/>
                <w:sz w:val="24"/>
              </w:rPr>
            </w:pPr>
            <w:r>
              <w:rPr>
                <w:rFonts w:ascii="宋体" w:hAnsi="宋体"/>
                <w:color w:val="auto"/>
                <w:kern w:val="0"/>
                <w:szCs w:val="21"/>
              </w:rPr>
              <w:t>（KW）</w:t>
            </w:r>
          </w:p>
        </w:tc>
        <w:tc>
          <w:tcPr>
            <w:tcW w:w="947" w:type="dxa"/>
            <w:vAlign w:val="center"/>
          </w:tcPr>
          <w:p w14:paraId="245FF3B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生产</w:t>
            </w:r>
          </w:p>
          <w:p w14:paraId="6AEC1BFF">
            <w:pPr>
              <w:autoSpaceDE w:val="0"/>
              <w:autoSpaceDN w:val="0"/>
              <w:adjustRightInd w:val="0"/>
              <w:snapToGrid w:val="0"/>
              <w:jc w:val="center"/>
              <w:rPr>
                <w:rFonts w:ascii="宋体" w:hAnsi="宋体"/>
                <w:color w:val="auto"/>
                <w:kern w:val="0"/>
                <w:sz w:val="24"/>
              </w:rPr>
            </w:pPr>
            <w:r>
              <w:rPr>
                <w:rFonts w:ascii="宋体" w:hAnsi="宋体"/>
                <w:color w:val="auto"/>
                <w:kern w:val="0"/>
                <w:szCs w:val="21"/>
              </w:rPr>
              <w:t>能力</w:t>
            </w:r>
          </w:p>
        </w:tc>
        <w:tc>
          <w:tcPr>
            <w:tcW w:w="1141" w:type="dxa"/>
            <w:vAlign w:val="center"/>
          </w:tcPr>
          <w:p w14:paraId="7CDB42B7">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用于施</w:t>
            </w:r>
          </w:p>
          <w:p w14:paraId="7B4A8ED6">
            <w:pPr>
              <w:autoSpaceDE w:val="0"/>
              <w:autoSpaceDN w:val="0"/>
              <w:adjustRightInd w:val="0"/>
              <w:snapToGrid w:val="0"/>
              <w:jc w:val="center"/>
              <w:rPr>
                <w:rFonts w:ascii="宋体" w:hAnsi="宋体"/>
                <w:color w:val="auto"/>
                <w:kern w:val="0"/>
                <w:sz w:val="24"/>
              </w:rPr>
            </w:pPr>
            <w:r>
              <w:rPr>
                <w:rFonts w:ascii="宋体" w:hAnsi="宋体"/>
                <w:color w:val="auto"/>
                <w:kern w:val="0"/>
                <w:szCs w:val="21"/>
              </w:rPr>
              <w:t>工部位</w:t>
            </w:r>
          </w:p>
        </w:tc>
        <w:tc>
          <w:tcPr>
            <w:tcW w:w="749" w:type="dxa"/>
            <w:vAlign w:val="center"/>
          </w:tcPr>
          <w:p w14:paraId="24C1D12E">
            <w:pPr>
              <w:autoSpaceDE w:val="0"/>
              <w:autoSpaceDN w:val="0"/>
              <w:adjustRightInd w:val="0"/>
              <w:snapToGrid w:val="0"/>
              <w:jc w:val="center"/>
              <w:rPr>
                <w:rFonts w:ascii="宋体" w:hAnsi="宋体"/>
                <w:color w:val="auto"/>
                <w:kern w:val="0"/>
                <w:sz w:val="24"/>
              </w:rPr>
            </w:pPr>
            <w:r>
              <w:rPr>
                <w:rFonts w:ascii="宋体" w:hAnsi="宋体"/>
                <w:color w:val="auto"/>
                <w:kern w:val="0"/>
                <w:szCs w:val="21"/>
              </w:rPr>
              <w:t>备注</w:t>
            </w:r>
          </w:p>
        </w:tc>
      </w:tr>
      <w:tr w14:paraId="666E2B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AD95751">
            <w:pPr>
              <w:autoSpaceDE w:val="0"/>
              <w:autoSpaceDN w:val="0"/>
              <w:adjustRightInd w:val="0"/>
              <w:snapToGrid w:val="0"/>
              <w:jc w:val="center"/>
              <w:rPr>
                <w:rFonts w:ascii="宋体" w:hAnsi="宋体"/>
                <w:color w:val="auto"/>
                <w:kern w:val="0"/>
                <w:sz w:val="24"/>
              </w:rPr>
            </w:pPr>
          </w:p>
        </w:tc>
        <w:tc>
          <w:tcPr>
            <w:tcW w:w="1176" w:type="dxa"/>
            <w:vAlign w:val="center"/>
          </w:tcPr>
          <w:p w14:paraId="0FC9153C">
            <w:pPr>
              <w:autoSpaceDE w:val="0"/>
              <w:autoSpaceDN w:val="0"/>
              <w:adjustRightInd w:val="0"/>
              <w:snapToGrid w:val="0"/>
              <w:jc w:val="center"/>
              <w:rPr>
                <w:rFonts w:ascii="宋体" w:hAnsi="宋体"/>
                <w:color w:val="auto"/>
                <w:kern w:val="0"/>
                <w:sz w:val="24"/>
              </w:rPr>
            </w:pPr>
          </w:p>
        </w:tc>
        <w:tc>
          <w:tcPr>
            <w:tcW w:w="824" w:type="dxa"/>
            <w:vAlign w:val="center"/>
          </w:tcPr>
          <w:p w14:paraId="02F2D1EA">
            <w:pPr>
              <w:autoSpaceDE w:val="0"/>
              <w:autoSpaceDN w:val="0"/>
              <w:adjustRightInd w:val="0"/>
              <w:snapToGrid w:val="0"/>
              <w:jc w:val="center"/>
              <w:rPr>
                <w:rFonts w:ascii="宋体" w:hAnsi="宋体"/>
                <w:color w:val="auto"/>
                <w:kern w:val="0"/>
                <w:sz w:val="24"/>
              </w:rPr>
            </w:pPr>
          </w:p>
        </w:tc>
        <w:tc>
          <w:tcPr>
            <w:tcW w:w="1072" w:type="dxa"/>
            <w:vAlign w:val="center"/>
          </w:tcPr>
          <w:p w14:paraId="5FE94B7E">
            <w:pPr>
              <w:autoSpaceDE w:val="0"/>
              <w:autoSpaceDN w:val="0"/>
              <w:adjustRightInd w:val="0"/>
              <w:snapToGrid w:val="0"/>
              <w:jc w:val="center"/>
              <w:rPr>
                <w:rFonts w:ascii="宋体" w:hAnsi="宋体"/>
                <w:color w:val="auto"/>
                <w:kern w:val="0"/>
                <w:sz w:val="24"/>
              </w:rPr>
            </w:pPr>
          </w:p>
        </w:tc>
        <w:tc>
          <w:tcPr>
            <w:tcW w:w="728" w:type="dxa"/>
            <w:vAlign w:val="center"/>
          </w:tcPr>
          <w:p w14:paraId="56B72DF7">
            <w:pPr>
              <w:autoSpaceDE w:val="0"/>
              <w:autoSpaceDN w:val="0"/>
              <w:adjustRightInd w:val="0"/>
              <w:snapToGrid w:val="0"/>
              <w:jc w:val="center"/>
              <w:rPr>
                <w:rFonts w:ascii="宋体" w:hAnsi="宋体"/>
                <w:color w:val="auto"/>
                <w:kern w:val="0"/>
                <w:sz w:val="24"/>
              </w:rPr>
            </w:pPr>
          </w:p>
        </w:tc>
        <w:tc>
          <w:tcPr>
            <w:tcW w:w="799" w:type="dxa"/>
            <w:vAlign w:val="center"/>
          </w:tcPr>
          <w:p w14:paraId="483AD322">
            <w:pPr>
              <w:autoSpaceDE w:val="0"/>
              <w:autoSpaceDN w:val="0"/>
              <w:adjustRightInd w:val="0"/>
              <w:snapToGrid w:val="0"/>
              <w:jc w:val="center"/>
              <w:rPr>
                <w:rFonts w:ascii="宋体" w:hAnsi="宋体"/>
                <w:color w:val="auto"/>
                <w:kern w:val="0"/>
                <w:sz w:val="24"/>
              </w:rPr>
            </w:pPr>
          </w:p>
        </w:tc>
        <w:tc>
          <w:tcPr>
            <w:tcW w:w="1312" w:type="dxa"/>
            <w:vAlign w:val="center"/>
          </w:tcPr>
          <w:p w14:paraId="19F4C0FB">
            <w:pPr>
              <w:autoSpaceDE w:val="0"/>
              <w:autoSpaceDN w:val="0"/>
              <w:adjustRightInd w:val="0"/>
              <w:snapToGrid w:val="0"/>
              <w:jc w:val="center"/>
              <w:rPr>
                <w:rFonts w:ascii="宋体" w:hAnsi="宋体"/>
                <w:color w:val="auto"/>
                <w:kern w:val="0"/>
                <w:sz w:val="24"/>
              </w:rPr>
            </w:pPr>
          </w:p>
        </w:tc>
        <w:tc>
          <w:tcPr>
            <w:tcW w:w="947" w:type="dxa"/>
            <w:vAlign w:val="center"/>
          </w:tcPr>
          <w:p w14:paraId="247D0E6D">
            <w:pPr>
              <w:autoSpaceDE w:val="0"/>
              <w:autoSpaceDN w:val="0"/>
              <w:adjustRightInd w:val="0"/>
              <w:snapToGrid w:val="0"/>
              <w:jc w:val="center"/>
              <w:rPr>
                <w:rFonts w:ascii="宋体" w:hAnsi="宋体"/>
                <w:color w:val="auto"/>
                <w:kern w:val="0"/>
                <w:sz w:val="24"/>
              </w:rPr>
            </w:pPr>
          </w:p>
        </w:tc>
        <w:tc>
          <w:tcPr>
            <w:tcW w:w="1141" w:type="dxa"/>
            <w:vAlign w:val="center"/>
          </w:tcPr>
          <w:p w14:paraId="04200D09">
            <w:pPr>
              <w:autoSpaceDE w:val="0"/>
              <w:autoSpaceDN w:val="0"/>
              <w:adjustRightInd w:val="0"/>
              <w:snapToGrid w:val="0"/>
              <w:jc w:val="center"/>
              <w:rPr>
                <w:rFonts w:ascii="宋体" w:hAnsi="宋体"/>
                <w:color w:val="auto"/>
                <w:kern w:val="0"/>
                <w:sz w:val="24"/>
              </w:rPr>
            </w:pPr>
          </w:p>
        </w:tc>
        <w:tc>
          <w:tcPr>
            <w:tcW w:w="749" w:type="dxa"/>
            <w:vAlign w:val="center"/>
          </w:tcPr>
          <w:p w14:paraId="2C7ED186">
            <w:pPr>
              <w:autoSpaceDE w:val="0"/>
              <w:autoSpaceDN w:val="0"/>
              <w:adjustRightInd w:val="0"/>
              <w:snapToGrid w:val="0"/>
              <w:jc w:val="center"/>
              <w:rPr>
                <w:rFonts w:ascii="宋体" w:hAnsi="宋体"/>
                <w:color w:val="auto"/>
                <w:kern w:val="0"/>
                <w:sz w:val="24"/>
              </w:rPr>
            </w:pPr>
          </w:p>
        </w:tc>
      </w:tr>
      <w:tr w14:paraId="05D96B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DAB65CC">
            <w:pPr>
              <w:autoSpaceDE w:val="0"/>
              <w:autoSpaceDN w:val="0"/>
              <w:adjustRightInd w:val="0"/>
              <w:snapToGrid w:val="0"/>
              <w:jc w:val="center"/>
              <w:rPr>
                <w:rFonts w:ascii="宋体" w:hAnsi="宋体"/>
                <w:color w:val="auto"/>
                <w:kern w:val="0"/>
                <w:sz w:val="24"/>
              </w:rPr>
            </w:pPr>
          </w:p>
        </w:tc>
        <w:tc>
          <w:tcPr>
            <w:tcW w:w="1176" w:type="dxa"/>
            <w:vAlign w:val="center"/>
          </w:tcPr>
          <w:p w14:paraId="303B40D5">
            <w:pPr>
              <w:autoSpaceDE w:val="0"/>
              <w:autoSpaceDN w:val="0"/>
              <w:adjustRightInd w:val="0"/>
              <w:snapToGrid w:val="0"/>
              <w:jc w:val="center"/>
              <w:rPr>
                <w:rFonts w:ascii="宋体" w:hAnsi="宋体"/>
                <w:color w:val="auto"/>
                <w:kern w:val="0"/>
                <w:sz w:val="24"/>
              </w:rPr>
            </w:pPr>
          </w:p>
        </w:tc>
        <w:tc>
          <w:tcPr>
            <w:tcW w:w="824" w:type="dxa"/>
            <w:vAlign w:val="center"/>
          </w:tcPr>
          <w:p w14:paraId="473CB4D5">
            <w:pPr>
              <w:autoSpaceDE w:val="0"/>
              <w:autoSpaceDN w:val="0"/>
              <w:adjustRightInd w:val="0"/>
              <w:snapToGrid w:val="0"/>
              <w:jc w:val="center"/>
              <w:rPr>
                <w:rFonts w:ascii="宋体" w:hAnsi="宋体"/>
                <w:color w:val="auto"/>
                <w:kern w:val="0"/>
                <w:sz w:val="24"/>
              </w:rPr>
            </w:pPr>
          </w:p>
        </w:tc>
        <w:tc>
          <w:tcPr>
            <w:tcW w:w="1072" w:type="dxa"/>
            <w:vAlign w:val="center"/>
          </w:tcPr>
          <w:p w14:paraId="1417023B">
            <w:pPr>
              <w:autoSpaceDE w:val="0"/>
              <w:autoSpaceDN w:val="0"/>
              <w:adjustRightInd w:val="0"/>
              <w:snapToGrid w:val="0"/>
              <w:jc w:val="center"/>
              <w:rPr>
                <w:rFonts w:ascii="宋体" w:hAnsi="宋体"/>
                <w:color w:val="auto"/>
                <w:kern w:val="0"/>
                <w:sz w:val="24"/>
              </w:rPr>
            </w:pPr>
          </w:p>
        </w:tc>
        <w:tc>
          <w:tcPr>
            <w:tcW w:w="728" w:type="dxa"/>
            <w:vAlign w:val="center"/>
          </w:tcPr>
          <w:p w14:paraId="69B89B6C">
            <w:pPr>
              <w:autoSpaceDE w:val="0"/>
              <w:autoSpaceDN w:val="0"/>
              <w:adjustRightInd w:val="0"/>
              <w:snapToGrid w:val="0"/>
              <w:jc w:val="center"/>
              <w:rPr>
                <w:rFonts w:ascii="宋体" w:hAnsi="宋体"/>
                <w:color w:val="auto"/>
                <w:kern w:val="0"/>
                <w:sz w:val="24"/>
              </w:rPr>
            </w:pPr>
          </w:p>
        </w:tc>
        <w:tc>
          <w:tcPr>
            <w:tcW w:w="799" w:type="dxa"/>
            <w:vAlign w:val="center"/>
          </w:tcPr>
          <w:p w14:paraId="6447AC43">
            <w:pPr>
              <w:autoSpaceDE w:val="0"/>
              <w:autoSpaceDN w:val="0"/>
              <w:adjustRightInd w:val="0"/>
              <w:snapToGrid w:val="0"/>
              <w:jc w:val="center"/>
              <w:rPr>
                <w:rFonts w:ascii="宋体" w:hAnsi="宋体"/>
                <w:color w:val="auto"/>
                <w:kern w:val="0"/>
                <w:sz w:val="24"/>
              </w:rPr>
            </w:pPr>
          </w:p>
        </w:tc>
        <w:tc>
          <w:tcPr>
            <w:tcW w:w="1312" w:type="dxa"/>
            <w:vAlign w:val="center"/>
          </w:tcPr>
          <w:p w14:paraId="55B8DE83">
            <w:pPr>
              <w:autoSpaceDE w:val="0"/>
              <w:autoSpaceDN w:val="0"/>
              <w:adjustRightInd w:val="0"/>
              <w:snapToGrid w:val="0"/>
              <w:jc w:val="center"/>
              <w:rPr>
                <w:rFonts w:ascii="宋体" w:hAnsi="宋体"/>
                <w:color w:val="auto"/>
                <w:kern w:val="0"/>
                <w:sz w:val="24"/>
              </w:rPr>
            </w:pPr>
          </w:p>
        </w:tc>
        <w:tc>
          <w:tcPr>
            <w:tcW w:w="947" w:type="dxa"/>
            <w:vAlign w:val="center"/>
          </w:tcPr>
          <w:p w14:paraId="5DDCCD1A">
            <w:pPr>
              <w:autoSpaceDE w:val="0"/>
              <w:autoSpaceDN w:val="0"/>
              <w:adjustRightInd w:val="0"/>
              <w:snapToGrid w:val="0"/>
              <w:jc w:val="center"/>
              <w:rPr>
                <w:rFonts w:ascii="宋体" w:hAnsi="宋体"/>
                <w:color w:val="auto"/>
                <w:kern w:val="0"/>
                <w:sz w:val="24"/>
              </w:rPr>
            </w:pPr>
          </w:p>
        </w:tc>
        <w:tc>
          <w:tcPr>
            <w:tcW w:w="1141" w:type="dxa"/>
            <w:vAlign w:val="center"/>
          </w:tcPr>
          <w:p w14:paraId="57685FF6">
            <w:pPr>
              <w:autoSpaceDE w:val="0"/>
              <w:autoSpaceDN w:val="0"/>
              <w:adjustRightInd w:val="0"/>
              <w:snapToGrid w:val="0"/>
              <w:jc w:val="center"/>
              <w:rPr>
                <w:rFonts w:ascii="宋体" w:hAnsi="宋体"/>
                <w:color w:val="auto"/>
                <w:kern w:val="0"/>
                <w:sz w:val="24"/>
              </w:rPr>
            </w:pPr>
          </w:p>
        </w:tc>
        <w:tc>
          <w:tcPr>
            <w:tcW w:w="749" w:type="dxa"/>
            <w:vAlign w:val="center"/>
          </w:tcPr>
          <w:p w14:paraId="74BE4C21">
            <w:pPr>
              <w:autoSpaceDE w:val="0"/>
              <w:autoSpaceDN w:val="0"/>
              <w:adjustRightInd w:val="0"/>
              <w:snapToGrid w:val="0"/>
              <w:jc w:val="center"/>
              <w:rPr>
                <w:rFonts w:ascii="宋体" w:hAnsi="宋体"/>
                <w:color w:val="auto"/>
                <w:kern w:val="0"/>
                <w:sz w:val="24"/>
              </w:rPr>
            </w:pPr>
          </w:p>
        </w:tc>
      </w:tr>
      <w:tr w14:paraId="41D8D8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F8B79E2">
            <w:pPr>
              <w:autoSpaceDE w:val="0"/>
              <w:autoSpaceDN w:val="0"/>
              <w:adjustRightInd w:val="0"/>
              <w:snapToGrid w:val="0"/>
              <w:jc w:val="center"/>
              <w:rPr>
                <w:rFonts w:ascii="宋体" w:hAnsi="宋体"/>
                <w:color w:val="auto"/>
                <w:kern w:val="0"/>
                <w:sz w:val="24"/>
              </w:rPr>
            </w:pPr>
          </w:p>
        </w:tc>
        <w:tc>
          <w:tcPr>
            <w:tcW w:w="1176" w:type="dxa"/>
            <w:vAlign w:val="center"/>
          </w:tcPr>
          <w:p w14:paraId="69E051A6">
            <w:pPr>
              <w:autoSpaceDE w:val="0"/>
              <w:autoSpaceDN w:val="0"/>
              <w:adjustRightInd w:val="0"/>
              <w:snapToGrid w:val="0"/>
              <w:jc w:val="center"/>
              <w:rPr>
                <w:rFonts w:ascii="宋体" w:hAnsi="宋体"/>
                <w:color w:val="auto"/>
                <w:kern w:val="0"/>
                <w:sz w:val="24"/>
              </w:rPr>
            </w:pPr>
          </w:p>
        </w:tc>
        <w:tc>
          <w:tcPr>
            <w:tcW w:w="824" w:type="dxa"/>
            <w:vAlign w:val="center"/>
          </w:tcPr>
          <w:p w14:paraId="73667F8D">
            <w:pPr>
              <w:autoSpaceDE w:val="0"/>
              <w:autoSpaceDN w:val="0"/>
              <w:adjustRightInd w:val="0"/>
              <w:snapToGrid w:val="0"/>
              <w:jc w:val="center"/>
              <w:rPr>
                <w:rFonts w:ascii="宋体" w:hAnsi="宋体"/>
                <w:color w:val="auto"/>
                <w:kern w:val="0"/>
                <w:sz w:val="24"/>
              </w:rPr>
            </w:pPr>
          </w:p>
        </w:tc>
        <w:tc>
          <w:tcPr>
            <w:tcW w:w="1072" w:type="dxa"/>
            <w:vAlign w:val="center"/>
          </w:tcPr>
          <w:p w14:paraId="2868B958">
            <w:pPr>
              <w:autoSpaceDE w:val="0"/>
              <w:autoSpaceDN w:val="0"/>
              <w:adjustRightInd w:val="0"/>
              <w:snapToGrid w:val="0"/>
              <w:jc w:val="center"/>
              <w:rPr>
                <w:rFonts w:ascii="宋体" w:hAnsi="宋体"/>
                <w:color w:val="auto"/>
                <w:kern w:val="0"/>
                <w:sz w:val="24"/>
              </w:rPr>
            </w:pPr>
          </w:p>
        </w:tc>
        <w:tc>
          <w:tcPr>
            <w:tcW w:w="728" w:type="dxa"/>
            <w:vAlign w:val="center"/>
          </w:tcPr>
          <w:p w14:paraId="770BDD3C">
            <w:pPr>
              <w:autoSpaceDE w:val="0"/>
              <w:autoSpaceDN w:val="0"/>
              <w:adjustRightInd w:val="0"/>
              <w:snapToGrid w:val="0"/>
              <w:jc w:val="center"/>
              <w:rPr>
                <w:rFonts w:ascii="宋体" w:hAnsi="宋体"/>
                <w:color w:val="auto"/>
                <w:kern w:val="0"/>
                <w:sz w:val="24"/>
              </w:rPr>
            </w:pPr>
          </w:p>
        </w:tc>
        <w:tc>
          <w:tcPr>
            <w:tcW w:w="799" w:type="dxa"/>
            <w:vAlign w:val="center"/>
          </w:tcPr>
          <w:p w14:paraId="2E78FA11">
            <w:pPr>
              <w:autoSpaceDE w:val="0"/>
              <w:autoSpaceDN w:val="0"/>
              <w:adjustRightInd w:val="0"/>
              <w:snapToGrid w:val="0"/>
              <w:jc w:val="center"/>
              <w:rPr>
                <w:rFonts w:ascii="宋体" w:hAnsi="宋体"/>
                <w:color w:val="auto"/>
                <w:kern w:val="0"/>
                <w:sz w:val="24"/>
              </w:rPr>
            </w:pPr>
          </w:p>
        </w:tc>
        <w:tc>
          <w:tcPr>
            <w:tcW w:w="1312" w:type="dxa"/>
            <w:vAlign w:val="center"/>
          </w:tcPr>
          <w:p w14:paraId="78CC3AD7">
            <w:pPr>
              <w:autoSpaceDE w:val="0"/>
              <w:autoSpaceDN w:val="0"/>
              <w:adjustRightInd w:val="0"/>
              <w:snapToGrid w:val="0"/>
              <w:jc w:val="center"/>
              <w:rPr>
                <w:rFonts w:ascii="宋体" w:hAnsi="宋体"/>
                <w:color w:val="auto"/>
                <w:kern w:val="0"/>
                <w:sz w:val="24"/>
              </w:rPr>
            </w:pPr>
          </w:p>
        </w:tc>
        <w:tc>
          <w:tcPr>
            <w:tcW w:w="947" w:type="dxa"/>
            <w:vAlign w:val="center"/>
          </w:tcPr>
          <w:p w14:paraId="68678347">
            <w:pPr>
              <w:autoSpaceDE w:val="0"/>
              <w:autoSpaceDN w:val="0"/>
              <w:adjustRightInd w:val="0"/>
              <w:snapToGrid w:val="0"/>
              <w:jc w:val="center"/>
              <w:rPr>
                <w:rFonts w:ascii="宋体" w:hAnsi="宋体"/>
                <w:color w:val="auto"/>
                <w:kern w:val="0"/>
                <w:sz w:val="24"/>
              </w:rPr>
            </w:pPr>
          </w:p>
        </w:tc>
        <w:tc>
          <w:tcPr>
            <w:tcW w:w="1141" w:type="dxa"/>
            <w:vAlign w:val="center"/>
          </w:tcPr>
          <w:p w14:paraId="475874D1">
            <w:pPr>
              <w:autoSpaceDE w:val="0"/>
              <w:autoSpaceDN w:val="0"/>
              <w:adjustRightInd w:val="0"/>
              <w:snapToGrid w:val="0"/>
              <w:jc w:val="center"/>
              <w:rPr>
                <w:rFonts w:ascii="宋体" w:hAnsi="宋体"/>
                <w:color w:val="auto"/>
                <w:kern w:val="0"/>
                <w:sz w:val="24"/>
              </w:rPr>
            </w:pPr>
          </w:p>
        </w:tc>
        <w:tc>
          <w:tcPr>
            <w:tcW w:w="749" w:type="dxa"/>
            <w:vAlign w:val="center"/>
          </w:tcPr>
          <w:p w14:paraId="76413B8D">
            <w:pPr>
              <w:autoSpaceDE w:val="0"/>
              <w:autoSpaceDN w:val="0"/>
              <w:adjustRightInd w:val="0"/>
              <w:snapToGrid w:val="0"/>
              <w:jc w:val="center"/>
              <w:rPr>
                <w:rFonts w:ascii="宋体" w:hAnsi="宋体"/>
                <w:color w:val="auto"/>
                <w:kern w:val="0"/>
                <w:sz w:val="24"/>
              </w:rPr>
            </w:pPr>
          </w:p>
        </w:tc>
      </w:tr>
      <w:tr w14:paraId="265EA0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9DF53B5">
            <w:pPr>
              <w:autoSpaceDE w:val="0"/>
              <w:autoSpaceDN w:val="0"/>
              <w:adjustRightInd w:val="0"/>
              <w:snapToGrid w:val="0"/>
              <w:jc w:val="center"/>
              <w:rPr>
                <w:rFonts w:ascii="宋体" w:hAnsi="宋体"/>
                <w:color w:val="auto"/>
                <w:kern w:val="0"/>
                <w:sz w:val="24"/>
              </w:rPr>
            </w:pPr>
          </w:p>
        </w:tc>
        <w:tc>
          <w:tcPr>
            <w:tcW w:w="1176" w:type="dxa"/>
            <w:vAlign w:val="center"/>
          </w:tcPr>
          <w:p w14:paraId="22D5378E">
            <w:pPr>
              <w:autoSpaceDE w:val="0"/>
              <w:autoSpaceDN w:val="0"/>
              <w:adjustRightInd w:val="0"/>
              <w:snapToGrid w:val="0"/>
              <w:jc w:val="center"/>
              <w:rPr>
                <w:rFonts w:ascii="宋体" w:hAnsi="宋体"/>
                <w:color w:val="auto"/>
                <w:kern w:val="0"/>
                <w:sz w:val="24"/>
              </w:rPr>
            </w:pPr>
          </w:p>
        </w:tc>
        <w:tc>
          <w:tcPr>
            <w:tcW w:w="824" w:type="dxa"/>
            <w:vAlign w:val="center"/>
          </w:tcPr>
          <w:p w14:paraId="5FFE6559">
            <w:pPr>
              <w:autoSpaceDE w:val="0"/>
              <w:autoSpaceDN w:val="0"/>
              <w:adjustRightInd w:val="0"/>
              <w:snapToGrid w:val="0"/>
              <w:jc w:val="center"/>
              <w:rPr>
                <w:rFonts w:ascii="宋体" w:hAnsi="宋体"/>
                <w:color w:val="auto"/>
                <w:kern w:val="0"/>
                <w:sz w:val="24"/>
              </w:rPr>
            </w:pPr>
          </w:p>
        </w:tc>
        <w:tc>
          <w:tcPr>
            <w:tcW w:w="1072" w:type="dxa"/>
            <w:vAlign w:val="center"/>
          </w:tcPr>
          <w:p w14:paraId="5F5A9895">
            <w:pPr>
              <w:autoSpaceDE w:val="0"/>
              <w:autoSpaceDN w:val="0"/>
              <w:adjustRightInd w:val="0"/>
              <w:snapToGrid w:val="0"/>
              <w:jc w:val="center"/>
              <w:rPr>
                <w:rFonts w:ascii="宋体" w:hAnsi="宋体"/>
                <w:color w:val="auto"/>
                <w:kern w:val="0"/>
                <w:sz w:val="24"/>
              </w:rPr>
            </w:pPr>
          </w:p>
        </w:tc>
        <w:tc>
          <w:tcPr>
            <w:tcW w:w="728" w:type="dxa"/>
            <w:vAlign w:val="center"/>
          </w:tcPr>
          <w:p w14:paraId="5BDE09E3">
            <w:pPr>
              <w:autoSpaceDE w:val="0"/>
              <w:autoSpaceDN w:val="0"/>
              <w:adjustRightInd w:val="0"/>
              <w:snapToGrid w:val="0"/>
              <w:jc w:val="center"/>
              <w:rPr>
                <w:rFonts w:ascii="宋体" w:hAnsi="宋体"/>
                <w:color w:val="auto"/>
                <w:kern w:val="0"/>
                <w:sz w:val="24"/>
              </w:rPr>
            </w:pPr>
          </w:p>
        </w:tc>
        <w:tc>
          <w:tcPr>
            <w:tcW w:w="799" w:type="dxa"/>
            <w:vAlign w:val="center"/>
          </w:tcPr>
          <w:p w14:paraId="0940A82B">
            <w:pPr>
              <w:autoSpaceDE w:val="0"/>
              <w:autoSpaceDN w:val="0"/>
              <w:adjustRightInd w:val="0"/>
              <w:snapToGrid w:val="0"/>
              <w:jc w:val="center"/>
              <w:rPr>
                <w:rFonts w:ascii="宋体" w:hAnsi="宋体"/>
                <w:color w:val="auto"/>
                <w:kern w:val="0"/>
                <w:sz w:val="24"/>
              </w:rPr>
            </w:pPr>
          </w:p>
        </w:tc>
        <w:tc>
          <w:tcPr>
            <w:tcW w:w="1312" w:type="dxa"/>
            <w:vAlign w:val="center"/>
          </w:tcPr>
          <w:p w14:paraId="1805F719">
            <w:pPr>
              <w:autoSpaceDE w:val="0"/>
              <w:autoSpaceDN w:val="0"/>
              <w:adjustRightInd w:val="0"/>
              <w:snapToGrid w:val="0"/>
              <w:jc w:val="center"/>
              <w:rPr>
                <w:rFonts w:ascii="宋体" w:hAnsi="宋体"/>
                <w:color w:val="auto"/>
                <w:kern w:val="0"/>
                <w:sz w:val="24"/>
              </w:rPr>
            </w:pPr>
          </w:p>
        </w:tc>
        <w:tc>
          <w:tcPr>
            <w:tcW w:w="947" w:type="dxa"/>
            <w:vAlign w:val="center"/>
          </w:tcPr>
          <w:p w14:paraId="6C98374F">
            <w:pPr>
              <w:autoSpaceDE w:val="0"/>
              <w:autoSpaceDN w:val="0"/>
              <w:adjustRightInd w:val="0"/>
              <w:snapToGrid w:val="0"/>
              <w:jc w:val="center"/>
              <w:rPr>
                <w:rFonts w:ascii="宋体" w:hAnsi="宋体"/>
                <w:color w:val="auto"/>
                <w:kern w:val="0"/>
                <w:sz w:val="24"/>
              </w:rPr>
            </w:pPr>
          </w:p>
        </w:tc>
        <w:tc>
          <w:tcPr>
            <w:tcW w:w="1141" w:type="dxa"/>
            <w:vAlign w:val="center"/>
          </w:tcPr>
          <w:p w14:paraId="0ED004A1">
            <w:pPr>
              <w:autoSpaceDE w:val="0"/>
              <w:autoSpaceDN w:val="0"/>
              <w:adjustRightInd w:val="0"/>
              <w:snapToGrid w:val="0"/>
              <w:jc w:val="center"/>
              <w:rPr>
                <w:rFonts w:ascii="宋体" w:hAnsi="宋体"/>
                <w:color w:val="auto"/>
                <w:kern w:val="0"/>
                <w:sz w:val="24"/>
              </w:rPr>
            </w:pPr>
          </w:p>
        </w:tc>
        <w:tc>
          <w:tcPr>
            <w:tcW w:w="749" w:type="dxa"/>
            <w:vAlign w:val="center"/>
          </w:tcPr>
          <w:p w14:paraId="03ABD4FB">
            <w:pPr>
              <w:autoSpaceDE w:val="0"/>
              <w:autoSpaceDN w:val="0"/>
              <w:adjustRightInd w:val="0"/>
              <w:snapToGrid w:val="0"/>
              <w:jc w:val="center"/>
              <w:rPr>
                <w:rFonts w:ascii="宋体" w:hAnsi="宋体"/>
                <w:color w:val="auto"/>
                <w:kern w:val="0"/>
                <w:sz w:val="24"/>
              </w:rPr>
            </w:pPr>
          </w:p>
        </w:tc>
      </w:tr>
      <w:tr w14:paraId="1313FC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462295D">
            <w:pPr>
              <w:autoSpaceDE w:val="0"/>
              <w:autoSpaceDN w:val="0"/>
              <w:adjustRightInd w:val="0"/>
              <w:snapToGrid w:val="0"/>
              <w:jc w:val="center"/>
              <w:rPr>
                <w:rFonts w:ascii="宋体" w:hAnsi="宋体"/>
                <w:color w:val="auto"/>
                <w:kern w:val="0"/>
                <w:sz w:val="24"/>
              </w:rPr>
            </w:pPr>
          </w:p>
        </w:tc>
        <w:tc>
          <w:tcPr>
            <w:tcW w:w="1176" w:type="dxa"/>
            <w:vAlign w:val="center"/>
          </w:tcPr>
          <w:p w14:paraId="57AE7E4D">
            <w:pPr>
              <w:autoSpaceDE w:val="0"/>
              <w:autoSpaceDN w:val="0"/>
              <w:adjustRightInd w:val="0"/>
              <w:snapToGrid w:val="0"/>
              <w:jc w:val="center"/>
              <w:rPr>
                <w:rFonts w:ascii="宋体" w:hAnsi="宋体"/>
                <w:color w:val="auto"/>
                <w:kern w:val="0"/>
                <w:sz w:val="24"/>
              </w:rPr>
            </w:pPr>
          </w:p>
        </w:tc>
        <w:tc>
          <w:tcPr>
            <w:tcW w:w="824" w:type="dxa"/>
            <w:vAlign w:val="center"/>
          </w:tcPr>
          <w:p w14:paraId="36EBFE9B">
            <w:pPr>
              <w:autoSpaceDE w:val="0"/>
              <w:autoSpaceDN w:val="0"/>
              <w:adjustRightInd w:val="0"/>
              <w:snapToGrid w:val="0"/>
              <w:jc w:val="center"/>
              <w:rPr>
                <w:rFonts w:ascii="宋体" w:hAnsi="宋体"/>
                <w:color w:val="auto"/>
                <w:kern w:val="0"/>
                <w:sz w:val="24"/>
              </w:rPr>
            </w:pPr>
          </w:p>
        </w:tc>
        <w:tc>
          <w:tcPr>
            <w:tcW w:w="1072" w:type="dxa"/>
            <w:vAlign w:val="center"/>
          </w:tcPr>
          <w:p w14:paraId="2F91E274">
            <w:pPr>
              <w:autoSpaceDE w:val="0"/>
              <w:autoSpaceDN w:val="0"/>
              <w:adjustRightInd w:val="0"/>
              <w:snapToGrid w:val="0"/>
              <w:jc w:val="center"/>
              <w:rPr>
                <w:rFonts w:ascii="宋体" w:hAnsi="宋体"/>
                <w:color w:val="auto"/>
                <w:kern w:val="0"/>
                <w:sz w:val="24"/>
              </w:rPr>
            </w:pPr>
          </w:p>
        </w:tc>
        <w:tc>
          <w:tcPr>
            <w:tcW w:w="728" w:type="dxa"/>
            <w:vAlign w:val="center"/>
          </w:tcPr>
          <w:p w14:paraId="17863653">
            <w:pPr>
              <w:autoSpaceDE w:val="0"/>
              <w:autoSpaceDN w:val="0"/>
              <w:adjustRightInd w:val="0"/>
              <w:snapToGrid w:val="0"/>
              <w:jc w:val="center"/>
              <w:rPr>
                <w:rFonts w:ascii="宋体" w:hAnsi="宋体"/>
                <w:color w:val="auto"/>
                <w:kern w:val="0"/>
                <w:sz w:val="24"/>
              </w:rPr>
            </w:pPr>
          </w:p>
        </w:tc>
        <w:tc>
          <w:tcPr>
            <w:tcW w:w="799" w:type="dxa"/>
            <w:vAlign w:val="center"/>
          </w:tcPr>
          <w:p w14:paraId="79FDC835">
            <w:pPr>
              <w:autoSpaceDE w:val="0"/>
              <w:autoSpaceDN w:val="0"/>
              <w:adjustRightInd w:val="0"/>
              <w:snapToGrid w:val="0"/>
              <w:jc w:val="center"/>
              <w:rPr>
                <w:rFonts w:ascii="宋体" w:hAnsi="宋体"/>
                <w:color w:val="auto"/>
                <w:kern w:val="0"/>
                <w:sz w:val="24"/>
              </w:rPr>
            </w:pPr>
          </w:p>
        </w:tc>
        <w:tc>
          <w:tcPr>
            <w:tcW w:w="1312" w:type="dxa"/>
            <w:vAlign w:val="center"/>
          </w:tcPr>
          <w:p w14:paraId="0E27587B">
            <w:pPr>
              <w:autoSpaceDE w:val="0"/>
              <w:autoSpaceDN w:val="0"/>
              <w:adjustRightInd w:val="0"/>
              <w:snapToGrid w:val="0"/>
              <w:jc w:val="center"/>
              <w:rPr>
                <w:rFonts w:ascii="宋体" w:hAnsi="宋体"/>
                <w:color w:val="auto"/>
                <w:kern w:val="0"/>
                <w:sz w:val="24"/>
              </w:rPr>
            </w:pPr>
          </w:p>
        </w:tc>
        <w:tc>
          <w:tcPr>
            <w:tcW w:w="947" w:type="dxa"/>
            <w:vAlign w:val="center"/>
          </w:tcPr>
          <w:p w14:paraId="3C9EB80F">
            <w:pPr>
              <w:autoSpaceDE w:val="0"/>
              <w:autoSpaceDN w:val="0"/>
              <w:adjustRightInd w:val="0"/>
              <w:snapToGrid w:val="0"/>
              <w:jc w:val="center"/>
              <w:rPr>
                <w:rFonts w:ascii="宋体" w:hAnsi="宋体"/>
                <w:color w:val="auto"/>
                <w:kern w:val="0"/>
                <w:sz w:val="24"/>
              </w:rPr>
            </w:pPr>
          </w:p>
        </w:tc>
        <w:tc>
          <w:tcPr>
            <w:tcW w:w="1141" w:type="dxa"/>
            <w:vAlign w:val="center"/>
          </w:tcPr>
          <w:p w14:paraId="6BFBA1C8">
            <w:pPr>
              <w:autoSpaceDE w:val="0"/>
              <w:autoSpaceDN w:val="0"/>
              <w:adjustRightInd w:val="0"/>
              <w:snapToGrid w:val="0"/>
              <w:jc w:val="center"/>
              <w:rPr>
                <w:rFonts w:ascii="宋体" w:hAnsi="宋体"/>
                <w:color w:val="auto"/>
                <w:kern w:val="0"/>
                <w:sz w:val="24"/>
              </w:rPr>
            </w:pPr>
          </w:p>
        </w:tc>
        <w:tc>
          <w:tcPr>
            <w:tcW w:w="749" w:type="dxa"/>
            <w:vAlign w:val="center"/>
          </w:tcPr>
          <w:p w14:paraId="7BB53627">
            <w:pPr>
              <w:autoSpaceDE w:val="0"/>
              <w:autoSpaceDN w:val="0"/>
              <w:adjustRightInd w:val="0"/>
              <w:snapToGrid w:val="0"/>
              <w:jc w:val="center"/>
              <w:rPr>
                <w:rFonts w:ascii="宋体" w:hAnsi="宋体"/>
                <w:color w:val="auto"/>
                <w:kern w:val="0"/>
                <w:sz w:val="24"/>
              </w:rPr>
            </w:pPr>
          </w:p>
        </w:tc>
      </w:tr>
      <w:tr w14:paraId="516999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6680C56">
            <w:pPr>
              <w:autoSpaceDE w:val="0"/>
              <w:autoSpaceDN w:val="0"/>
              <w:adjustRightInd w:val="0"/>
              <w:snapToGrid w:val="0"/>
              <w:jc w:val="center"/>
              <w:rPr>
                <w:rFonts w:ascii="宋体" w:hAnsi="宋体"/>
                <w:color w:val="auto"/>
                <w:kern w:val="0"/>
                <w:sz w:val="24"/>
              </w:rPr>
            </w:pPr>
          </w:p>
        </w:tc>
        <w:tc>
          <w:tcPr>
            <w:tcW w:w="1176" w:type="dxa"/>
            <w:vAlign w:val="center"/>
          </w:tcPr>
          <w:p w14:paraId="764FDE50">
            <w:pPr>
              <w:autoSpaceDE w:val="0"/>
              <w:autoSpaceDN w:val="0"/>
              <w:adjustRightInd w:val="0"/>
              <w:snapToGrid w:val="0"/>
              <w:jc w:val="center"/>
              <w:rPr>
                <w:rFonts w:ascii="宋体" w:hAnsi="宋体"/>
                <w:color w:val="auto"/>
                <w:kern w:val="0"/>
                <w:sz w:val="24"/>
              </w:rPr>
            </w:pPr>
          </w:p>
        </w:tc>
        <w:tc>
          <w:tcPr>
            <w:tcW w:w="824" w:type="dxa"/>
            <w:vAlign w:val="center"/>
          </w:tcPr>
          <w:p w14:paraId="745F6B2C">
            <w:pPr>
              <w:autoSpaceDE w:val="0"/>
              <w:autoSpaceDN w:val="0"/>
              <w:adjustRightInd w:val="0"/>
              <w:snapToGrid w:val="0"/>
              <w:jc w:val="center"/>
              <w:rPr>
                <w:rFonts w:ascii="宋体" w:hAnsi="宋体"/>
                <w:color w:val="auto"/>
                <w:kern w:val="0"/>
                <w:sz w:val="24"/>
              </w:rPr>
            </w:pPr>
          </w:p>
        </w:tc>
        <w:tc>
          <w:tcPr>
            <w:tcW w:w="1072" w:type="dxa"/>
            <w:vAlign w:val="center"/>
          </w:tcPr>
          <w:p w14:paraId="5FCA309E">
            <w:pPr>
              <w:autoSpaceDE w:val="0"/>
              <w:autoSpaceDN w:val="0"/>
              <w:adjustRightInd w:val="0"/>
              <w:snapToGrid w:val="0"/>
              <w:jc w:val="center"/>
              <w:rPr>
                <w:rFonts w:ascii="宋体" w:hAnsi="宋体"/>
                <w:color w:val="auto"/>
                <w:kern w:val="0"/>
                <w:sz w:val="24"/>
              </w:rPr>
            </w:pPr>
          </w:p>
        </w:tc>
        <w:tc>
          <w:tcPr>
            <w:tcW w:w="728" w:type="dxa"/>
            <w:vAlign w:val="center"/>
          </w:tcPr>
          <w:p w14:paraId="40DDBDB3">
            <w:pPr>
              <w:autoSpaceDE w:val="0"/>
              <w:autoSpaceDN w:val="0"/>
              <w:adjustRightInd w:val="0"/>
              <w:snapToGrid w:val="0"/>
              <w:jc w:val="center"/>
              <w:rPr>
                <w:rFonts w:ascii="宋体" w:hAnsi="宋体"/>
                <w:color w:val="auto"/>
                <w:kern w:val="0"/>
                <w:sz w:val="24"/>
              </w:rPr>
            </w:pPr>
          </w:p>
        </w:tc>
        <w:tc>
          <w:tcPr>
            <w:tcW w:w="799" w:type="dxa"/>
            <w:vAlign w:val="center"/>
          </w:tcPr>
          <w:p w14:paraId="2F23F259">
            <w:pPr>
              <w:autoSpaceDE w:val="0"/>
              <w:autoSpaceDN w:val="0"/>
              <w:adjustRightInd w:val="0"/>
              <w:snapToGrid w:val="0"/>
              <w:jc w:val="center"/>
              <w:rPr>
                <w:rFonts w:ascii="宋体" w:hAnsi="宋体"/>
                <w:color w:val="auto"/>
                <w:kern w:val="0"/>
                <w:sz w:val="24"/>
              </w:rPr>
            </w:pPr>
          </w:p>
        </w:tc>
        <w:tc>
          <w:tcPr>
            <w:tcW w:w="1312" w:type="dxa"/>
            <w:vAlign w:val="center"/>
          </w:tcPr>
          <w:p w14:paraId="494317CE">
            <w:pPr>
              <w:autoSpaceDE w:val="0"/>
              <w:autoSpaceDN w:val="0"/>
              <w:adjustRightInd w:val="0"/>
              <w:snapToGrid w:val="0"/>
              <w:jc w:val="center"/>
              <w:rPr>
                <w:rFonts w:ascii="宋体" w:hAnsi="宋体"/>
                <w:color w:val="auto"/>
                <w:kern w:val="0"/>
                <w:sz w:val="24"/>
              </w:rPr>
            </w:pPr>
          </w:p>
        </w:tc>
        <w:tc>
          <w:tcPr>
            <w:tcW w:w="947" w:type="dxa"/>
            <w:vAlign w:val="center"/>
          </w:tcPr>
          <w:p w14:paraId="74B0C0D6">
            <w:pPr>
              <w:autoSpaceDE w:val="0"/>
              <w:autoSpaceDN w:val="0"/>
              <w:adjustRightInd w:val="0"/>
              <w:snapToGrid w:val="0"/>
              <w:jc w:val="center"/>
              <w:rPr>
                <w:rFonts w:ascii="宋体" w:hAnsi="宋体"/>
                <w:color w:val="auto"/>
                <w:kern w:val="0"/>
                <w:sz w:val="24"/>
              </w:rPr>
            </w:pPr>
          </w:p>
        </w:tc>
        <w:tc>
          <w:tcPr>
            <w:tcW w:w="1141" w:type="dxa"/>
            <w:vAlign w:val="center"/>
          </w:tcPr>
          <w:p w14:paraId="0ADC2725">
            <w:pPr>
              <w:autoSpaceDE w:val="0"/>
              <w:autoSpaceDN w:val="0"/>
              <w:adjustRightInd w:val="0"/>
              <w:snapToGrid w:val="0"/>
              <w:jc w:val="center"/>
              <w:rPr>
                <w:rFonts w:ascii="宋体" w:hAnsi="宋体"/>
                <w:color w:val="auto"/>
                <w:kern w:val="0"/>
                <w:sz w:val="24"/>
              </w:rPr>
            </w:pPr>
          </w:p>
        </w:tc>
        <w:tc>
          <w:tcPr>
            <w:tcW w:w="749" w:type="dxa"/>
            <w:vAlign w:val="center"/>
          </w:tcPr>
          <w:p w14:paraId="428B66E8">
            <w:pPr>
              <w:autoSpaceDE w:val="0"/>
              <w:autoSpaceDN w:val="0"/>
              <w:adjustRightInd w:val="0"/>
              <w:snapToGrid w:val="0"/>
              <w:jc w:val="center"/>
              <w:rPr>
                <w:rFonts w:ascii="宋体" w:hAnsi="宋体"/>
                <w:color w:val="auto"/>
                <w:kern w:val="0"/>
                <w:sz w:val="24"/>
              </w:rPr>
            </w:pPr>
          </w:p>
        </w:tc>
      </w:tr>
      <w:tr w14:paraId="47B1E3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5E754ED">
            <w:pPr>
              <w:autoSpaceDE w:val="0"/>
              <w:autoSpaceDN w:val="0"/>
              <w:adjustRightInd w:val="0"/>
              <w:snapToGrid w:val="0"/>
              <w:jc w:val="center"/>
              <w:rPr>
                <w:rFonts w:ascii="宋体" w:hAnsi="宋体"/>
                <w:color w:val="auto"/>
                <w:kern w:val="0"/>
                <w:sz w:val="24"/>
              </w:rPr>
            </w:pPr>
          </w:p>
        </w:tc>
        <w:tc>
          <w:tcPr>
            <w:tcW w:w="1176" w:type="dxa"/>
            <w:vAlign w:val="center"/>
          </w:tcPr>
          <w:p w14:paraId="081BCBAF">
            <w:pPr>
              <w:autoSpaceDE w:val="0"/>
              <w:autoSpaceDN w:val="0"/>
              <w:adjustRightInd w:val="0"/>
              <w:snapToGrid w:val="0"/>
              <w:jc w:val="center"/>
              <w:rPr>
                <w:rFonts w:ascii="宋体" w:hAnsi="宋体"/>
                <w:color w:val="auto"/>
                <w:kern w:val="0"/>
                <w:sz w:val="24"/>
              </w:rPr>
            </w:pPr>
          </w:p>
        </w:tc>
        <w:tc>
          <w:tcPr>
            <w:tcW w:w="824" w:type="dxa"/>
            <w:vAlign w:val="center"/>
          </w:tcPr>
          <w:p w14:paraId="358CE313">
            <w:pPr>
              <w:autoSpaceDE w:val="0"/>
              <w:autoSpaceDN w:val="0"/>
              <w:adjustRightInd w:val="0"/>
              <w:snapToGrid w:val="0"/>
              <w:jc w:val="center"/>
              <w:rPr>
                <w:rFonts w:ascii="宋体" w:hAnsi="宋体"/>
                <w:color w:val="auto"/>
                <w:kern w:val="0"/>
                <w:sz w:val="24"/>
              </w:rPr>
            </w:pPr>
          </w:p>
        </w:tc>
        <w:tc>
          <w:tcPr>
            <w:tcW w:w="1072" w:type="dxa"/>
            <w:vAlign w:val="center"/>
          </w:tcPr>
          <w:p w14:paraId="101E11C7">
            <w:pPr>
              <w:autoSpaceDE w:val="0"/>
              <w:autoSpaceDN w:val="0"/>
              <w:adjustRightInd w:val="0"/>
              <w:snapToGrid w:val="0"/>
              <w:jc w:val="center"/>
              <w:rPr>
                <w:rFonts w:ascii="宋体" w:hAnsi="宋体"/>
                <w:color w:val="auto"/>
                <w:kern w:val="0"/>
                <w:sz w:val="24"/>
              </w:rPr>
            </w:pPr>
          </w:p>
        </w:tc>
        <w:tc>
          <w:tcPr>
            <w:tcW w:w="728" w:type="dxa"/>
            <w:vAlign w:val="center"/>
          </w:tcPr>
          <w:p w14:paraId="57A3BEB6">
            <w:pPr>
              <w:autoSpaceDE w:val="0"/>
              <w:autoSpaceDN w:val="0"/>
              <w:adjustRightInd w:val="0"/>
              <w:snapToGrid w:val="0"/>
              <w:jc w:val="center"/>
              <w:rPr>
                <w:rFonts w:ascii="宋体" w:hAnsi="宋体"/>
                <w:color w:val="auto"/>
                <w:kern w:val="0"/>
                <w:sz w:val="24"/>
              </w:rPr>
            </w:pPr>
          </w:p>
        </w:tc>
        <w:tc>
          <w:tcPr>
            <w:tcW w:w="799" w:type="dxa"/>
            <w:vAlign w:val="center"/>
          </w:tcPr>
          <w:p w14:paraId="6684A21D">
            <w:pPr>
              <w:autoSpaceDE w:val="0"/>
              <w:autoSpaceDN w:val="0"/>
              <w:adjustRightInd w:val="0"/>
              <w:snapToGrid w:val="0"/>
              <w:jc w:val="center"/>
              <w:rPr>
                <w:rFonts w:ascii="宋体" w:hAnsi="宋体"/>
                <w:color w:val="auto"/>
                <w:kern w:val="0"/>
                <w:sz w:val="24"/>
              </w:rPr>
            </w:pPr>
          </w:p>
        </w:tc>
        <w:tc>
          <w:tcPr>
            <w:tcW w:w="1312" w:type="dxa"/>
            <w:vAlign w:val="center"/>
          </w:tcPr>
          <w:p w14:paraId="54BB6FFE">
            <w:pPr>
              <w:autoSpaceDE w:val="0"/>
              <w:autoSpaceDN w:val="0"/>
              <w:adjustRightInd w:val="0"/>
              <w:snapToGrid w:val="0"/>
              <w:jc w:val="center"/>
              <w:rPr>
                <w:rFonts w:ascii="宋体" w:hAnsi="宋体"/>
                <w:color w:val="auto"/>
                <w:kern w:val="0"/>
                <w:sz w:val="24"/>
              </w:rPr>
            </w:pPr>
          </w:p>
        </w:tc>
        <w:tc>
          <w:tcPr>
            <w:tcW w:w="947" w:type="dxa"/>
            <w:vAlign w:val="center"/>
          </w:tcPr>
          <w:p w14:paraId="65862F13">
            <w:pPr>
              <w:autoSpaceDE w:val="0"/>
              <w:autoSpaceDN w:val="0"/>
              <w:adjustRightInd w:val="0"/>
              <w:snapToGrid w:val="0"/>
              <w:jc w:val="center"/>
              <w:rPr>
                <w:rFonts w:ascii="宋体" w:hAnsi="宋体"/>
                <w:color w:val="auto"/>
                <w:kern w:val="0"/>
                <w:sz w:val="24"/>
              </w:rPr>
            </w:pPr>
          </w:p>
        </w:tc>
        <w:tc>
          <w:tcPr>
            <w:tcW w:w="1141" w:type="dxa"/>
            <w:vAlign w:val="center"/>
          </w:tcPr>
          <w:p w14:paraId="723E152B">
            <w:pPr>
              <w:autoSpaceDE w:val="0"/>
              <w:autoSpaceDN w:val="0"/>
              <w:adjustRightInd w:val="0"/>
              <w:snapToGrid w:val="0"/>
              <w:jc w:val="center"/>
              <w:rPr>
                <w:rFonts w:ascii="宋体" w:hAnsi="宋体"/>
                <w:color w:val="auto"/>
                <w:kern w:val="0"/>
                <w:sz w:val="24"/>
              </w:rPr>
            </w:pPr>
          </w:p>
        </w:tc>
        <w:tc>
          <w:tcPr>
            <w:tcW w:w="749" w:type="dxa"/>
            <w:vAlign w:val="center"/>
          </w:tcPr>
          <w:p w14:paraId="049F5CF5">
            <w:pPr>
              <w:autoSpaceDE w:val="0"/>
              <w:autoSpaceDN w:val="0"/>
              <w:adjustRightInd w:val="0"/>
              <w:snapToGrid w:val="0"/>
              <w:jc w:val="center"/>
              <w:rPr>
                <w:rFonts w:ascii="宋体" w:hAnsi="宋体"/>
                <w:color w:val="auto"/>
                <w:kern w:val="0"/>
                <w:sz w:val="24"/>
              </w:rPr>
            </w:pPr>
          </w:p>
        </w:tc>
      </w:tr>
      <w:tr w14:paraId="36AEDE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30389CD">
            <w:pPr>
              <w:autoSpaceDE w:val="0"/>
              <w:autoSpaceDN w:val="0"/>
              <w:adjustRightInd w:val="0"/>
              <w:snapToGrid w:val="0"/>
              <w:jc w:val="center"/>
              <w:rPr>
                <w:rFonts w:ascii="宋体" w:hAnsi="宋体"/>
                <w:color w:val="auto"/>
                <w:kern w:val="0"/>
                <w:sz w:val="24"/>
              </w:rPr>
            </w:pPr>
          </w:p>
        </w:tc>
        <w:tc>
          <w:tcPr>
            <w:tcW w:w="1176" w:type="dxa"/>
            <w:vAlign w:val="center"/>
          </w:tcPr>
          <w:p w14:paraId="299BE1B8">
            <w:pPr>
              <w:autoSpaceDE w:val="0"/>
              <w:autoSpaceDN w:val="0"/>
              <w:adjustRightInd w:val="0"/>
              <w:snapToGrid w:val="0"/>
              <w:jc w:val="center"/>
              <w:rPr>
                <w:rFonts w:ascii="宋体" w:hAnsi="宋体"/>
                <w:color w:val="auto"/>
                <w:kern w:val="0"/>
                <w:sz w:val="24"/>
              </w:rPr>
            </w:pPr>
          </w:p>
        </w:tc>
        <w:tc>
          <w:tcPr>
            <w:tcW w:w="824" w:type="dxa"/>
            <w:vAlign w:val="center"/>
          </w:tcPr>
          <w:p w14:paraId="6C6251FB">
            <w:pPr>
              <w:autoSpaceDE w:val="0"/>
              <w:autoSpaceDN w:val="0"/>
              <w:adjustRightInd w:val="0"/>
              <w:snapToGrid w:val="0"/>
              <w:jc w:val="center"/>
              <w:rPr>
                <w:rFonts w:ascii="宋体" w:hAnsi="宋体"/>
                <w:color w:val="auto"/>
                <w:kern w:val="0"/>
                <w:sz w:val="24"/>
              </w:rPr>
            </w:pPr>
          </w:p>
        </w:tc>
        <w:tc>
          <w:tcPr>
            <w:tcW w:w="1072" w:type="dxa"/>
            <w:vAlign w:val="center"/>
          </w:tcPr>
          <w:p w14:paraId="21009945">
            <w:pPr>
              <w:autoSpaceDE w:val="0"/>
              <w:autoSpaceDN w:val="0"/>
              <w:adjustRightInd w:val="0"/>
              <w:snapToGrid w:val="0"/>
              <w:jc w:val="center"/>
              <w:rPr>
                <w:rFonts w:ascii="宋体" w:hAnsi="宋体"/>
                <w:color w:val="auto"/>
                <w:kern w:val="0"/>
                <w:sz w:val="24"/>
              </w:rPr>
            </w:pPr>
          </w:p>
        </w:tc>
        <w:tc>
          <w:tcPr>
            <w:tcW w:w="728" w:type="dxa"/>
            <w:vAlign w:val="center"/>
          </w:tcPr>
          <w:p w14:paraId="1C4622F2">
            <w:pPr>
              <w:autoSpaceDE w:val="0"/>
              <w:autoSpaceDN w:val="0"/>
              <w:adjustRightInd w:val="0"/>
              <w:snapToGrid w:val="0"/>
              <w:jc w:val="center"/>
              <w:rPr>
                <w:rFonts w:ascii="宋体" w:hAnsi="宋体"/>
                <w:color w:val="auto"/>
                <w:kern w:val="0"/>
                <w:sz w:val="24"/>
              </w:rPr>
            </w:pPr>
          </w:p>
        </w:tc>
        <w:tc>
          <w:tcPr>
            <w:tcW w:w="799" w:type="dxa"/>
            <w:vAlign w:val="center"/>
          </w:tcPr>
          <w:p w14:paraId="73B987DE">
            <w:pPr>
              <w:autoSpaceDE w:val="0"/>
              <w:autoSpaceDN w:val="0"/>
              <w:adjustRightInd w:val="0"/>
              <w:snapToGrid w:val="0"/>
              <w:jc w:val="center"/>
              <w:rPr>
                <w:rFonts w:ascii="宋体" w:hAnsi="宋体"/>
                <w:color w:val="auto"/>
                <w:kern w:val="0"/>
                <w:sz w:val="24"/>
              </w:rPr>
            </w:pPr>
          </w:p>
        </w:tc>
        <w:tc>
          <w:tcPr>
            <w:tcW w:w="1312" w:type="dxa"/>
            <w:vAlign w:val="center"/>
          </w:tcPr>
          <w:p w14:paraId="392E5E0F">
            <w:pPr>
              <w:autoSpaceDE w:val="0"/>
              <w:autoSpaceDN w:val="0"/>
              <w:adjustRightInd w:val="0"/>
              <w:snapToGrid w:val="0"/>
              <w:jc w:val="center"/>
              <w:rPr>
                <w:rFonts w:ascii="宋体" w:hAnsi="宋体"/>
                <w:color w:val="auto"/>
                <w:kern w:val="0"/>
                <w:sz w:val="24"/>
              </w:rPr>
            </w:pPr>
          </w:p>
        </w:tc>
        <w:tc>
          <w:tcPr>
            <w:tcW w:w="947" w:type="dxa"/>
            <w:vAlign w:val="center"/>
          </w:tcPr>
          <w:p w14:paraId="58FBAE67">
            <w:pPr>
              <w:autoSpaceDE w:val="0"/>
              <w:autoSpaceDN w:val="0"/>
              <w:adjustRightInd w:val="0"/>
              <w:snapToGrid w:val="0"/>
              <w:jc w:val="center"/>
              <w:rPr>
                <w:rFonts w:ascii="宋体" w:hAnsi="宋体"/>
                <w:color w:val="auto"/>
                <w:kern w:val="0"/>
                <w:sz w:val="24"/>
              </w:rPr>
            </w:pPr>
          </w:p>
        </w:tc>
        <w:tc>
          <w:tcPr>
            <w:tcW w:w="1141" w:type="dxa"/>
            <w:vAlign w:val="center"/>
          </w:tcPr>
          <w:p w14:paraId="7432B115">
            <w:pPr>
              <w:autoSpaceDE w:val="0"/>
              <w:autoSpaceDN w:val="0"/>
              <w:adjustRightInd w:val="0"/>
              <w:snapToGrid w:val="0"/>
              <w:jc w:val="center"/>
              <w:rPr>
                <w:rFonts w:ascii="宋体" w:hAnsi="宋体"/>
                <w:color w:val="auto"/>
                <w:kern w:val="0"/>
                <w:sz w:val="24"/>
              </w:rPr>
            </w:pPr>
          </w:p>
        </w:tc>
        <w:tc>
          <w:tcPr>
            <w:tcW w:w="749" w:type="dxa"/>
            <w:vAlign w:val="center"/>
          </w:tcPr>
          <w:p w14:paraId="4F2EB6EF">
            <w:pPr>
              <w:autoSpaceDE w:val="0"/>
              <w:autoSpaceDN w:val="0"/>
              <w:adjustRightInd w:val="0"/>
              <w:snapToGrid w:val="0"/>
              <w:jc w:val="center"/>
              <w:rPr>
                <w:rFonts w:ascii="宋体" w:hAnsi="宋体"/>
                <w:color w:val="auto"/>
                <w:kern w:val="0"/>
                <w:sz w:val="24"/>
              </w:rPr>
            </w:pPr>
          </w:p>
        </w:tc>
      </w:tr>
      <w:tr w14:paraId="198793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D28AE3B">
            <w:pPr>
              <w:autoSpaceDE w:val="0"/>
              <w:autoSpaceDN w:val="0"/>
              <w:adjustRightInd w:val="0"/>
              <w:snapToGrid w:val="0"/>
              <w:jc w:val="center"/>
              <w:rPr>
                <w:rFonts w:ascii="宋体" w:hAnsi="宋体"/>
                <w:color w:val="auto"/>
                <w:kern w:val="0"/>
                <w:sz w:val="24"/>
              </w:rPr>
            </w:pPr>
          </w:p>
        </w:tc>
        <w:tc>
          <w:tcPr>
            <w:tcW w:w="1176" w:type="dxa"/>
            <w:vAlign w:val="center"/>
          </w:tcPr>
          <w:p w14:paraId="07CF464C">
            <w:pPr>
              <w:autoSpaceDE w:val="0"/>
              <w:autoSpaceDN w:val="0"/>
              <w:adjustRightInd w:val="0"/>
              <w:snapToGrid w:val="0"/>
              <w:jc w:val="center"/>
              <w:rPr>
                <w:rFonts w:ascii="宋体" w:hAnsi="宋体"/>
                <w:color w:val="auto"/>
                <w:kern w:val="0"/>
                <w:sz w:val="24"/>
              </w:rPr>
            </w:pPr>
          </w:p>
        </w:tc>
        <w:tc>
          <w:tcPr>
            <w:tcW w:w="824" w:type="dxa"/>
            <w:vAlign w:val="center"/>
          </w:tcPr>
          <w:p w14:paraId="53C6031D">
            <w:pPr>
              <w:autoSpaceDE w:val="0"/>
              <w:autoSpaceDN w:val="0"/>
              <w:adjustRightInd w:val="0"/>
              <w:snapToGrid w:val="0"/>
              <w:jc w:val="center"/>
              <w:rPr>
                <w:rFonts w:ascii="宋体" w:hAnsi="宋体"/>
                <w:color w:val="auto"/>
                <w:kern w:val="0"/>
                <w:sz w:val="24"/>
              </w:rPr>
            </w:pPr>
          </w:p>
        </w:tc>
        <w:tc>
          <w:tcPr>
            <w:tcW w:w="1072" w:type="dxa"/>
            <w:vAlign w:val="center"/>
          </w:tcPr>
          <w:p w14:paraId="7B81D401">
            <w:pPr>
              <w:autoSpaceDE w:val="0"/>
              <w:autoSpaceDN w:val="0"/>
              <w:adjustRightInd w:val="0"/>
              <w:snapToGrid w:val="0"/>
              <w:jc w:val="center"/>
              <w:rPr>
                <w:rFonts w:ascii="宋体" w:hAnsi="宋体"/>
                <w:color w:val="auto"/>
                <w:kern w:val="0"/>
                <w:sz w:val="24"/>
              </w:rPr>
            </w:pPr>
          </w:p>
        </w:tc>
        <w:tc>
          <w:tcPr>
            <w:tcW w:w="728" w:type="dxa"/>
            <w:vAlign w:val="center"/>
          </w:tcPr>
          <w:p w14:paraId="25507601">
            <w:pPr>
              <w:autoSpaceDE w:val="0"/>
              <w:autoSpaceDN w:val="0"/>
              <w:adjustRightInd w:val="0"/>
              <w:snapToGrid w:val="0"/>
              <w:jc w:val="center"/>
              <w:rPr>
                <w:rFonts w:ascii="宋体" w:hAnsi="宋体"/>
                <w:color w:val="auto"/>
                <w:kern w:val="0"/>
                <w:sz w:val="24"/>
              </w:rPr>
            </w:pPr>
          </w:p>
        </w:tc>
        <w:tc>
          <w:tcPr>
            <w:tcW w:w="799" w:type="dxa"/>
            <w:vAlign w:val="center"/>
          </w:tcPr>
          <w:p w14:paraId="4C72FBA8">
            <w:pPr>
              <w:autoSpaceDE w:val="0"/>
              <w:autoSpaceDN w:val="0"/>
              <w:adjustRightInd w:val="0"/>
              <w:snapToGrid w:val="0"/>
              <w:jc w:val="center"/>
              <w:rPr>
                <w:rFonts w:ascii="宋体" w:hAnsi="宋体"/>
                <w:color w:val="auto"/>
                <w:kern w:val="0"/>
                <w:sz w:val="24"/>
              </w:rPr>
            </w:pPr>
          </w:p>
        </w:tc>
        <w:tc>
          <w:tcPr>
            <w:tcW w:w="1312" w:type="dxa"/>
            <w:vAlign w:val="center"/>
          </w:tcPr>
          <w:p w14:paraId="508C8D9B">
            <w:pPr>
              <w:autoSpaceDE w:val="0"/>
              <w:autoSpaceDN w:val="0"/>
              <w:adjustRightInd w:val="0"/>
              <w:snapToGrid w:val="0"/>
              <w:jc w:val="center"/>
              <w:rPr>
                <w:rFonts w:ascii="宋体" w:hAnsi="宋体"/>
                <w:color w:val="auto"/>
                <w:kern w:val="0"/>
                <w:sz w:val="24"/>
              </w:rPr>
            </w:pPr>
          </w:p>
        </w:tc>
        <w:tc>
          <w:tcPr>
            <w:tcW w:w="947" w:type="dxa"/>
            <w:vAlign w:val="center"/>
          </w:tcPr>
          <w:p w14:paraId="3125F758">
            <w:pPr>
              <w:autoSpaceDE w:val="0"/>
              <w:autoSpaceDN w:val="0"/>
              <w:adjustRightInd w:val="0"/>
              <w:snapToGrid w:val="0"/>
              <w:jc w:val="center"/>
              <w:rPr>
                <w:rFonts w:ascii="宋体" w:hAnsi="宋体"/>
                <w:color w:val="auto"/>
                <w:kern w:val="0"/>
                <w:sz w:val="24"/>
              </w:rPr>
            </w:pPr>
          </w:p>
        </w:tc>
        <w:tc>
          <w:tcPr>
            <w:tcW w:w="1141" w:type="dxa"/>
            <w:vAlign w:val="center"/>
          </w:tcPr>
          <w:p w14:paraId="200F0869">
            <w:pPr>
              <w:autoSpaceDE w:val="0"/>
              <w:autoSpaceDN w:val="0"/>
              <w:adjustRightInd w:val="0"/>
              <w:snapToGrid w:val="0"/>
              <w:jc w:val="center"/>
              <w:rPr>
                <w:rFonts w:ascii="宋体" w:hAnsi="宋体"/>
                <w:color w:val="auto"/>
                <w:kern w:val="0"/>
                <w:sz w:val="24"/>
              </w:rPr>
            </w:pPr>
          </w:p>
        </w:tc>
        <w:tc>
          <w:tcPr>
            <w:tcW w:w="749" w:type="dxa"/>
            <w:vAlign w:val="center"/>
          </w:tcPr>
          <w:p w14:paraId="1969AE0E">
            <w:pPr>
              <w:autoSpaceDE w:val="0"/>
              <w:autoSpaceDN w:val="0"/>
              <w:adjustRightInd w:val="0"/>
              <w:snapToGrid w:val="0"/>
              <w:jc w:val="center"/>
              <w:rPr>
                <w:rFonts w:ascii="宋体" w:hAnsi="宋体"/>
                <w:color w:val="auto"/>
                <w:kern w:val="0"/>
                <w:sz w:val="24"/>
              </w:rPr>
            </w:pPr>
          </w:p>
        </w:tc>
      </w:tr>
      <w:tr w14:paraId="542F71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F901ABB">
            <w:pPr>
              <w:autoSpaceDE w:val="0"/>
              <w:autoSpaceDN w:val="0"/>
              <w:adjustRightInd w:val="0"/>
              <w:snapToGrid w:val="0"/>
              <w:jc w:val="center"/>
              <w:rPr>
                <w:rFonts w:ascii="宋体" w:hAnsi="宋体"/>
                <w:color w:val="auto"/>
                <w:kern w:val="0"/>
                <w:sz w:val="24"/>
              </w:rPr>
            </w:pPr>
          </w:p>
        </w:tc>
        <w:tc>
          <w:tcPr>
            <w:tcW w:w="1176" w:type="dxa"/>
            <w:vAlign w:val="center"/>
          </w:tcPr>
          <w:p w14:paraId="39AB60FF">
            <w:pPr>
              <w:autoSpaceDE w:val="0"/>
              <w:autoSpaceDN w:val="0"/>
              <w:adjustRightInd w:val="0"/>
              <w:snapToGrid w:val="0"/>
              <w:jc w:val="center"/>
              <w:rPr>
                <w:rFonts w:ascii="宋体" w:hAnsi="宋体"/>
                <w:color w:val="auto"/>
                <w:kern w:val="0"/>
                <w:sz w:val="24"/>
              </w:rPr>
            </w:pPr>
          </w:p>
        </w:tc>
        <w:tc>
          <w:tcPr>
            <w:tcW w:w="824" w:type="dxa"/>
            <w:vAlign w:val="center"/>
          </w:tcPr>
          <w:p w14:paraId="7994CB27">
            <w:pPr>
              <w:autoSpaceDE w:val="0"/>
              <w:autoSpaceDN w:val="0"/>
              <w:adjustRightInd w:val="0"/>
              <w:snapToGrid w:val="0"/>
              <w:jc w:val="center"/>
              <w:rPr>
                <w:rFonts w:ascii="宋体" w:hAnsi="宋体"/>
                <w:color w:val="auto"/>
                <w:kern w:val="0"/>
                <w:sz w:val="24"/>
              </w:rPr>
            </w:pPr>
          </w:p>
        </w:tc>
        <w:tc>
          <w:tcPr>
            <w:tcW w:w="1072" w:type="dxa"/>
            <w:vAlign w:val="center"/>
          </w:tcPr>
          <w:p w14:paraId="173D5AD8">
            <w:pPr>
              <w:autoSpaceDE w:val="0"/>
              <w:autoSpaceDN w:val="0"/>
              <w:adjustRightInd w:val="0"/>
              <w:snapToGrid w:val="0"/>
              <w:jc w:val="center"/>
              <w:rPr>
                <w:rFonts w:ascii="宋体" w:hAnsi="宋体"/>
                <w:color w:val="auto"/>
                <w:kern w:val="0"/>
                <w:sz w:val="24"/>
              </w:rPr>
            </w:pPr>
          </w:p>
        </w:tc>
        <w:tc>
          <w:tcPr>
            <w:tcW w:w="728" w:type="dxa"/>
            <w:vAlign w:val="center"/>
          </w:tcPr>
          <w:p w14:paraId="65250963">
            <w:pPr>
              <w:autoSpaceDE w:val="0"/>
              <w:autoSpaceDN w:val="0"/>
              <w:adjustRightInd w:val="0"/>
              <w:snapToGrid w:val="0"/>
              <w:jc w:val="center"/>
              <w:rPr>
                <w:rFonts w:ascii="宋体" w:hAnsi="宋体"/>
                <w:color w:val="auto"/>
                <w:kern w:val="0"/>
                <w:sz w:val="24"/>
              </w:rPr>
            </w:pPr>
          </w:p>
        </w:tc>
        <w:tc>
          <w:tcPr>
            <w:tcW w:w="799" w:type="dxa"/>
            <w:vAlign w:val="center"/>
          </w:tcPr>
          <w:p w14:paraId="3EADDA69">
            <w:pPr>
              <w:autoSpaceDE w:val="0"/>
              <w:autoSpaceDN w:val="0"/>
              <w:adjustRightInd w:val="0"/>
              <w:snapToGrid w:val="0"/>
              <w:jc w:val="center"/>
              <w:rPr>
                <w:rFonts w:ascii="宋体" w:hAnsi="宋体"/>
                <w:color w:val="auto"/>
                <w:kern w:val="0"/>
                <w:sz w:val="24"/>
              </w:rPr>
            </w:pPr>
          </w:p>
        </w:tc>
        <w:tc>
          <w:tcPr>
            <w:tcW w:w="1312" w:type="dxa"/>
            <w:vAlign w:val="center"/>
          </w:tcPr>
          <w:p w14:paraId="4229002F">
            <w:pPr>
              <w:autoSpaceDE w:val="0"/>
              <w:autoSpaceDN w:val="0"/>
              <w:adjustRightInd w:val="0"/>
              <w:snapToGrid w:val="0"/>
              <w:jc w:val="center"/>
              <w:rPr>
                <w:rFonts w:ascii="宋体" w:hAnsi="宋体"/>
                <w:color w:val="auto"/>
                <w:kern w:val="0"/>
                <w:sz w:val="24"/>
              </w:rPr>
            </w:pPr>
          </w:p>
        </w:tc>
        <w:tc>
          <w:tcPr>
            <w:tcW w:w="947" w:type="dxa"/>
            <w:vAlign w:val="center"/>
          </w:tcPr>
          <w:p w14:paraId="27BF4C87">
            <w:pPr>
              <w:autoSpaceDE w:val="0"/>
              <w:autoSpaceDN w:val="0"/>
              <w:adjustRightInd w:val="0"/>
              <w:snapToGrid w:val="0"/>
              <w:jc w:val="center"/>
              <w:rPr>
                <w:rFonts w:ascii="宋体" w:hAnsi="宋体"/>
                <w:color w:val="auto"/>
                <w:kern w:val="0"/>
                <w:sz w:val="24"/>
              </w:rPr>
            </w:pPr>
          </w:p>
        </w:tc>
        <w:tc>
          <w:tcPr>
            <w:tcW w:w="1141" w:type="dxa"/>
            <w:vAlign w:val="center"/>
          </w:tcPr>
          <w:p w14:paraId="1367E02B">
            <w:pPr>
              <w:autoSpaceDE w:val="0"/>
              <w:autoSpaceDN w:val="0"/>
              <w:adjustRightInd w:val="0"/>
              <w:snapToGrid w:val="0"/>
              <w:jc w:val="center"/>
              <w:rPr>
                <w:rFonts w:ascii="宋体" w:hAnsi="宋体"/>
                <w:color w:val="auto"/>
                <w:kern w:val="0"/>
                <w:sz w:val="24"/>
              </w:rPr>
            </w:pPr>
          </w:p>
        </w:tc>
        <w:tc>
          <w:tcPr>
            <w:tcW w:w="749" w:type="dxa"/>
            <w:vAlign w:val="center"/>
          </w:tcPr>
          <w:p w14:paraId="145379F9">
            <w:pPr>
              <w:autoSpaceDE w:val="0"/>
              <w:autoSpaceDN w:val="0"/>
              <w:adjustRightInd w:val="0"/>
              <w:snapToGrid w:val="0"/>
              <w:jc w:val="center"/>
              <w:rPr>
                <w:rFonts w:ascii="宋体" w:hAnsi="宋体"/>
                <w:color w:val="auto"/>
                <w:kern w:val="0"/>
                <w:sz w:val="24"/>
              </w:rPr>
            </w:pPr>
          </w:p>
        </w:tc>
      </w:tr>
      <w:tr w14:paraId="2E2591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B1D0455">
            <w:pPr>
              <w:autoSpaceDE w:val="0"/>
              <w:autoSpaceDN w:val="0"/>
              <w:adjustRightInd w:val="0"/>
              <w:snapToGrid w:val="0"/>
              <w:jc w:val="center"/>
              <w:rPr>
                <w:rFonts w:ascii="宋体" w:hAnsi="宋体"/>
                <w:color w:val="auto"/>
                <w:kern w:val="0"/>
                <w:sz w:val="24"/>
              </w:rPr>
            </w:pPr>
          </w:p>
        </w:tc>
        <w:tc>
          <w:tcPr>
            <w:tcW w:w="1176" w:type="dxa"/>
            <w:vAlign w:val="center"/>
          </w:tcPr>
          <w:p w14:paraId="0DB836A3">
            <w:pPr>
              <w:autoSpaceDE w:val="0"/>
              <w:autoSpaceDN w:val="0"/>
              <w:adjustRightInd w:val="0"/>
              <w:snapToGrid w:val="0"/>
              <w:jc w:val="center"/>
              <w:rPr>
                <w:rFonts w:ascii="宋体" w:hAnsi="宋体"/>
                <w:color w:val="auto"/>
                <w:kern w:val="0"/>
                <w:sz w:val="24"/>
              </w:rPr>
            </w:pPr>
          </w:p>
        </w:tc>
        <w:tc>
          <w:tcPr>
            <w:tcW w:w="824" w:type="dxa"/>
            <w:vAlign w:val="center"/>
          </w:tcPr>
          <w:p w14:paraId="503AC243">
            <w:pPr>
              <w:autoSpaceDE w:val="0"/>
              <w:autoSpaceDN w:val="0"/>
              <w:adjustRightInd w:val="0"/>
              <w:snapToGrid w:val="0"/>
              <w:jc w:val="center"/>
              <w:rPr>
                <w:rFonts w:ascii="宋体" w:hAnsi="宋体"/>
                <w:color w:val="auto"/>
                <w:kern w:val="0"/>
                <w:sz w:val="24"/>
              </w:rPr>
            </w:pPr>
          </w:p>
        </w:tc>
        <w:tc>
          <w:tcPr>
            <w:tcW w:w="1072" w:type="dxa"/>
            <w:vAlign w:val="center"/>
          </w:tcPr>
          <w:p w14:paraId="30262FAB">
            <w:pPr>
              <w:autoSpaceDE w:val="0"/>
              <w:autoSpaceDN w:val="0"/>
              <w:adjustRightInd w:val="0"/>
              <w:snapToGrid w:val="0"/>
              <w:jc w:val="center"/>
              <w:rPr>
                <w:rFonts w:ascii="宋体" w:hAnsi="宋体"/>
                <w:color w:val="auto"/>
                <w:kern w:val="0"/>
                <w:sz w:val="24"/>
              </w:rPr>
            </w:pPr>
          </w:p>
        </w:tc>
        <w:tc>
          <w:tcPr>
            <w:tcW w:w="728" w:type="dxa"/>
            <w:vAlign w:val="center"/>
          </w:tcPr>
          <w:p w14:paraId="3029DF08">
            <w:pPr>
              <w:autoSpaceDE w:val="0"/>
              <w:autoSpaceDN w:val="0"/>
              <w:adjustRightInd w:val="0"/>
              <w:snapToGrid w:val="0"/>
              <w:jc w:val="center"/>
              <w:rPr>
                <w:rFonts w:ascii="宋体" w:hAnsi="宋体"/>
                <w:color w:val="auto"/>
                <w:kern w:val="0"/>
                <w:sz w:val="24"/>
              </w:rPr>
            </w:pPr>
          </w:p>
        </w:tc>
        <w:tc>
          <w:tcPr>
            <w:tcW w:w="799" w:type="dxa"/>
            <w:vAlign w:val="center"/>
          </w:tcPr>
          <w:p w14:paraId="2F9A4699">
            <w:pPr>
              <w:autoSpaceDE w:val="0"/>
              <w:autoSpaceDN w:val="0"/>
              <w:adjustRightInd w:val="0"/>
              <w:snapToGrid w:val="0"/>
              <w:jc w:val="center"/>
              <w:rPr>
                <w:rFonts w:ascii="宋体" w:hAnsi="宋体"/>
                <w:color w:val="auto"/>
                <w:kern w:val="0"/>
                <w:sz w:val="24"/>
              </w:rPr>
            </w:pPr>
          </w:p>
        </w:tc>
        <w:tc>
          <w:tcPr>
            <w:tcW w:w="1312" w:type="dxa"/>
            <w:vAlign w:val="center"/>
          </w:tcPr>
          <w:p w14:paraId="20AB7B86">
            <w:pPr>
              <w:autoSpaceDE w:val="0"/>
              <w:autoSpaceDN w:val="0"/>
              <w:adjustRightInd w:val="0"/>
              <w:snapToGrid w:val="0"/>
              <w:jc w:val="center"/>
              <w:rPr>
                <w:rFonts w:ascii="宋体" w:hAnsi="宋体"/>
                <w:color w:val="auto"/>
                <w:kern w:val="0"/>
                <w:sz w:val="24"/>
              </w:rPr>
            </w:pPr>
          </w:p>
        </w:tc>
        <w:tc>
          <w:tcPr>
            <w:tcW w:w="947" w:type="dxa"/>
            <w:vAlign w:val="center"/>
          </w:tcPr>
          <w:p w14:paraId="74D3D293">
            <w:pPr>
              <w:autoSpaceDE w:val="0"/>
              <w:autoSpaceDN w:val="0"/>
              <w:adjustRightInd w:val="0"/>
              <w:snapToGrid w:val="0"/>
              <w:jc w:val="center"/>
              <w:rPr>
                <w:rFonts w:ascii="宋体" w:hAnsi="宋体"/>
                <w:color w:val="auto"/>
                <w:kern w:val="0"/>
                <w:sz w:val="24"/>
              </w:rPr>
            </w:pPr>
          </w:p>
        </w:tc>
        <w:tc>
          <w:tcPr>
            <w:tcW w:w="1141" w:type="dxa"/>
            <w:vAlign w:val="center"/>
          </w:tcPr>
          <w:p w14:paraId="0B3930A7">
            <w:pPr>
              <w:autoSpaceDE w:val="0"/>
              <w:autoSpaceDN w:val="0"/>
              <w:adjustRightInd w:val="0"/>
              <w:snapToGrid w:val="0"/>
              <w:jc w:val="center"/>
              <w:rPr>
                <w:rFonts w:ascii="宋体" w:hAnsi="宋体"/>
                <w:color w:val="auto"/>
                <w:kern w:val="0"/>
                <w:sz w:val="24"/>
              </w:rPr>
            </w:pPr>
          </w:p>
        </w:tc>
        <w:tc>
          <w:tcPr>
            <w:tcW w:w="749" w:type="dxa"/>
            <w:vAlign w:val="center"/>
          </w:tcPr>
          <w:p w14:paraId="3DF4A01D">
            <w:pPr>
              <w:autoSpaceDE w:val="0"/>
              <w:autoSpaceDN w:val="0"/>
              <w:adjustRightInd w:val="0"/>
              <w:snapToGrid w:val="0"/>
              <w:jc w:val="center"/>
              <w:rPr>
                <w:rFonts w:ascii="宋体" w:hAnsi="宋体"/>
                <w:color w:val="auto"/>
                <w:kern w:val="0"/>
                <w:sz w:val="24"/>
              </w:rPr>
            </w:pPr>
          </w:p>
        </w:tc>
      </w:tr>
      <w:tr w14:paraId="2E1120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7B5FA4F">
            <w:pPr>
              <w:autoSpaceDE w:val="0"/>
              <w:autoSpaceDN w:val="0"/>
              <w:adjustRightInd w:val="0"/>
              <w:snapToGrid w:val="0"/>
              <w:jc w:val="center"/>
              <w:rPr>
                <w:rFonts w:ascii="宋体" w:hAnsi="宋体"/>
                <w:color w:val="auto"/>
                <w:kern w:val="0"/>
                <w:sz w:val="24"/>
              </w:rPr>
            </w:pPr>
          </w:p>
        </w:tc>
        <w:tc>
          <w:tcPr>
            <w:tcW w:w="1176" w:type="dxa"/>
            <w:vAlign w:val="center"/>
          </w:tcPr>
          <w:p w14:paraId="07A02603">
            <w:pPr>
              <w:autoSpaceDE w:val="0"/>
              <w:autoSpaceDN w:val="0"/>
              <w:adjustRightInd w:val="0"/>
              <w:snapToGrid w:val="0"/>
              <w:jc w:val="center"/>
              <w:rPr>
                <w:rFonts w:ascii="宋体" w:hAnsi="宋体"/>
                <w:color w:val="auto"/>
                <w:kern w:val="0"/>
                <w:sz w:val="24"/>
              </w:rPr>
            </w:pPr>
          </w:p>
        </w:tc>
        <w:tc>
          <w:tcPr>
            <w:tcW w:w="824" w:type="dxa"/>
            <w:vAlign w:val="center"/>
          </w:tcPr>
          <w:p w14:paraId="090AC9CE">
            <w:pPr>
              <w:autoSpaceDE w:val="0"/>
              <w:autoSpaceDN w:val="0"/>
              <w:adjustRightInd w:val="0"/>
              <w:snapToGrid w:val="0"/>
              <w:jc w:val="center"/>
              <w:rPr>
                <w:rFonts w:ascii="宋体" w:hAnsi="宋体"/>
                <w:color w:val="auto"/>
                <w:kern w:val="0"/>
                <w:sz w:val="24"/>
              </w:rPr>
            </w:pPr>
          </w:p>
        </w:tc>
        <w:tc>
          <w:tcPr>
            <w:tcW w:w="1072" w:type="dxa"/>
            <w:vAlign w:val="center"/>
          </w:tcPr>
          <w:p w14:paraId="623389A8">
            <w:pPr>
              <w:autoSpaceDE w:val="0"/>
              <w:autoSpaceDN w:val="0"/>
              <w:adjustRightInd w:val="0"/>
              <w:snapToGrid w:val="0"/>
              <w:jc w:val="center"/>
              <w:rPr>
                <w:rFonts w:ascii="宋体" w:hAnsi="宋体"/>
                <w:color w:val="auto"/>
                <w:kern w:val="0"/>
                <w:sz w:val="24"/>
              </w:rPr>
            </w:pPr>
          </w:p>
        </w:tc>
        <w:tc>
          <w:tcPr>
            <w:tcW w:w="728" w:type="dxa"/>
            <w:vAlign w:val="center"/>
          </w:tcPr>
          <w:p w14:paraId="4F94C7BE">
            <w:pPr>
              <w:autoSpaceDE w:val="0"/>
              <w:autoSpaceDN w:val="0"/>
              <w:adjustRightInd w:val="0"/>
              <w:snapToGrid w:val="0"/>
              <w:jc w:val="center"/>
              <w:rPr>
                <w:rFonts w:ascii="宋体" w:hAnsi="宋体"/>
                <w:color w:val="auto"/>
                <w:kern w:val="0"/>
                <w:sz w:val="24"/>
              </w:rPr>
            </w:pPr>
          </w:p>
        </w:tc>
        <w:tc>
          <w:tcPr>
            <w:tcW w:w="799" w:type="dxa"/>
            <w:vAlign w:val="center"/>
          </w:tcPr>
          <w:p w14:paraId="120D2277">
            <w:pPr>
              <w:autoSpaceDE w:val="0"/>
              <w:autoSpaceDN w:val="0"/>
              <w:adjustRightInd w:val="0"/>
              <w:snapToGrid w:val="0"/>
              <w:jc w:val="center"/>
              <w:rPr>
                <w:rFonts w:ascii="宋体" w:hAnsi="宋体"/>
                <w:color w:val="auto"/>
                <w:kern w:val="0"/>
                <w:sz w:val="24"/>
              </w:rPr>
            </w:pPr>
          </w:p>
        </w:tc>
        <w:tc>
          <w:tcPr>
            <w:tcW w:w="1312" w:type="dxa"/>
            <w:vAlign w:val="center"/>
          </w:tcPr>
          <w:p w14:paraId="5B24DB1C">
            <w:pPr>
              <w:autoSpaceDE w:val="0"/>
              <w:autoSpaceDN w:val="0"/>
              <w:adjustRightInd w:val="0"/>
              <w:snapToGrid w:val="0"/>
              <w:jc w:val="center"/>
              <w:rPr>
                <w:rFonts w:ascii="宋体" w:hAnsi="宋体"/>
                <w:color w:val="auto"/>
                <w:kern w:val="0"/>
                <w:sz w:val="24"/>
              </w:rPr>
            </w:pPr>
          </w:p>
        </w:tc>
        <w:tc>
          <w:tcPr>
            <w:tcW w:w="947" w:type="dxa"/>
            <w:vAlign w:val="center"/>
          </w:tcPr>
          <w:p w14:paraId="671F9605">
            <w:pPr>
              <w:autoSpaceDE w:val="0"/>
              <w:autoSpaceDN w:val="0"/>
              <w:adjustRightInd w:val="0"/>
              <w:snapToGrid w:val="0"/>
              <w:jc w:val="center"/>
              <w:rPr>
                <w:rFonts w:ascii="宋体" w:hAnsi="宋体"/>
                <w:color w:val="auto"/>
                <w:kern w:val="0"/>
                <w:sz w:val="24"/>
              </w:rPr>
            </w:pPr>
          </w:p>
        </w:tc>
        <w:tc>
          <w:tcPr>
            <w:tcW w:w="1141" w:type="dxa"/>
            <w:vAlign w:val="center"/>
          </w:tcPr>
          <w:p w14:paraId="2D68B778">
            <w:pPr>
              <w:autoSpaceDE w:val="0"/>
              <w:autoSpaceDN w:val="0"/>
              <w:adjustRightInd w:val="0"/>
              <w:snapToGrid w:val="0"/>
              <w:jc w:val="center"/>
              <w:rPr>
                <w:rFonts w:ascii="宋体" w:hAnsi="宋体"/>
                <w:color w:val="auto"/>
                <w:kern w:val="0"/>
                <w:sz w:val="24"/>
              </w:rPr>
            </w:pPr>
          </w:p>
        </w:tc>
        <w:tc>
          <w:tcPr>
            <w:tcW w:w="749" w:type="dxa"/>
            <w:vAlign w:val="center"/>
          </w:tcPr>
          <w:p w14:paraId="79684DD4">
            <w:pPr>
              <w:autoSpaceDE w:val="0"/>
              <w:autoSpaceDN w:val="0"/>
              <w:adjustRightInd w:val="0"/>
              <w:snapToGrid w:val="0"/>
              <w:jc w:val="center"/>
              <w:rPr>
                <w:rFonts w:ascii="宋体" w:hAnsi="宋体"/>
                <w:color w:val="auto"/>
                <w:kern w:val="0"/>
                <w:sz w:val="24"/>
              </w:rPr>
            </w:pPr>
          </w:p>
        </w:tc>
      </w:tr>
      <w:tr w14:paraId="577A73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8536DDC">
            <w:pPr>
              <w:autoSpaceDE w:val="0"/>
              <w:autoSpaceDN w:val="0"/>
              <w:adjustRightInd w:val="0"/>
              <w:snapToGrid w:val="0"/>
              <w:jc w:val="center"/>
              <w:rPr>
                <w:rFonts w:ascii="宋体" w:hAnsi="宋体"/>
                <w:color w:val="auto"/>
                <w:kern w:val="0"/>
                <w:sz w:val="24"/>
              </w:rPr>
            </w:pPr>
          </w:p>
        </w:tc>
        <w:tc>
          <w:tcPr>
            <w:tcW w:w="1176" w:type="dxa"/>
            <w:vAlign w:val="center"/>
          </w:tcPr>
          <w:p w14:paraId="4CC47CAD">
            <w:pPr>
              <w:autoSpaceDE w:val="0"/>
              <w:autoSpaceDN w:val="0"/>
              <w:adjustRightInd w:val="0"/>
              <w:snapToGrid w:val="0"/>
              <w:jc w:val="center"/>
              <w:rPr>
                <w:rFonts w:ascii="宋体" w:hAnsi="宋体"/>
                <w:color w:val="auto"/>
                <w:kern w:val="0"/>
                <w:sz w:val="24"/>
              </w:rPr>
            </w:pPr>
          </w:p>
        </w:tc>
        <w:tc>
          <w:tcPr>
            <w:tcW w:w="824" w:type="dxa"/>
            <w:vAlign w:val="center"/>
          </w:tcPr>
          <w:p w14:paraId="16FAB725">
            <w:pPr>
              <w:autoSpaceDE w:val="0"/>
              <w:autoSpaceDN w:val="0"/>
              <w:adjustRightInd w:val="0"/>
              <w:snapToGrid w:val="0"/>
              <w:jc w:val="center"/>
              <w:rPr>
                <w:rFonts w:ascii="宋体" w:hAnsi="宋体"/>
                <w:color w:val="auto"/>
                <w:kern w:val="0"/>
                <w:sz w:val="24"/>
              </w:rPr>
            </w:pPr>
          </w:p>
        </w:tc>
        <w:tc>
          <w:tcPr>
            <w:tcW w:w="1072" w:type="dxa"/>
            <w:vAlign w:val="center"/>
          </w:tcPr>
          <w:p w14:paraId="5179F3C6">
            <w:pPr>
              <w:autoSpaceDE w:val="0"/>
              <w:autoSpaceDN w:val="0"/>
              <w:adjustRightInd w:val="0"/>
              <w:snapToGrid w:val="0"/>
              <w:jc w:val="center"/>
              <w:rPr>
                <w:rFonts w:ascii="宋体" w:hAnsi="宋体"/>
                <w:color w:val="auto"/>
                <w:kern w:val="0"/>
                <w:sz w:val="24"/>
              </w:rPr>
            </w:pPr>
          </w:p>
        </w:tc>
        <w:tc>
          <w:tcPr>
            <w:tcW w:w="728" w:type="dxa"/>
            <w:vAlign w:val="center"/>
          </w:tcPr>
          <w:p w14:paraId="0629B36D">
            <w:pPr>
              <w:autoSpaceDE w:val="0"/>
              <w:autoSpaceDN w:val="0"/>
              <w:adjustRightInd w:val="0"/>
              <w:snapToGrid w:val="0"/>
              <w:jc w:val="center"/>
              <w:rPr>
                <w:rFonts w:ascii="宋体" w:hAnsi="宋体"/>
                <w:color w:val="auto"/>
                <w:kern w:val="0"/>
                <w:sz w:val="24"/>
              </w:rPr>
            </w:pPr>
          </w:p>
        </w:tc>
        <w:tc>
          <w:tcPr>
            <w:tcW w:w="799" w:type="dxa"/>
            <w:vAlign w:val="center"/>
          </w:tcPr>
          <w:p w14:paraId="188BA6A0">
            <w:pPr>
              <w:autoSpaceDE w:val="0"/>
              <w:autoSpaceDN w:val="0"/>
              <w:adjustRightInd w:val="0"/>
              <w:snapToGrid w:val="0"/>
              <w:jc w:val="center"/>
              <w:rPr>
                <w:rFonts w:ascii="宋体" w:hAnsi="宋体"/>
                <w:color w:val="auto"/>
                <w:kern w:val="0"/>
                <w:sz w:val="24"/>
              </w:rPr>
            </w:pPr>
          </w:p>
        </w:tc>
        <w:tc>
          <w:tcPr>
            <w:tcW w:w="1312" w:type="dxa"/>
            <w:vAlign w:val="center"/>
          </w:tcPr>
          <w:p w14:paraId="66DA1429">
            <w:pPr>
              <w:autoSpaceDE w:val="0"/>
              <w:autoSpaceDN w:val="0"/>
              <w:adjustRightInd w:val="0"/>
              <w:snapToGrid w:val="0"/>
              <w:jc w:val="center"/>
              <w:rPr>
                <w:rFonts w:ascii="宋体" w:hAnsi="宋体"/>
                <w:color w:val="auto"/>
                <w:kern w:val="0"/>
                <w:sz w:val="24"/>
              </w:rPr>
            </w:pPr>
          </w:p>
        </w:tc>
        <w:tc>
          <w:tcPr>
            <w:tcW w:w="947" w:type="dxa"/>
            <w:vAlign w:val="center"/>
          </w:tcPr>
          <w:p w14:paraId="7AA2A406">
            <w:pPr>
              <w:autoSpaceDE w:val="0"/>
              <w:autoSpaceDN w:val="0"/>
              <w:adjustRightInd w:val="0"/>
              <w:snapToGrid w:val="0"/>
              <w:jc w:val="center"/>
              <w:rPr>
                <w:rFonts w:ascii="宋体" w:hAnsi="宋体"/>
                <w:color w:val="auto"/>
                <w:kern w:val="0"/>
                <w:sz w:val="24"/>
              </w:rPr>
            </w:pPr>
          </w:p>
        </w:tc>
        <w:tc>
          <w:tcPr>
            <w:tcW w:w="1141" w:type="dxa"/>
            <w:vAlign w:val="center"/>
          </w:tcPr>
          <w:p w14:paraId="5621DC47">
            <w:pPr>
              <w:autoSpaceDE w:val="0"/>
              <w:autoSpaceDN w:val="0"/>
              <w:adjustRightInd w:val="0"/>
              <w:snapToGrid w:val="0"/>
              <w:jc w:val="center"/>
              <w:rPr>
                <w:rFonts w:ascii="宋体" w:hAnsi="宋体"/>
                <w:color w:val="auto"/>
                <w:kern w:val="0"/>
                <w:sz w:val="24"/>
              </w:rPr>
            </w:pPr>
          </w:p>
        </w:tc>
        <w:tc>
          <w:tcPr>
            <w:tcW w:w="749" w:type="dxa"/>
            <w:vAlign w:val="center"/>
          </w:tcPr>
          <w:p w14:paraId="460E1072">
            <w:pPr>
              <w:autoSpaceDE w:val="0"/>
              <w:autoSpaceDN w:val="0"/>
              <w:adjustRightInd w:val="0"/>
              <w:snapToGrid w:val="0"/>
              <w:jc w:val="center"/>
              <w:rPr>
                <w:rFonts w:ascii="宋体" w:hAnsi="宋体"/>
                <w:color w:val="auto"/>
                <w:kern w:val="0"/>
                <w:sz w:val="24"/>
              </w:rPr>
            </w:pPr>
          </w:p>
        </w:tc>
      </w:tr>
      <w:tr w14:paraId="76661B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0FA55A8">
            <w:pPr>
              <w:autoSpaceDE w:val="0"/>
              <w:autoSpaceDN w:val="0"/>
              <w:adjustRightInd w:val="0"/>
              <w:snapToGrid w:val="0"/>
              <w:jc w:val="center"/>
              <w:rPr>
                <w:rFonts w:ascii="宋体" w:hAnsi="宋体"/>
                <w:color w:val="auto"/>
                <w:kern w:val="0"/>
                <w:sz w:val="24"/>
              </w:rPr>
            </w:pPr>
          </w:p>
        </w:tc>
        <w:tc>
          <w:tcPr>
            <w:tcW w:w="1176" w:type="dxa"/>
            <w:vAlign w:val="center"/>
          </w:tcPr>
          <w:p w14:paraId="560D5B90">
            <w:pPr>
              <w:autoSpaceDE w:val="0"/>
              <w:autoSpaceDN w:val="0"/>
              <w:adjustRightInd w:val="0"/>
              <w:snapToGrid w:val="0"/>
              <w:jc w:val="center"/>
              <w:rPr>
                <w:rFonts w:ascii="宋体" w:hAnsi="宋体"/>
                <w:color w:val="auto"/>
                <w:kern w:val="0"/>
                <w:sz w:val="24"/>
              </w:rPr>
            </w:pPr>
          </w:p>
        </w:tc>
        <w:tc>
          <w:tcPr>
            <w:tcW w:w="824" w:type="dxa"/>
            <w:vAlign w:val="center"/>
          </w:tcPr>
          <w:p w14:paraId="39D11743">
            <w:pPr>
              <w:autoSpaceDE w:val="0"/>
              <w:autoSpaceDN w:val="0"/>
              <w:adjustRightInd w:val="0"/>
              <w:snapToGrid w:val="0"/>
              <w:jc w:val="center"/>
              <w:rPr>
                <w:rFonts w:ascii="宋体" w:hAnsi="宋体"/>
                <w:color w:val="auto"/>
                <w:kern w:val="0"/>
                <w:sz w:val="24"/>
              </w:rPr>
            </w:pPr>
          </w:p>
        </w:tc>
        <w:tc>
          <w:tcPr>
            <w:tcW w:w="1072" w:type="dxa"/>
            <w:vAlign w:val="center"/>
          </w:tcPr>
          <w:p w14:paraId="6D57D392">
            <w:pPr>
              <w:autoSpaceDE w:val="0"/>
              <w:autoSpaceDN w:val="0"/>
              <w:adjustRightInd w:val="0"/>
              <w:snapToGrid w:val="0"/>
              <w:jc w:val="center"/>
              <w:rPr>
                <w:rFonts w:ascii="宋体" w:hAnsi="宋体"/>
                <w:color w:val="auto"/>
                <w:kern w:val="0"/>
                <w:sz w:val="24"/>
              </w:rPr>
            </w:pPr>
          </w:p>
        </w:tc>
        <w:tc>
          <w:tcPr>
            <w:tcW w:w="728" w:type="dxa"/>
            <w:vAlign w:val="center"/>
          </w:tcPr>
          <w:p w14:paraId="7568F9B0">
            <w:pPr>
              <w:autoSpaceDE w:val="0"/>
              <w:autoSpaceDN w:val="0"/>
              <w:adjustRightInd w:val="0"/>
              <w:snapToGrid w:val="0"/>
              <w:jc w:val="center"/>
              <w:rPr>
                <w:rFonts w:ascii="宋体" w:hAnsi="宋体"/>
                <w:color w:val="auto"/>
                <w:kern w:val="0"/>
                <w:sz w:val="24"/>
              </w:rPr>
            </w:pPr>
          </w:p>
        </w:tc>
        <w:tc>
          <w:tcPr>
            <w:tcW w:w="799" w:type="dxa"/>
            <w:vAlign w:val="center"/>
          </w:tcPr>
          <w:p w14:paraId="6341B190">
            <w:pPr>
              <w:autoSpaceDE w:val="0"/>
              <w:autoSpaceDN w:val="0"/>
              <w:adjustRightInd w:val="0"/>
              <w:snapToGrid w:val="0"/>
              <w:jc w:val="center"/>
              <w:rPr>
                <w:rFonts w:ascii="宋体" w:hAnsi="宋体"/>
                <w:color w:val="auto"/>
                <w:kern w:val="0"/>
                <w:sz w:val="24"/>
              </w:rPr>
            </w:pPr>
          </w:p>
        </w:tc>
        <w:tc>
          <w:tcPr>
            <w:tcW w:w="1312" w:type="dxa"/>
            <w:vAlign w:val="center"/>
          </w:tcPr>
          <w:p w14:paraId="6F580321">
            <w:pPr>
              <w:autoSpaceDE w:val="0"/>
              <w:autoSpaceDN w:val="0"/>
              <w:adjustRightInd w:val="0"/>
              <w:snapToGrid w:val="0"/>
              <w:jc w:val="center"/>
              <w:rPr>
                <w:rFonts w:ascii="宋体" w:hAnsi="宋体"/>
                <w:color w:val="auto"/>
                <w:kern w:val="0"/>
                <w:sz w:val="24"/>
              </w:rPr>
            </w:pPr>
          </w:p>
        </w:tc>
        <w:tc>
          <w:tcPr>
            <w:tcW w:w="947" w:type="dxa"/>
            <w:vAlign w:val="center"/>
          </w:tcPr>
          <w:p w14:paraId="7A3E9837">
            <w:pPr>
              <w:autoSpaceDE w:val="0"/>
              <w:autoSpaceDN w:val="0"/>
              <w:adjustRightInd w:val="0"/>
              <w:snapToGrid w:val="0"/>
              <w:jc w:val="center"/>
              <w:rPr>
                <w:rFonts w:ascii="宋体" w:hAnsi="宋体"/>
                <w:color w:val="auto"/>
                <w:kern w:val="0"/>
                <w:sz w:val="24"/>
              </w:rPr>
            </w:pPr>
          </w:p>
        </w:tc>
        <w:tc>
          <w:tcPr>
            <w:tcW w:w="1141" w:type="dxa"/>
            <w:vAlign w:val="center"/>
          </w:tcPr>
          <w:p w14:paraId="519DA9AA">
            <w:pPr>
              <w:autoSpaceDE w:val="0"/>
              <w:autoSpaceDN w:val="0"/>
              <w:adjustRightInd w:val="0"/>
              <w:snapToGrid w:val="0"/>
              <w:jc w:val="center"/>
              <w:rPr>
                <w:rFonts w:ascii="宋体" w:hAnsi="宋体"/>
                <w:color w:val="auto"/>
                <w:kern w:val="0"/>
                <w:sz w:val="24"/>
              </w:rPr>
            </w:pPr>
          </w:p>
        </w:tc>
        <w:tc>
          <w:tcPr>
            <w:tcW w:w="749" w:type="dxa"/>
            <w:vAlign w:val="center"/>
          </w:tcPr>
          <w:p w14:paraId="681E8CE2">
            <w:pPr>
              <w:autoSpaceDE w:val="0"/>
              <w:autoSpaceDN w:val="0"/>
              <w:adjustRightInd w:val="0"/>
              <w:snapToGrid w:val="0"/>
              <w:jc w:val="center"/>
              <w:rPr>
                <w:rFonts w:ascii="宋体" w:hAnsi="宋体"/>
                <w:color w:val="auto"/>
                <w:kern w:val="0"/>
                <w:sz w:val="24"/>
              </w:rPr>
            </w:pPr>
          </w:p>
        </w:tc>
      </w:tr>
      <w:tr w14:paraId="42F5C4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E149372">
            <w:pPr>
              <w:autoSpaceDE w:val="0"/>
              <w:autoSpaceDN w:val="0"/>
              <w:adjustRightInd w:val="0"/>
              <w:snapToGrid w:val="0"/>
              <w:jc w:val="center"/>
              <w:rPr>
                <w:rFonts w:ascii="宋体" w:hAnsi="宋体"/>
                <w:color w:val="auto"/>
                <w:kern w:val="0"/>
                <w:sz w:val="24"/>
              </w:rPr>
            </w:pPr>
          </w:p>
        </w:tc>
        <w:tc>
          <w:tcPr>
            <w:tcW w:w="1176" w:type="dxa"/>
            <w:vAlign w:val="center"/>
          </w:tcPr>
          <w:p w14:paraId="0C671660">
            <w:pPr>
              <w:autoSpaceDE w:val="0"/>
              <w:autoSpaceDN w:val="0"/>
              <w:adjustRightInd w:val="0"/>
              <w:snapToGrid w:val="0"/>
              <w:jc w:val="center"/>
              <w:rPr>
                <w:rFonts w:ascii="宋体" w:hAnsi="宋体"/>
                <w:color w:val="auto"/>
                <w:kern w:val="0"/>
                <w:sz w:val="24"/>
              </w:rPr>
            </w:pPr>
          </w:p>
        </w:tc>
        <w:tc>
          <w:tcPr>
            <w:tcW w:w="824" w:type="dxa"/>
            <w:vAlign w:val="center"/>
          </w:tcPr>
          <w:p w14:paraId="20F0B737">
            <w:pPr>
              <w:autoSpaceDE w:val="0"/>
              <w:autoSpaceDN w:val="0"/>
              <w:adjustRightInd w:val="0"/>
              <w:snapToGrid w:val="0"/>
              <w:jc w:val="center"/>
              <w:rPr>
                <w:rFonts w:ascii="宋体" w:hAnsi="宋体"/>
                <w:color w:val="auto"/>
                <w:kern w:val="0"/>
                <w:sz w:val="24"/>
              </w:rPr>
            </w:pPr>
          </w:p>
        </w:tc>
        <w:tc>
          <w:tcPr>
            <w:tcW w:w="1072" w:type="dxa"/>
            <w:vAlign w:val="center"/>
          </w:tcPr>
          <w:p w14:paraId="3B51B906">
            <w:pPr>
              <w:autoSpaceDE w:val="0"/>
              <w:autoSpaceDN w:val="0"/>
              <w:adjustRightInd w:val="0"/>
              <w:snapToGrid w:val="0"/>
              <w:jc w:val="center"/>
              <w:rPr>
                <w:rFonts w:ascii="宋体" w:hAnsi="宋体"/>
                <w:color w:val="auto"/>
                <w:kern w:val="0"/>
                <w:sz w:val="24"/>
              </w:rPr>
            </w:pPr>
          </w:p>
        </w:tc>
        <w:tc>
          <w:tcPr>
            <w:tcW w:w="728" w:type="dxa"/>
            <w:vAlign w:val="center"/>
          </w:tcPr>
          <w:p w14:paraId="60F61A06">
            <w:pPr>
              <w:autoSpaceDE w:val="0"/>
              <w:autoSpaceDN w:val="0"/>
              <w:adjustRightInd w:val="0"/>
              <w:snapToGrid w:val="0"/>
              <w:jc w:val="center"/>
              <w:rPr>
                <w:rFonts w:ascii="宋体" w:hAnsi="宋体"/>
                <w:color w:val="auto"/>
                <w:kern w:val="0"/>
                <w:sz w:val="24"/>
              </w:rPr>
            </w:pPr>
          </w:p>
        </w:tc>
        <w:tc>
          <w:tcPr>
            <w:tcW w:w="799" w:type="dxa"/>
            <w:vAlign w:val="center"/>
          </w:tcPr>
          <w:p w14:paraId="7E440C1C">
            <w:pPr>
              <w:autoSpaceDE w:val="0"/>
              <w:autoSpaceDN w:val="0"/>
              <w:adjustRightInd w:val="0"/>
              <w:snapToGrid w:val="0"/>
              <w:jc w:val="center"/>
              <w:rPr>
                <w:rFonts w:ascii="宋体" w:hAnsi="宋体"/>
                <w:color w:val="auto"/>
                <w:kern w:val="0"/>
                <w:sz w:val="24"/>
              </w:rPr>
            </w:pPr>
          </w:p>
        </w:tc>
        <w:tc>
          <w:tcPr>
            <w:tcW w:w="1312" w:type="dxa"/>
            <w:vAlign w:val="center"/>
          </w:tcPr>
          <w:p w14:paraId="7FBAACA9">
            <w:pPr>
              <w:autoSpaceDE w:val="0"/>
              <w:autoSpaceDN w:val="0"/>
              <w:adjustRightInd w:val="0"/>
              <w:snapToGrid w:val="0"/>
              <w:jc w:val="center"/>
              <w:rPr>
                <w:rFonts w:ascii="宋体" w:hAnsi="宋体"/>
                <w:color w:val="auto"/>
                <w:kern w:val="0"/>
                <w:sz w:val="24"/>
              </w:rPr>
            </w:pPr>
          </w:p>
        </w:tc>
        <w:tc>
          <w:tcPr>
            <w:tcW w:w="947" w:type="dxa"/>
            <w:vAlign w:val="center"/>
          </w:tcPr>
          <w:p w14:paraId="615EFD0D">
            <w:pPr>
              <w:autoSpaceDE w:val="0"/>
              <w:autoSpaceDN w:val="0"/>
              <w:adjustRightInd w:val="0"/>
              <w:snapToGrid w:val="0"/>
              <w:jc w:val="center"/>
              <w:rPr>
                <w:rFonts w:ascii="宋体" w:hAnsi="宋体"/>
                <w:color w:val="auto"/>
                <w:kern w:val="0"/>
                <w:sz w:val="24"/>
              </w:rPr>
            </w:pPr>
          </w:p>
        </w:tc>
        <w:tc>
          <w:tcPr>
            <w:tcW w:w="1141" w:type="dxa"/>
            <w:vAlign w:val="center"/>
          </w:tcPr>
          <w:p w14:paraId="2B3BA140">
            <w:pPr>
              <w:autoSpaceDE w:val="0"/>
              <w:autoSpaceDN w:val="0"/>
              <w:adjustRightInd w:val="0"/>
              <w:snapToGrid w:val="0"/>
              <w:jc w:val="center"/>
              <w:rPr>
                <w:rFonts w:ascii="宋体" w:hAnsi="宋体"/>
                <w:color w:val="auto"/>
                <w:kern w:val="0"/>
                <w:sz w:val="24"/>
              </w:rPr>
            </w:pPr>
          </w:p>
        </w:tc>
        <w:tc>
          <w:tcPr>
            <w:tcW w:w="749" w:type="dxa"/>
            <w:vAlign w:val="center"/>
          </w:tcPr>
          <w:p w14:paraId="193E6A6F">
            <w:pPr>
              <w:autoSpaceDE w:val="0"/>
              <w:autoSpaceDN w:val="0"/>
              <w:adjustRightInd w:val="0"/>
              <w:snapToGrid w:val="0"/>
              <w:jc w:val="center"/>
              <w:rPr>
                <w:rFonts w:ascii="宋体" w:hAnsi="宋体"/>
                <w:color w:val="auto"/>
                <w:kern w:val="0"/>
                <w:sz w:val="24"/>
              </w:rPr>
            </w:pPr>
          </w:p>
        </w:tc>
      </w:tr>
      <w:tr w14:paraId="713F4D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22EB3BA">
            <w:pPr>
              <w:autoSpaceDE w:val="0"/>
              <w:autoSpaceDN w:val="0"/>
              <w:adjustRightInd w:val="0"/>
              <w:snapToGrid w:val="0"/>
              <w:jc w:val="center"/>
              <w:rPr>
                <w:rFonts w:ascii="宋体" w:hAnsi="宋体"/>
                <w:color w:val="auto"/>
                <w:kern w:val="0"/>
                <w:sz w:val="24"/>
              </w:rPr>
            </w:pPr>
          </w:p>
        </w:tc>
        <w:tc>
          <w:tcPr>
            <w:tcW w:w="1176" w:type="dxa"/>
            <w:vAlign w:val="center"/>
          </w:tcPr>
          <w:p w14:paraId="0B7DC5A4">
            <w:pPr>
              <w:autoSpaceDE w:val="0"/>
              <w:autoSpaceDN w:val="0"/>
              <w:adjustRightInd w:val="0"/>
              <w:snapToGrid w:val="0"/>
              <w:jc w:val="center"/>
              <w:rPr>
                <w:rFonts w:ascii="宋体" w:hAnsi="宋体"/>
                <w:color w:val="auto"/>
                <w:kern w:val="0"/>
                <w:sz w:val="24"/>
              </w:rPr>
            </w:pPr>
          </w:p>
        </w:tc>
        <w:tc>
          <w:tcPr>
            <w:tcW w:w="824" w:type="dxa"/>
            <w:vAlign w:val="center"/>
          </w:tcPr>
          <w:p w14:paraId="544CE797">
            <w:pPr>
              <w:autoSpaceDE w:val="0"/>
              <w:autoSpaceDN w:val="0"/>
              <w:adjustRightInd w:val="0"/>
              <w:snapToGrid w:val="0"/>
              <w:jc w:val="center"/>
              <w:rPr>
                <w:rFonts w:ascii="宋体" w:hAnsi="宋体"/>
                <w:color w:val="auto"/>
                <w:kern w:val="0"/>
                <w:sz w:val="24"/>
              </w:rPr>
            </w:pPr>
          </w:p>
        </w:tc>
        <w:tc>
          <w:tcPr>
            <w:tcW w:w="1072" w:type="dxa"/>
            <w:vAlign w:val="center"/>
          </w:tcPr>
          <w:p w14:paraId="669773AE">
            <w:pPr>
              <w:autoSpaceDE w:val="0"/>
              <w:autoSpaceDN w:val="0"/>
              <w:adjustRightInd w:val="0"/>
              <w:snapToGrid w:val="0"/>
              <w:jc w:val="center"/>
              <w:rPr>
                <w:rFonts w:ascii="宋体" w:hAnsi="宋体"/>
                <w:color w:val="auto"/>
                <w:kern w:val="0"/>
                <w:sz w:val="24"/>
              </w:rPr>
            </w:pPr>
          </w:p>
        </w:tc>
        <w:tc>
          <w:tcPr>
            <w:tcW w:w="728" w:type="dxa"/>
            <w:vAlign w:val="center"/>
          </w:tcPr>
          <w:p w14:paraId="6606E0C8">
            <w:pPr>
              <w:autoSpaceDE w:val="0"/>
              <w:autoSpaceDN w:val="0"/>
              <w:adjustRightInd w:val="0"/>
              <w:snapToGrid w:val="0"/>
              <w:jc w:val="center"/>
              <w:rPr>
                <w:rFonts w:ascii="宋体" w:hAnsi="宋体"/>
                <w:color w:val="auto"/>
                <w:kern w:val="0"/>
                <w:sz w:val="24"/>
              </w:rPr>
            </w:pPr>
          </w:p>
        </w:tc>
        <w:tc>
          <w:tcPr>
            <w:tcW w:w="799" w:type="dxa"/>
            <w:vAlign w:val="center"/>
          </w:tcPr>
          <w:p w14:paraId="57F8EF09">
            <w:pPr>
              <w:autoSpaceDE w:val="0"/>
              <w:autoSpaceDN w:val="0"/>
              <w:adjustRightInd w:val="0"/>
              <w:snapToGrid w:val="0"/>
              <w:jc w:val="center"/>
              <w:rPr>
                <w:rFonts w:ascii="宋体" w:hAnsi="宋体"/>
                <w:color w:val="auto"/>
                <w:kern w:val="0"/>
                <w:sz w:val="24"/>
              </w:rPr>
            </w:pPr>
          </w:p>
        </w:tc>
        <w:tc>
          <w:tcPr>
            <w:tcW w:w="1312" w:type="dxa"/>
            <w:vAlign w:val="center"/>
          </w:tcPr>
          <w:p w14:paraId="08A71736">
            <w:pPr>
              <w:autoSpaceDE w:val="0"/>
              <w:autoSpaceDN w:val="0"/>
              <w:adjustRightInd w:val="0"/>
              <w:snapToGrid w:val="0"/>
              <w:jc w:val="center"/>
              <w:rPr>
                <w:rFonts w:ascii="宋体" w:hAnsi="宋体"/>
                <w:color w:val="auto"/>
                <w:kern w:val="0"/>
                <w:sz w:val="24"/>
              </w:rPr>
            </w:pPr>
          </w:p>
        </w:tc>
        <w:tc>
          <w:tcPr>
            <w:tcW w:w="947" w:type="dxa"/>
            <w:vAlign w:val="center"/>
          </w:tcPr>
          <w:p w14:paraId="52656B53">
            <w:pPr>
              <w:autoSpaceDE w:val="0"/>
              <w:autoSpaceDN w:val="0"/>
              <w:adjustRightInd w:val="0"/>
              <w:snapToGrid w:val="0"/>
              <w:jc w:val="center"/>
              <w:rPr>
                <w:rFonts w:ascii="宋体" w:hAnsi="宋体"/>
                <w:color w:val="auto"/>
                <w:kern w:val="0"/>
                <w:sz w:val="24"/>
              </w:rPr>
            </w:pPr>
          </w:p>
        </w:tc>
        <w:tc>
          <w:tcPr>
            <w:tcW w:w="1141" w:type="dxa"/>
            <w:vAlign w:val="center"/>
          </w:tcPr>
          <w:p w14:paraId="4999FA8D">
            <w:pPr>
              <w:autoSpaceDE w:val="0"/>
              <w:autoSpaceDN w:val="0"/>
              <w:adjustRightInd w:val="0"/>
              <w:snapToGrid w:val="0"/>
              <w:jc w:val="center"/>
              <w:rPr>
                <w:rFonts w:ascii="宋体" w:hAnsi="宋体"/>
                <w:color w:val="auto"/>
                <w:kern w:val="0"/>
                <w:sz w:val="24"/>
              </w:rPr>
            </w:pPr>
          </w:p>
        </w:tc>
        <w:tc>
          <w:tcPr>
            <w:tcW w:w="749" w:type="dxa"/>
            <w:vAlign w:val="center"/>
          </w:tcPr>
          <w:p w14:paraId="04970E04">
            <w:pPr>
              <w:autoSpaceDE w:val="0"/>
              <w:autoSpaceDN w:val="0"/>
              <w:adjustRightInd w:val="0"/>
              <w:snapToGrid w:val="0"/>
              <w:jc w:val="center"/>
              <w:rPr>
                <w:rFonts w:ascii="宋体" w:hAnsi="宋体"/>
                <w:color w:val="auto"/>
                <w:kern w:val="0"/>
                <w:sz w:val="24"/>
              </w:rPr>
            </w:pPr>
          </w:p>
        </w:tc>
      </w:tr>
      <w:tr w14:paraId="00A5C2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8AC8386">
            <w:pPr>
              <w:autoSpaceDE w:val="0"/>
              <w:autoSpaceDN w:val="0"/>
              <w:adjustRightInd w:val="0"/>
              <w:snapToGrid w:val="0"/>
              <w:jc w:val="center"/>
              <w:rPr>
                <w:rFonts w:ascii="宋体" w:hAnsi="宋体"/>
                <w:color w:val="auto"/>
                <w:kern w:val="0"/>
                <w:sz w:val="24"/>
              </w:rPr>
            </w:pPr>
          </w:p>
        </w:tc>
        <w:tc>
          <w:tcPr>
            <w:tcW w:w="1176" w:type="dxa"/>
            <w:vAlign w:val="center"/>
          </w:tcPr>
          <w:p w14:paraId="0E805F0B">
            <w:pPr>
              <w:autoSpaceDE w:val="0"/>
              <w:autoSpaceDN w:val="0"/>
              <w:adjustRightInd w:val="0"/>
              <w:snapToGrid w:val="0"/>
              <w:jc w:val="center"/>
              <w:rPr>
                <w:rFonts w:ascii="宋体" w:hAnsi="宋体"/>
                <w:color w:val="auto"/>
                <w:kern w:val="0"/>
                <w:sz w:val="24"/>
              </w:rPr>
            </w:pPr>
          </w:p>
        </w:tc>
        <w:tc>
          <w:tcPr>
            <w:tcW w:w="824" w:type="dxa"/>
            <w:vAlign w:val="center"/>
          </w:tcPr>
          <w:p w14:paraId="507F7BB0">
            <w:pPr>
              <w:autoSpaceDE w:val="0"/>
              <w:autoSpaceDN w:val="0"/>
              <w:adjustRightInd w:val="0"/>
              <w:snapToGrid w:val="0"/>
              <w:jc w:val="center"/>
              <w:rPr>
                <w:rFonts w:ascii="宋体" w:hAnsi="宋体"/>
                <w:color w:val="auto"/>
                <w:kern w:val="0"/>
                <w:sz w:val="24"/>
              </w:rPr>
            </w:pPr>
          </w:p>
        </w:tc>
        <w:tc>
          <w:tcPr>
            <w:tcW w:w="1072" w:type="dxa"/>
            <w:vAlign w:val="center"/>
          </w:tcPr>
          <w:p w14:paraId="1787FB82">
            <w:pPr>
              <w:autoSpaceDE w:val="0"/>
              <w:autoSpaceDN w:val="0"/>
              <w:adjustRightInd w:val="0"/>
              <w:snapToGrid w:val="0"/>
              <w:jc w:val="center"/>
              <w:rPr>
                <w:rFonts w:ascii="宋体" w:hAnsi="宋体"/>
                <w:color w:val="auto"/>
                <w:kern w:val="0"/>
                <w:sz w:val="24"/>
              </w:rPr>
            </w:pPr>
          </w:p>
        </w:tc>
        <w:tc>
          <w:tcPr>
            <w:tcW w:w="728" w:type="dxa"/>
            <w:vAlign w:val="center"/>
          </w:tcPr>
          <w:p w14:paraId="71B914DE">
            <w:pPr>
              <w:autoSpaceDE w:val="0"/>
              <w:autoSpaceDN w:val="0"/>
              <w:adjustRightInd w:val="0"/>
              <w:snapToGrid w:val="0"/>
              <w:jc w:val="center"/>
              <w:rPr>
                <w:rFonts w:ascii="宋体" w:hAnsi="宋体"/>
                <w:color w:val="auto"/>
                <w:kern w:val="0"/>
                <w:sz w:val="24"/>
              </w:rPr>
            </w:pPr>
          </w:p>
        </w:tc>
        <w:tc>
          <w:tcPr>
            <w:tcW w:w="799" w:type="dxa"/>
            <w:vAlign w:val="center"/>
          </w:tcPr>
          <w:p w14:paraId="2444EBEE">
            <w:pPr>
              <w:autoSpaceDE w:val="0"/>
              <w:autoSpaceDN w:val="0"/>
              <w:adjustRightInd w:val="0"/>
              <w:snapToGrid w:val="0"/>
              <w:jc w:val="center"/>
              <w:rPr>
                <w:rFonts w:ascii="宋体" w:hAnsi="宋体"/>
                <w:color w:val="auto"/>
                <w:kern w:val="0"/>
                <w:sz w:val="24"/>
              </w:rPr>
            </w:pPr>
          </w:p>
        </w:tc>
        <w:tc>
          <w:tcPr>
            <w:tcW w:w="1312" w:type="dxa"/>
            <w:vAlign w:val="center"/>
          </w:tcPr>
          <w:p w14:paraId="6BB0AF6D">
            <w:pPr>
              <w:autoSpaceDE w:val="0"/>
              <w:autoSpaceDN w:val="0"/>
              <w:adjustRightInd w:val="0"/>
              <w:snapToGrid w:val="0"/>
              <w:jc w:val="center"/>
              <w:rPr>
                <w:rFonts w:ascii="宋体" w:hAnsi="宋体"/>
                <w:color w:val="auto"/>
                <w:kern w:val="0"/>
                <w:sz w:val="24"/>
              </w:rPr>
            </w:pPr>
          </w:p>
        </w:tc>
        <w:tc>
          <w:tcPr>
            <w:tcW w:w="947" w:type="dxa"/>
            <w:vAlign w:val="center"/>
          </w:tcPr>
          <w:p w14:paraId="4D93D0DA">
            <w:pPr>
              <w:autoSpaceDE w:val="0"/>
              <w:autoSpaceDN w:val="0"/>
              <w:adjustRightInd w:val="0"/>
              <w:snapToGrid w:val="0"/>
              <w:jc w:val="center"/>
              <w:rPr>
                <w:rFonts w:ascii="宋体" w:hAnsi="宋体"/>
                <w:color w:val="auto"/>
                <w:kern w:val="0"/>
                <w:sz w:val="24"/>
              </w:rPr>
            </w:pPr>
          </w:p>
        </w:tc>
        <w:tc>
          <w:tcPr>
            <w:tcW w:w="1141" w:type="dxa"/>
            <w:vAlign w:val="center"/>
          </w:tcPr>
          <w:p w14:paraId="219D080E">
            <w:pPr>
              <w:autoSpaceDE w:val="0"/>
              <w:autoSpaceDN w:val="0"/>
              <w:adjustRightInd w:val="0"/>
              <w:snapToGrid w:val="0"/>
              <w:jc w:val="center"/>
              <w:rPr>
                <w:rFonts w:ascii="宋体" w:hAnsi="宋体"/>
                <w:color w:val="auto"/>
                <w:kern w:val="0"/>
                <w:sz w:val="24"/>
              </w:rPr>
            </w:pPr>
          </w:p>
        </w:tc>
        <w:tc>
          <w:tcPr>
            <w:tcW w:w="749" w:type="dxa"/>
            <w:vAlign w:val="center"/>
          </w:tcPr>
          <w:p w14:paraId="12C1DC71">
            <w:pPr>
              <w:autoSpaceDE w:val="0"/>
              <w:autoSpaceDN w:val="0"/>
              <w:adjustRightInd w:val="0"/>
              <w:snapToGrid w:val="0"/>
              <w:jc w:val="center"/>
              <w:rPr>
                <w:rFonts w:ascii="宋体" w:hAnsi="宋体"/>
                <w:color w:val="auto"/>
                <w:kern w:val="0"/>
                <w:sz w:val="24"/>
              </w:rPr>
            </w:pPr>
          </w:p>
        </w:tc>
      </w:tr>
      <w:tr w14:paraId="7121BC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5B7B180">
            <w:pPr>
              <w:autoSpaceDE w:val="0"/>
              <w:autoSpaceDN w:val="0"/>
              <w:adjustRightInd w:val="0"/>
              <w:snapToGrid w:val="0"/>
              <w:jc w:val="center"/>
              <w:rPr>
                <w:rFonts w:ascii="宋体" w:hAnsi="宋体"/>
                <w:color w:val="auto"/>
                <w:kern w:val="0"/>
                <w:sz w:val="24"/>
              </w:rPr>
            </w:pPr>
          </w:p>
        </w:tc>
        <w:tc>
          <w:tcPr>
            <w:tcW w:w="1176" w:type="dxa"/>
            <w:vAlign w:val="center"/>
          </w:tcPr>
          <w:p w14:paraId="0BA16A8D">
            <w:pPr>
              <w:autoSpaceDE w:val="0"/>
              <w:autoSpaceDN w:val="0"/>
              <w:adjustRightInd w:val="0"/>
              <w:snapToGrid w:val="0"/>
              <w:jc w:val="center"/>
              <w:rPr>
                <w:rFonts w:ascii="宋体" w:hAnsi="宋体"/>
                <w:color w:val="auto"/>
                <w:kern w:val="0"/>
                <w:sz w:val="24"/>
              </w:rPr>
            </w:pPr>
          </w:p>
        </w:tc>
        <w:tc>
          <w:tcPr>
            <w:tcW w:w="824" w:type="dxa"/>
            <w:vAlign w:val="center"/>
          </w:tcPr>
          <w:p w14:paraId="7E25B5CA">
            <w:pPr>
              <w:autoSpaceDE w:val="0"/>
              <w:autoSpaceDN w:val="0"/>
              <w:adjustRightInd w:val="0"/>
              <w:snapToGrid w:val="0"/>
              <w:jc w:val="center"/>
              <w:rPr>
                <w:rFonts w:ascii="宋体" w:hAnsi="宋体"/>
                <w:color w:val="auto"/>
                <w:kern w:val="0"/>
                <w:sz w:val="24"/>
              </w:rPr>
            </w:pPr>
          </w:p>
        </w:tc>
        <w:tc>
          <w:tcPr>
            <w:tcW w:w="1072" w:type="dxa"/>
            <w:vAlign w:val="center"/>
          </w:tcPr>
          <w:p w14:paraId="7BBD4C41">
            <w:pPr>
              <w:autoSpaceDE w:val="0"/>
              <w:autoSpaceDN w:val="0"/>
              <w:adjustRightInd w:val="0"/>
              <w:snapToGrid w:val="0"/>
              <w:jc w:val="center"/>
              <w:rPr>
                <w:rFonts w:ascii="宋体" w:hAnsi="宋体"/>
                <w:color w:val="auto"/>
                <w:kern w:val="0"/>
                <w:sz w:val="24"/>
              </w:rPr>
            </w:pPr>
          </w:p>
        </w:tc>
        <w:tc>
          <w:tcPr>
            <w:tcW w:w="728" w:type="dxa"/>
            <w:vAlign w:val="center"/>
          </w:tcPr>
          <w:p w14:paraId="112074F4">
            <w:pPr>
              <w:autoSpaceDE w:val="0"/>
              <w:autoSpaceDN w:val="0"/>
              <w:adjustRightInd w:val="0"/>
              <w:snapToGrid w:val="0"/>
              <w:jc w:val="center"/>
              <w:rPr>
                <w:rFonts w:ascii="宋体" w:hAnsi="宋体"/>
                <w:color w:val="auto"/>
                <w:kern w:val="0"/>
                <w:sz w:val="24"/>
              </w:rPr>
            </w:pPr>
          </w:p>
        </w:tc>
        <w:tc>
          <w:tcPr>
            <w:tcW w:w="799" w:type="dxa"/>
            <w:vAlign w:val="center"/>
          </w:tcPr>
          <w:p w14:paraId="222D728B">
            <w:pPr>
              <w:autoSpaceDE w:val="0"/>
              <w:autoSpaceDN w:val="0"/>
              <w:adjustRightInd w:val="0"/>
              <w:snapToGrid w:val="0"/>
              <w:jc w:val="center"/>
              <w:rPr>
                <w:rFonts w:ascii="宋体" w:hAnsi="宋体"/>
                <w:color w:val="auto"/>
                <w:kern w:val="0"/>
                <w:sz w:val="24"/>
              </w:rPr>
            </w:pPr>
          </w:p>
        </w:tc>
        <w:tc>
          <w:tcPr>
            <w:tcW w:w="1312" w:type="dxa"/>
            <w:vAlign w:val="center"/>
          </w:tcPr>
          <w:p w14:paraId="235742AA">
            <w:pPr>
              <w:autoSpaceDE w:val="0"/>
              <w:autoSpaceDN w:val="0"/>
              <w:adjustRightInd w:val="0"/>
              <w:snapToGrid w:val="0"/>
              <w:jc w:val="center"/>
              <w:rPr>
                <w:rFonts w:ascii="宋体" w:hAnsi="宋体"/>
                <w:color w:val="auto"/>
                <w:kern w:val="0"/>
                <w:sz w:val="24"/>
              </w:rPr>
            </w:pPr>
          </w:p>
        </w:tc>
        <w:tc>
          <w:tcPr>
            <w:tcW w:w="947" w:type="dxa"/>
            <w:vAlign w:val="center"/>
          </w:tcPr>
          <w:p w14:paraId="540B1B94">
            <w:pPr>
              <w:autoSpaceDE w:val="0"/>
              <w:autoSpaceDN w:val="0"/>
              <w:adjustRightInd w:val="0"/>
              <w:snapToGrid w:val="0"/>
              <w:jc w:val="center"/>
              <w:rPr>
                <w:rFonts w:ascii="宋体" w:hAnsi="宋体"/>
                <w:color w:val="auto"/>
                <w:kern w:val="0"/>
                <w:sz w:val="24"/>
              </w:rPr>
            </w:pPr>
          </w:p>
        </w:tc>
        <w:tc>
          <w:tcPr>
            <w:tcW w:w="1141" w:type="dxa"/>
            <w:vAlign w:val="center"/>
          </w:tcPr>
          <w:p w14:paraId="55139F6E">
            <w:pPr>
              <w:autoSpaceDE w:val="0"/>
              <w:autoSpaceDN w:val="0"/>
              <w:adjustRightInd w:val="0"/>
              <w:snapToGrid w:val="0"/>
              <w:jc w:val="center"/>
              <w:rPr>
                <w:rFonts w:ascii="宋体" w:hAnsi="宋体"/>
                <w:color w:val="auto"/>
                <w:kern w:val="0"/>
                <w:sz w:val="24"/>
              </w:rPr>
            </w:pPr>
          </w:p>
        </w:tc>
        <w:tc>
          <w:tcPr>
            <w:tcW w:w="749" w:type="dxa"/>
            <w:vAlign w:val="center"/>
          </w:tcPr>
          <w:p w14:paraId="201A777B">
            <w:pPr>
              <w:autoSpaceDE w:val="0"/>
              <w:autoSpaceDN w:val="0"/>
              <w:adjustRightInd w:val="0"/>
              <w:snapToGrid w:val="0"/>
              <w:jc w:val="center"/>
              <w:rPr>
                <w:rFonts w:ascii="宋体" w:hAnsi="宋体"/>
                <w:color w:val="auto"/>
                <w:kern w:val="0"/>
                <w:sz w:val="24"/>
              </w:rPr>
            </w:pPr>
          </w:p>
        </w:tc>
      </w:tr>
      <w:tr w14:paraId="4F85C9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2B69466">
            <w:pPr>
              <w:autoSpaceDE w:val="0"/>
              <w:autoSpaceDN w:val="0"/>
              <w:adjustRightInd w:val="0"/>
              <w:snapToGrid w:val="0"/>
              <w:jc w:val="center"/>
              <w:rPr>
                <w:rFonts w:ascii="宋体" w:hAnsi="宋体"/>
                <w:color w:val="auto"/>
                <w:kern w:val="0"/>
                <w:sz w:val="24"/>
              </w:rPr>
            </w:pPr>
          </w:p>
        </w:tc>
        <w:tc>
          <w:tcPr>
            <w:tcW w:w="1176" w:type="dxa"/>
            <w:vAlign w:val="center"/>
          </w:tcPr>
          <w:p w14:paraId="5C9EF2C4">
            <w:pPr>
              <w:autoSpaceDE w:val="0"/>
              <w:autoSpaceDN w:val="0"/>
              <w:adjustRightInd w:val="0"/>
              <w:snapToGrid w:val="0"/>
              <w:jc w:val="center"/>
              <w:rPr>
                <w:rFonts w:ascii="宋体" w:hAnsi="宋体"/>
                <w:color w:val="auto"/>
                <w:kern w:val="0"/>
                <w:sz w:val="24"/>
              </w:rPr>
            </w:pPr>
          </w:p>
        </w:tc>
        <w:tc>
          <w:tcPr>
            <w:tcW w:w="824" w:type="dxa"/>
            <w:vAlign w:val="center"/>
          </w:tcPr>
          <w:p w14:paraId="0DA84171">
            <w:pPr>
              <w:autoSpaceDE w:val="0"/>
              <w:autoSpaceDN w:val="0"/>
              <w:adjustRightInd w:val="0"/>
              <w:snapToGrid w:val="0"/>
              <w:jc w:val="center"/>
              <w:rPr>
                <w:rFonts w:ascii="宋体" w:hAnsi="宋体"/>
                <w:color w:val="auto"/>
                <w:kern w:val="0"/>
                <w:sz w:val="24"/>
              </w:rPr>
            </w:pPr>
          </w:p>
        </w:tc>
        <w:tc>
          <w:tcPr>
            <w:tcW w:w="1072" w:type="dxa"/>
            <w:vAlign w:val="center"/>
          </w:tcPr>
          <w:p w14:paraId="49885904">
            <w:pPr>
              <w:autoSpaceDE w:val="0"/>
              <w:autoSpaceDN w:val="0"/>
              <w:adjustRightInd w:val="0"/>
              <w:snapToGrid w:val="0"/>
              <w:jc w:val="center"/>
              <w:rPr>
                <w:rFonts w:ascii="宋体" w:hAnsi="宋体"/>
                <w:color w:val="auto"/>
                <w:kern w:val="0"/>
                <w:sz w:val="24"/>
              </w:rPr>
            </w:pPr>
          </w:p>
        </w:tc>
        <w:tc>
          <w:tcPr>
            <w:tcW w:w="728" w:type="dxa"/>
            <w:vAlign w:val="center"/>
          </w:tcPr>
          <w:p w14:paraId="7C69F9C8">
            <w:pPr>
              <w:autoSpaceDE w:val="0"/>
              <w:autoSpaceDN w:val="0"/>
              <w:adjustRightInd w:val="0"/>
              <w:snapToGrid w:val="0"/>
              <w:jc w:val="center"/>
              <w:rPr>
                <w:rFonts w:ascii="宋体" w:hAnsi="宋体"/>
                <w:color w:val="auto"/>
                <w:kern w:val="0"/>
                <w:sz w:val="24"/>
              </w:rPr>
            </w:pPr>
          </w:p>
        </w:tc>
        <w:tc>
          <w:tcPr>
            <w:tcW w:w="799" w:type="dxa"/>
            <w:vAlign w:val="center"/>
          </w:tcPr>
          <w:p w14:paraId="14849096">
            <w:pPr>
              <w:autoSpaceDE w:val="0"/>
              <w:autoSpaceDN w:val="0"/>
              <w:adjustRightInd w:val="0"/>
              <w:snapToGrid w:val="0"/>
              <w:jc w:val="center"/>
              <w:rPr>
                <w:rFonts w:ascii="宋体" w:hAnsi="宋体"/>
                <w:color w:val="auto"/>
                <w:kern w:val="0"/>
                <w:sz w:val="24"/>
              </w:rPr>
            </w:pPr>
          </w:p>
        </w:tc>
        <w:tc>
          <w:tcPr>
            <w:tcW w:w="1312" w:type="dxa"/>
            <w:vAlign w:val="center"/>
          </w:tcPr>
          <w:p w14:paraId="68118466">
            <w:pPr>
              <w:autoSpaceDE w:val="0"/>
              <w:autoSpaceDN w:val="0"/>
              <w:adjustRightInd w:val="0"/>
              <w:snapToGrid w:val="0"/>
              <w:jc w:val="center"/>
              <w:rPr>
                <w:rFonts w:ascii="宋体" w:hAnsi="宋体"/>
                <w:color w:val="auto"/>
                <w:kern w:val="0"/>
                <w:sz w:val="24"/>
              </w:rPr>
            </w:pPr>
          </w:p>
        </w:tc>
        <w:tc>
          <w:tcPr>
            <w:tcW w:w="947" w:type="dxa"/>
            <w:vAlign w:val="center"/>
          </w:tcPr>
          <w:p w14:paraId="77EBA39C">
            <w:pPr>
              <w:autoSpaceDE w:val="0"/>
              <w:autoSpaceDN w:val="0"/>
              <w:adjustRightInd w:val="0"/>
              <w:snapToGrid w:val="0"/>
              <w:jc w:val="center"/>
              <w:rPr>
                <w:rFonts w:ascii="宋体" w:hAnsi="宋体"/>
                <w:color w:val="auto"/>
                <w:kern w:val="0"/>
                <w:sz w:val="24"/>
              </w:rPr>
            </w:pPr>
          </w:p>
        </w:tc>
        <w:tc>
          <w:tcPr>
            <w:tcW w:w="1141" w:type="dxa"/>
            <w:vAlign w:val="center"/>
          </w:tcPr>
          <w:p w14:paraId="486B46B1">
            <w:pPr>
              <w:autoSpaceDE w:val="0"/>
              <w:autoSpaceDN w:val="0"/>
              <w:adjustRightInd w:val="0"/>
              <w:snapToGrid w:val="0"/>
              <w:jc w:val="center"/>
              <w:rPr>
                <w:rFonts w:ascii="宋体" w:hAnsi="宋体"/>
                <w:color w:val="auto"/>
                <w:kern w:val="0"/>
                <w:sz w:val="24"/>
              </w:rPr>
            </w:pPr>
          </w:p>
        </w:tc>
        <w:tc>
          <w:tcPr>
            <w:tcW w:w="749" w:type="dxa"/>
            <w:vAlign w:val="center"/>
          </w:tcPr>
          <w:p w14:paraId="6A1CFAB8">
            <w:pPr>
              <w:autoSpaceDE w:val="0"/>
              <w:autoSpaceDN w:val="0"/>
              <w:adjustRightInd w:val="0"/>
              <w:snapToGrid w:val="0"/>
              <w:jc w:val="center"/>
              <w:rPr>
                <w:rFonts w:ascii="宋体" w:hAnsi="宋体"/>
                <w:color w:val="auto"/>
                <w:kern w:val="0"/>
                <w:sz w:val="24"/>
              </w:rPr>
            </w:pPr>
          </w:p>
        </w:tc>
      </w:tr>
      <w:tr w14:paraId="1FE10F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8F98A50">
            <w:pPr>
              <w:autoSpaceDE w:val="0"/>
              <w:autoSpaceDN w:val="0"/>
              <w:adjustRightInd w:val="0"/>
              <w:snapToGrid w:val="0"/>
              <w:jc w:val="center"/>
              <w:rPr>
                <w:rFonts w:ascii="宋体" w:hAnsi="宋体"/>
                <w:color w:val="auto"/>
                <w:kern w:val="0"/>
                <w:sz w:val="24"/>
              </w:rPr>
            </w:pPr>
          </w:p>
        </w:tc>
        <w:tc>
          <w:tcPr>
            <w:tcW w:w="1176" w:type="dxa"/>
            <w:vAlign w:val="center"/>
          </w:tcPr>
          <w:p w14:paraId="765C962F">
            <w:pPr>
              <w:autoSpaceDE w:val="0"/>
              <w:autoSpaceDN w:val="0"/>
              <w:adjustRightInd w:val="0"/>
              <w:snapToGrid w:val="0"/>
              <w:jc w:val="center"/>
              <w:rPr>
                <w:rFonts w:ascii="宋体" w:hAnsi="宋体"/>
                <w:color w:val="auto"/>
                <w:kern w:val="0"/>
                <w:sz w:val="24"/>
              </w:rPr>
            </w:pPr>
          </w:p>
        </w:tc>
        <w:tc>
          <w:tcPr>
            <w:tcW w:w="824" w:type="dxa"/>
            <w:vAlign w:val="center"/>
          </w:tcPr>
          <w:p w14:paraId="25EC410E">
            <w:pPr>
              <w:autoSpaceDE w:val="0"/>
              <w:autoSpaceDN w:val="0"/>
              <w:adjustRightInd w:val="0"/>
              <w:snapToGrid w:val="0"/>
              <w:jc w:val="center"/>
              <w:rPr>
                <w:rFonts w:ascii="宋体" w:hAnsi="宋体"/>
                <w:color w:val="auto"/>
                <w:kern w:val="0"/>
                <w:sz w:val="24"/>
              </w:rPr>
            </w:pPr>
          </w:p>
        </w:tc>
        <w:tc>
          <w:tcPr>
            <w:tcW w:w="1072" w:type="dxa"/>
            <w:vAlign w:val="center"/>
          </w:tcPr>
          <w:p w14:paraId="3F584591">
            <w:pPr>
              <w:autoSpaceDE w:val="0"/>
              <w:autoSpaceDN w:val="0"/>
              <w:adjustRightInd w:val="0"/>
              <w:snapToGrid w:val="0"/>
              <w:jc w:val="center"/>
              <w:rPr>
                <w:rFonts w:ascii="宋体" w:hAnsi="宋体"/>
                <w:color w:val="auto"/>
                <w:kern w:val="0"/>
                <w:sz w:val="24"/>
              </w:rPr>
            </w:pPr>
          </w:p>
        </w:tc>
        <w:tc>
          <w:tcPr>
            <w:tcW w:w="728" w:type="dxa"/>
            <w:vAlign w:val="center"/>
          </w:tcPr>
          <w:p w14:paraId="35A259C8">
            <w:pPr>
              <w:autoSpaceDE w:val="0"/>
              <w:autoSpaceDN w:val="0"/>
              <w:adjustRightInd w:val="0"/>
              <w:snapToGrid w:val="0"/>
              <w:jc w:val="center"/>
              <w:rPr>
                <w:rFonts w:ascii="宋体" w:hAnsi="宋体"/>
                <w:color w:val="auto"/>
                <w:kern w:val="0"/>
                <w:sz w:val="24"/>
              </w:rPr>
            </w:pPr>
          </w:p>
        </w:tc>
        <w:tc>
          <w:tcPr>
            <w:tcW w:w="799" w:type="dxa"/>
            <w:vAlign w:val="center"/>
          </w:tcPr>
          <w:p w14:paraId="4780415B">
            <w:pPr>
              <w:autoSpaceDE w:val="0"/>
              <w:autoSpaceDN w:val="0"/>
              <w:adjustRightInd w:val="0"/>
              <w:snapToGrid w:val="0"/>
              <w:jc w:val="center"/>
              <w:rPr>
                <w:rFonts w:ascii="宋体" w:hAnsi="宋体"/>
                <w:color w:val="auto"/>
                <w:kern w:val="0"/>
                <w:sz w:val="24"/>
              </w:rPr>
            </w:pPr>
          </w:p>
        </w:tc>
        <w:tc>
          <w:tcPr>
            <w:tcW w:w="1312" w:type="dxa"/>
            <w:vAlign w:val="center"/>
          </w:tcPr>
          <w:p w14:paraId="79616B7B">
            <w:pPr>
              <w:autoSpaceDE w:val="0"/>
              <w:autoSpaceDN w:val="0"/>
              <w:adjustRightInd w:val="0"/>
              <w:snapToGrid w:val="0"/>
              <w:jc w:val="center"/>
              <w:rPr>
                <w:rFonts w:ascii="宋体" w:hAnsi="宋体"/>
                <w:color w:val="auto"/>
                <w:kern w:val="0"/>
                <w:sz w:val="24"/>
              </w:rPr>
            </w:pPr>
          </w:p>
        </w:tc>
        <w:tc>
          <w:tcPr>
            <w:tcW w:w="947" w:type="dxa"/>
            <w:vAlign w:val="center"/>
          </w:tcPr>
          <w:p w14:paraId="36AC3D20">
            <w:pPr>
              <w:autoSpaceDE w:val="0"/>
              <w:autoSpaceDN w:val="0"/>
              <w:adjustRightInd w:val="0"/>
              <w:snapToGrid w:val="0"/>
              <w:jc w:val="center"/>
              <w:rPr>
                <w:rFonts w:ascii="宋体" w:hAnsi="宋体"/>
                <w:color w:val="auto"/>
                <w:kern w:val="0"/>
                <w:sz w:val="24"/>
              </w:rPr>
            </w:pPr>
          </w:p>
        </w:tc>
        <w:tc>
          <w:tcPr>
            <w:tcW w:w="1141" w:type="dxa"/>
            <w:vAlign w:val="center"/>
          </w:tcPr>
          <w:p w14:paraId="3998ABBB">
            <w:pPr>
              <w:autoSpaceDE w:val="0"/>
              <w:autoSpaceDN w:val="0"/>
              <w:adjustRightInd w:val="0"/>
              <w:snapToGrid w:val="0"/>
              <w:jc w:val="center"/>
              <w:rPr>
                <w:rFonts w:ascii="宋体" w:hAnsi="宋体"/>
                <w:color w:val="auto"/>
                <w:kern w:val="0"/>
                <w:sz w:val="24"/>
              </w:rPr>
            </w:pPr>
          </w:p>
        </w:tc>
        <w:tc>
          <w:tcPr>
            <w:tcW w:w="749" w:type="dxa"/>
            <w:vAlign w:val="center"/>
          </w:tcPr>
          <w:p w14:paraId="72147870">
            <w:pPr>
              <w:autoSpaceDE w:val="0"/>
              <w:autoSpaceDN w:val="0"/>
              <w:adjustRightInd w:val="0"/>
              <w:snapToGrid w:val="0"/>
              <w:jc w:val="center"/>
              <w:rPr>
                <w:rFonts w:ascii="宋体" w:hAnsi="宋体"/>
                <w:color w:val="auto"/>
                <w:kern w:val="0"/>
                <w:sz w:val="24"/>
              </w:rPr>
            </w:pPr>
          </w:p>
        </w:tc>
      </w:tr>
      <w:tr w14:paraId="420668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F9DA389">
            <w:pPr>
              <w:autoSpaceDE w:val="0"/>
              <w:autoSpaceDN w:val="0"/>
              <w:adjustRightInd w:val="0"/>
              <w:snapToGrid w:val="0"/>
              <w:jc w:val="center"/>
              <w:rPr>
                <w:rFonts w:ascii="宋体" w:hAnsi="宋体"/>
                <w:color w:val="auto"/>
                <w:kern w:val="0"/>
                <w:sz w:val="24"/>
              </w:rPr>
            </w:pPr>
          </w:p>
        </w:tc>
        <w:tc>
          <w:tcPr>
            <w:tcW w:w="1176" w:type="dxa"/>
            <w:vAlign w:val="center"/>
          </w:tcPr>
          <w:p w14:paraId="5C499548">
            <w:pPr>
              <w:autoSpaceDE w:val="0"/>
              <w:autoSpaceDN w:val="0"/>
              <w:adjustRightInd w:val="0"/>
              <w:snapToGrid w:val="0"/>
              <w:jc w:val="center"/>
              <w:rPr>
                <w:rFonts w:ascii="宋体" w:hAnsi="宋体"/>
                <w:color w:val="auto"/>
                <w:kern w:val="0"/>
                <w:sz w:val="24"/>
              </w:rPr>
            </w:pPr>
          </w:p>
        </w:tc>
        <w:tc>
          <w:tcPr>
            <w:tcW w:w="824" w:type="dxa"/>
            <w:vAlign w:val="center"/>
          </w:tcPr>
          <w:p w14:paraId="0145A946">
            <w:pPr>
              <w:autoSpaceDE w:val="0"/>
              <w:autoSpaceDN w:val="0"/>
              <w:adjustRightInd w:val="0"/>
              <w:snapToGrid w:val="0"/>
              <w:jc w:val="center"/>
              <w:rPr>
                <w:rFonts w:ascii="宋体" w:hAnsi="宋体"/>
                <w:color w:val="auto"/>
                <w:kern w:val="0"/>
                <w:sz w:val="24"/>
              </w:rPr>
            </w:pPr>
          </w:p>
        </w:tc>
        <w:tc>
          <w:tcPr>
            <w:tcW w:w="1072" w:type="dxa"/>
            <w:vAlign w:val="center"/>
          </w:tcPr>
          <w:p w14:paraId="442EAD53">
            <w:pPr>
              <w:autoSpaceDE w:val="0"/>
              <w:autoSpaceDN w:val="0"/>
              <w:adjustRightInd w:val="0"/>
              <w:snapToGrid w:val="0"/>
              <w:jc w:val="center"/>
              <w:rPr>
                <w:rFonts w:ascii="宋体" w:hAnsi="宋体"/>
                <w:color w:val="auto"/>
                <w:kern w:val="0"/>
                <w:sz w:val="24"/>
              </w:rPr>
            </w:pPr>
          </w:p>
        </w:tc>
        <w:tc>
          <w:tcPr>
            <w:tcW w:w="728" w:type="dxa"/>
            <w:vAlign w:val="center"/>
          </w:tcPr>
          <w:p w14:paraId="5C3EF864">
            <w:pPr>
              <w:autoSpaceDE w:val="0"/>
              <w:autoSpaceDN w:val="0"/>
              <w:adjustRightInd w:val="0"/>
              <w:snapToGrid w:val="0"/>
              <w:jc w:val="center"/>
              <w:rPr>
                <w:rFonts w:ascii="宋体" w:hAnsi="宋体"/>
                <w:color w:val="auto"/>
                <w:kern w:val="0"/>
                <w:sz w:val="24"/>
              </w:rPr>
            </w:pPr>
          </w:p>
        </w:tc>
        <w:tc>
          <w:tcPr>
            <w:tcW w:w="799" w:type="dxa"/>
            <w:vAlign w:val="center"/>
          </w:tcPr>
          <w:p w14:paraId="20B7881F">
            <w:pPr>
              <w:autoSpaceDE w:val="0"/>
              <w:autoSpaceDN w:val="0"/>
              <w:adjustRightInd w:val="0"/>
              <w:snapToGrid w:val="0"/>
              <w:jc w:val="center"/>
              <w:rPr>
                <w:rFonts w:ascii="宋体" w:hAnsi="宋体"/>
                <w:color w:val="auto"/>
                <w:kern w:val="0"/>
                <w:sz w:val="24"/>
              </w:rPr>
            </w:pPr>
          </w:p>
        </w:tc>
        <w:tc>
          <w:tcPr>
            <w:tcW w:w="1312" w:type="dxa"/>
            <w:vAlign w:val="center"/>
          </w:tcPr>
          <w:p w14:paraId="089AAC98">
            <w:pPr>
              <w:autoSpaceDE w:val="0"/>
              <w:autoSpaceDN w:val="0"/>
              <w:adjustRightInd w:val="0"/>
              <w:snapToGrid w:val="0"/>
              <w:jc w:val="center"/>
              <w:rPr>
                <w:rFonts w:ascii="宋体" w:hAnsi="宋体"/>
                <w:color w:val="auto"/>
                <w:kern w:val="0"/>
                <w:sz w:val="24"/>
              </w:rPr>
            </w:pPr>
          </w:p>
        </w:tc>
        <w:tc>
          <w:tcPr>
            <w:tcW w:w="947" w:type="dxa"/>
            <w:vAlign w:val="center"/>
          </w:tcPr>
          <w:p w14:paraId="57A93F38">
            <w:pPr>
              <w:autoSpaceDE w:val="0"/>
              <w:autoSpaceDN w:val="0"/>
              <w:adjustRightInd w:val="0"/>
              <w:snapToGrid w:val="0"/>
              <w:jc w:val="center"/>
              <w:rPr>
                <w:rFonts w:ascii="宋体" w:hAnsi="宋体"/>
                <w:color w:val="auto"/>
                <w:kern w:val="0"/>
                <w:sz w:val="24"/>
              </w:rPr>
            </w:pPr>
          </w:p>
        </w:tc>
        <w:tc>
          <w:tcPr>
            <w:tcW w:w="1141" w:type="dxa"/>
            <w:vAlign w:val="center"/>
          </w:tcPr>
          <w:p w14:paraId="7FF04C5A">
            <w:pPr>
              <w:autoSpaceDE w:val="0"/>
              <w:autoSpaceDN w:val="0"/>
              <w:adjustRightInd w:val="0"/>
              <w:snapToGrid w:val="0"/>
              <w:jc w:val="center"/>
              <w:rPr>
                <w:rFonts w:ascii="宋体" w:hAnsi="宋体"/>
                <w:color w:val="auto"/>
                <w:kern w:val="0"/>
                <w:sz w:val="24"/>
              </w:rPr>
            </w:pPr>
          </w:p>
        </w:tc>
        <w:tc>
          <w:tcPr>
            <w:tcW w:w="749" w:type="dxa"/>
            <w:vAlign w:val="center"/>
          </w:tcPr>
          <w:p w14:paraId="44C02363">
            <w:pPr>
              <w:autoSpaceDE w:val="0"/>
              <w:autoSpaceDN w:val="0"/>
              <w:adjustRightInd w:val="0"/>
              <w:snapToGrid w:val="0"/>
              <w:jc w:val="center"/>
              <w:rPr>
                <w:rFonts w:ascii="宋体" w:hAnsi="宋体"/>
                <w:color w:val="auto"/>
                <w:kern w:val="0"/>
                <w:sz w:val="24"/>
              </w:rPr>
            </w:pPr>
          </w:p>
        </w:tc>
      </w:tr>
      <w:tr w14:paraId="57B32C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89A51FB">
            <w:pPr>
              <w:autoSpaceDE w:val="0"/>
              <w:autoSpaceDN w:val="0"/>
              <w:adjustRightInd w:val="0"/>
              <w:snapToGrid w:val="0"/>
              <w:jc w:val="center"/>
              <w:rPr>
                <w:rFonts w:ascii="宋体" w:hAnsi="宋体"/>
                <w:color w:val="auto"/>
                <w:kern w:val="0"/>
                <w:sz w:val="24"/>
              </w:rPr>
            </w:pPr>
          </w:p>
        </w:tc>
        <w:tc>
          <w:tcPr>
            <w:tcW w:w="1176" w:type="dxa"/>
            <w:vAlign w:val="center"/>
          </w:tcPr>
          <w:p w14:paraId="64541521">
            <w:pPr>
              <w:autoSpaceDE w:val="0"/>
              <w:autoSpaceDN w:val="0"/>
              <w:adjustRightInd w:val="0"/>
              <w:snapToGrid w:val="0"/>
              <w:jc w:val="center"/>
              <w:rPr>
                <w:rFonts w:ascii="宋体" w:hAnsi="宋体"/>
                <w:color w:val="auto"/>
                <w:kern w:val="0"/>
                <w:sz w:val="24"/>
              </w:rPr>
            </w:pPr>
          </w:p>
        </w:tc>
        <w:tc>
          <w:tcPr>
            <w:tcW w:w="824" w:type="dxa"/>
            <w:vAlign w:val="center"/>
          </w:tcPr>
          <w:p w14:paraId="5068F483">
            <w:pPr>
              <w:autoSpaceDE w:val="0"/>
              <w:autoSpaceDN w:val="0"/>
              <w:adjustRightInd w:val="0"/>
              <w:snapToGrid w:val="0"/>
              <w:jc w:val="center"/>
              <w:rPr>
                <w:rFonts w:ascii="宋体" w:hAnsi="宋体"/>
                <w:color w:val="auto"/>
                <w:kern w:val="0"/>
                <w:sz w:val="24"/>
              </w:rPr>
            </w:pPr>
          </w:p>
        </w:tc>
        <w:tc>
          <w:tcPr>
            <w:tcW w:w="1072" w:type="dxa"/>
            <w:vAlign w:val="center"/>
          </w:tcPr>
          <w:p w14:paraId="3B7E23EE">
            <w:pPr>
              <w:autoSpaceDE w:val="0"/>
              <w:autoSpaceDN w:val="0"/>
              <w:adjustRightInd w:val="0"/>
              <w:snapToGrid w:val="0"/>
              <w:jc w:val="center"/>
              <w:rPr>
                <w:rFonts w:ascii="宋体" w:hAnsi="宋体"/>
                <w:color w:val="auto"/>
                <w:kern w:val="0"/>
                <w:sz w:val="24"/>
              </w:rPr>
            </w:pPr>
          </w:p>
        </w:tc>
        <w:tc>
          <w:tcPr>
            <w:tcW w:w="728" w:type="dxa"/>
            <w:vAlign w:val="center"/>
          </w:tcPr>
          <w:p w14:paraId="09F63E91">
            <w:pPr>
              <w:autoSpaceDE w:val="0"/>
              <w:autoSpaceDN w:val="0"/>
              <w:adjustRightInd w:val="0"/>
              <w:snapToGrid w:val="0"/>
              <w:jc w:val="center"/>
              <w:rPr>
                <w:rFonts w:ascii="宋体" w:hAnsi="宋体"/>
                <w:color w:val="auto"/>
                <w:kern w:val="0"/>
                <w:sz w:val="24"/>
              </w:rPr>
            </w:pPr>
          </w:p>
        </w:tc>
        <w:tc>
          <w:tcPr>
            <w:tcW w:w="799" w:type="dxa"/>
            <w:vAlign w:val="center"/>
          </w:tcPr>
          <w:p w14:paraId="7F8DF913">
            <w:pPr>
              <w:autoSpaceDE w:val="0"/>
              <w:autoSpaceDN w:val="0"/>
              <w:adjustRightInd w:val="0"/>
              <w:snapToGrid w:val="0"/>
              <w:jc w:val="center"/>
              <w:rPr>
                <w:rFonts w:ascii="宋体" w:hAnsi="宋体"/>
                <w:color w:val="auto"/>
                <w:kern w:val="0"/>
                <w:sz w:val="24"/>
              </w:rPr>
            </w:pPr>
          </w:p>
        </w:tc>
        <w:tc>
          <w:tcPr>
            <w:tcW w:w="1312" w:type="dxa"/>
            <w:vAlign w:val="center"/>
          </w:tcPr>
          <w:p w14:paraId="03D6F15D">
            <w:pPr>
              <w:autoSpaceDE w:val="0"/>
              <w:autoSpaceDN w:val="0"/>
              <w:adjustRightInd w:val="0"/>
              <w:snapToGrid w:val="0"/>
              <w:jc w:val="center"/>
              <w:rPr>
                <w:rFonts w:ascii="宋体" w:hAnsi="宋体"/>
                <w:color w:val="auto"/>
                <w:kern w:val="0"/>
                <w:sz w:val="24"/>
              </w:rPr>
            </w:pPr>
          </w:p>
        </w:tc>
        <w:tc>
          <w:tcPr>
            <w:tcW w:w="947" w:type="dxa"/>
            <w:vAlign w:val="center"/>
          </w:tcPr>
          <w:p w14:paraId="6397CFDB">
            <w:pPr>
              <w:autoSpaceDE w:val="0"/>
              <w:autoSpaceDN w:val="0"/>
              <w:adjustRightInd w:val="0"/>
              <w:snapToGrid w:val="0"/>
              <w:jc w:val="center"/>
              <w:rPr>
                <w:rFonts w:ascii="宋体" w:hAnsi="宋体"/>
                <w:color w:val="auto"/>
                <w:kern w:val="0"/>
                <w:sz w:val="24"/>
              </w:rPr>
            </w:pPr>
          </w:p>
        </w:tc>
        <w:tc>
          <w:tcPr>
            <w:tcW w:w="1141" w:type="dxa"/>
            <w:vAlign w:val="center"/>
          </w:tcPr>
          <w:p w14:paraId="010836A6">
            <w:pPr>
              <w:autoSpaceDE w:val="0"/>
              <w:autoSpaceDN w:val="0"/>
              <w:adjustRightInd w:val="0"/>
              <w:snapToGrid w:val="0"/>
              <w:jc w:val="center"/>
              <w:rPr>
                <w:rFonts w:ascii="宋体" w:hAnsi="宋体"/>
                <w:color w:val="auto"/>
                <w:kern w:val="0"/>
                <w:sz w:val="24"/>
              </w:rPr>
            </w:pPr>
          </w:p>
        </w:tc>
        <w:tc>
          <w:tcPr>
            <w:tcW w:w="749" w:type="dxa"/>
            <w:vAlign w:val="center"/>
          </w:tcPr>
          <w:p w14:paraId="0D8EBD0E">
            <w:pPr>
              <w:autoSpaceDE w:val="0"/>
              <w:autoSpaceDN w:val="0"/>
              <w:adjustRightInd w:val="0"/>
              <w:snapToGrid w:val="0"/>
              <w:jc w:val="center"/>
              <w:rPr>
                <w:rFonts w:ascii="宋体" w:hAnsi="宋体"/>
                <w:color w:val="auto"/>
                <w:kern w:val="0"/>
                <w:sz w:val="24"/>
              </w:rPr>
            </w:pPr>
          </w:p>
        </w:tc>
      </w:tr>
      <w:tr w14:paraId="72ED90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2A7170A">
            <w:pPr>
              <w:autoSpaceDE w:val="0"/>
              <w:autoSpaceDN w:val="0"/>
              <w:adjustRightInd w:val="0"/>
              <w:snapToGrid w:val="0"/>
              <w:jc w:val="center"/>
              <w:rPr>
                <w:rFonts w:ascii="宋体" w:hAnsi="宋体"/>
                <w:color w:val="auto"/>
                <w:kern w:val="0"/>
                <w:sz w:val="24"/>
              </w:rPr>
            </w:pPr>
          </w:p>
        </w:tc>
        <w:tc>
          <w:tcPr>
            <w:tcW w:w="1176" w:type="dxa"/>
            <w:vAlign w:val="center"/>
          </w:tcPr>
          <w:p w14:paraId="3728AB0F">
            <w:pPr>
              <w:autoSpaceDE w:val="0"/>
              <w:autoSpaceDN w:val="0"/>
              <w:adjustRightInd w:val="0"/>
              <w:snapToGrid w:val="0"/>
              <w:jc w:val="center"/>
              <w:rPr>
                <w:rFonts w:ascii="宋体" w:hAnsi="宋体"/>
                <w:color w:val="auto"/>
                <w:kern w:val="0"/>
                <w:sz w:val="24"/>
              </w:rPr>
            </w:pPr>
          </w:p>
        </w:tc>
        <w:tc>
          <w:tcPr>
            <w:tcW w:w="824" w:type="dxa"/>
            <w:vAlign w:val="center"/>
          </w:tcPr>
          <w:p w14:paraId="1BE91978">
            <w:pPr>
              <w:autoSpaceDE w:val="0"/>
              <w:autoSpaceDN w:val="0"/>
              <w:adjustRightInd w:val="0"/>
              <w:snapToGrid w:val="0"/>
              <w:jc w:val="center"/>
              <w:rPr>
                <w:rFonts w:ascii="宋体" w:hAnsi="宋体"/>
                <w:color w:val="auto"/>
                <w:kern w:val="0"/>
                <w:sz w:val="24"/>
              </w:rPr>
            </w:pPr>
          </w:p>
        </w:tc>
        <w:tc>
          <w:tcPr>
            <w:tcW w:w="1072" w:type="dxa"/>
            <w:vAlign w:val="center"/>
          </w:tcPr>
          <w:p w14:paraId="3D671259">
            <w:pPr>
              <w:autoSpaceDE w:val="0"/>
              <w:autoSpaceDN w:val="0"/>
              <w:adjustRightInd w:val="0"/>
              <w:snapToGrid w:val="0"/>
              <w:jc w:val="center"/>
              <w:rPr>
                <w:rFonts w:ascii="宋体" w:hAnsi="宋体"/>
                <w:color w:val="auto"/>
                <w:kern w:val="0"/>
                <w:sz w:val="24"/>
              </w:rPr>
            </w:pPr>
          </w:p>
        </w:tc>
        <w:tc>
          <w:tcPr>
            <w:tcW w:w="728" w:type="dxa"/>
            <w:vAlign w:val="center"/>
          </w:tcPr>
          <w:p w14:paraId="0E29DCFD">
            <w:pPr>
              <w:autoSpaceDE w:val="0"/>
              <w:autoSpaceDN w:val="0"/>
              <w:adjustRightInd w:val="0"/>
              <w:snapToGrid w:val="0"/>
              <w:jc w:val="center"/>
              <w:rPr>
                <w:rFonts w:ascii="宋体" w:hAnsi="宋体"/>
                <w:color w:val="auto"/>
                <w:kern w:val="0"/>
                <w:sz w:val="24"/>
              </w:rPr>
            </w:pPr>
          </w:p>
        </w:tc>
        <w:tc>
          <w:tcPr>
            <w:tcW w:w="799" w:type="dxa"/>
            <w:vAlign w:val="center"/>
          </w:tcPr>
          <w:p w14:paraId="0D7D7F59">
            <w:pPr>
              <w:autoSpaceDE w:val="0"/>
              <w:autoSpaceDN w:val="0"/>
              <w:adjustRightInd w:val="0"/>
              <w:snapToGrid w:val="0"/>
              <w:jc w:val="center"/>
              <w:rPr>
                <w:rFonts w:ascii="宋体" w:hAnsi="宋体"/>
                <w:color w:val="auto"/>
                <w:kern w:val="0"/>
                <w:sz w:val="24"/>
              </w:rPr>
            </w:pPr>
          </w:p>
        </w:tc>
        <w:tc>
          <w:tcPr>
            <w:tcW w:w="1312" w:type="dxa"/>
            <w:vAlign w:val="center"/>
          </w:tcPr>
          <w:p w14:paraId="789DB293">
            <w:pPr>
              <w:autoSpaceDE w:val="0"/>
              <w:autoSpaceDN w:val="0"/>
              <w:adjustRightInd w:val="0"/>
              <w:snapToGrid w:val="0"/>
              <w:jc w:val="center"/>
              <w:rPr>
                <w:rFonts w:ascii="宋体" w:hAnsi="宋体"/>
                <w:color w:val="auto"/>
                <w:kern w:val="0"/>
                <w:sz w:val="24"/>
              </w:rPr>
            </w:pPr>
          </w:p>
        </w:tc>
        <w:tc>
          <w:tcPr>
            <w:tcW w:w="947" w:type="dxa"/>
            <w:vAlign w:val="center"/>
          </w:tcPr>
          <w:p w14:paraId="7C3691BD">
            <w:pPr>
              <w:autoSpaceDE w:val="0"/>
              <w:autoSpaceDN w:val="0"/>
              <w:adjustRightInd w:val="0"/>
              <w:snapToGrid w:val="0"/>
              <w:jc w:val="center"/>
              <w:rPr>
                <w:rFonts w:ascii="宋体" w:hAnsi="宋体"/>
                <w:color w:val="auto"/>
                <w:kern w:val="0"/>
                <w:sz w:val="24"/>
              </w:rPr>
            </w:pPr>
          </w:p>
        </w:tc>
        <w:tc>
          <w:tcPr>
            <w:tcW w:w="1141" w:type="dxa"/>
            <w:vAlign w:val="center"/>
          </w:tcPr>
          <w:p w14:paraId="5D5FF80B">
            <w:pPr>
              <w:autoSpaceDE w:val="0"/>
              <w:autoSpaceDN w:val="0"/>
              <w:adjustRightInd w:val="0"/>
              <w:snapToGrid w:val="0"/>
              <w:jc w:val="center"/>
              <w:rPr>
                <w:rFonts w:ascii="宋体" w:hAnsi="宋体"/>
                <w:color w:val="auto"/>
                <w:kern w:val="0"/>
                <w:sz w:val="24"/>
              </w:rPr>
            </w:pPr>
          </w:p>
        </w:tc>
        <w:tc>
          <w:tcPr>
            <w:tcW w:w="749" w:type="dxa"/>
            <w:vAlign w:val="center"/>
          </w:tcPr>
          <w:p w14:paraId="26F750DB">
            <w:pPr>
              <w:autoSpaceDE w:val="0"/>
              <w:autoSpaceDN w:val="0"/>
              <w:adjustRightInd w:val="0"/>
              <w:snapToGrid w:val="0"/>
              <w:jc w:val="center"/>
              <w:rPr>
                <w:rFonts w:ascii="宋体" w:hAnsi="宋体"/>
                <w:color w:val="auto"/>
                <w:kern w:val="0"/>
                <w:sz w:val="24"/>
              </w:rPr>
            </w:pPr>
          </w:p>
        </w:tc>
      </w:tr>
    </w:tbl>
    <w:p w14:paraId="05A9AD22">
      <w:pPr>
        <w:autoSpaceDE w:val="0"/>
        <w:autoSpaceDN w:val="0"/>
        <w:adjustRightInd w:val="0"/>
        <w:snapToGrid w:val="0"/>
        <w:spacing w:line="20" w:lineRule="exact"/>
        <w:jc w:val="left"/>
        <w:rPr>
          <w:rFonts w:ascii="宋体" w:hAnsi="宋体"/>
          <w:color w:val="auto"/>
          <w:kern w:val="0"/>
        </w:rPr>
      </w:pPr>
    </w:p>
    <w:p w14:paraId="1373B65C">
      <w:pPr>
        <w:jc w:val="center"/>
        <w:rPr>
          <w:rFonts w:ascii="宋体" w:hAnsi="宋体"/>
          <w:color w:val="auto"/>
          <w:kern w:val="0"/>
          <w:sz w:val="20"/>
          <w:szCs w:val="20"/>
        </w:rPr>
      </w:pPr>
      <w:bookmarkStart w:id="2304" w:name="_Toc287620824"/>
      <w:bookmarkStart w:id="2305" w:name="_Toc287607877"/>
      <w:bookmarkStart w:id="2306" w:name="_Toc430530540"/>
      <w:bookmarkStart w:id="2307" w:name="_Toc277082651"/>
      <w:bookmarkStart w:id="2308" w:name="_Toc224103505"/>
      <w:r>
        <w:rPr>
          <w:rFonts w:ascii="宋体" w:hAnsi="宋体"/>
          <w:color w:val="auto"/>
          <w:sz w:val="28"/>
        </w:rPr>
        <w:br w:type="page"/>
      </w:r>
      <w:bookmarkStart w:id="2309" w:name="_Toc509218858"/>
      <w:bookmarkStart w:id="2310" w:name="_Toc534185835"/>
      <w:r>
        <w:rPr>
          <w:color w:val="auto"/>
          <w:sz w:val="32"/>
          <w:szCs w:val="32"/>
        </w:rPr>
        <w:t>附表二：拟配备本标段的试验和检测仪器设备表</w:t>
      </w:r>
      <w:bookmarkEnd w:id="2304"/>
      <w:bookmarkEnd w:id="2305"/>
      <w:bookmarkEnd w:id="2306"/>
      <w:bookmarkEnd w:id="2307"/>
      <w:bookmarkEnd w:id="2308"/>
      <w:bookmarkEnd w:id="2309"/>
      <w:bookmarkEnd w:id="2310"/>
    </w:p>
    <w:tbl>
      <w:tblPr>
        <w:tblStyle w:val="45"/>
        <w:tblW w:w="94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079EC4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vAlign w:val="center"/>
          </w:tcPr>
          <w:p w14:paraId="4DEA4091">
            <w:pPr>
              <w:autoSpaceDE w:val="0"/>
              <w:autoSpaceDN w:val="0"/>
              <w:adjustRightInd w:val="0"/>
              <w:snapToGrid w:val="0"/>
              <w:jc w:val="center"/>
              <w:rPr>
                <w:rFonts w:ascii="宋体" w:hAnsi="宋体"/>
                <w:color w:val="auto"/>
                <w:kern w:val="0"/>
                <w:sz w:val="24"/>
              </w:rPr>
            </w:pPr>
            <w:r>
              <w:rPr>
                <w:rFonts w:ascii="宋体" w:hAnsi="宋体"/>
                <w:color w:val="auto"/>
                <w:kern w:val="0"/>
                <w:szCs w:val="21"/>
              </w:rPr>
              <w:t>序号</w:t>
            </w:r>
          </w:p>
        </w:tc>
        <w:tc>
          <w:tcPr>
            <w:tcW w:w="1219" w:type="dxa"/>
            <w:vAlign w:val="center"/>
          </w:tcPr>
          <w:p w14:paraId="42405AB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仪器设备</w:t>
            </w:r>
          </w:p>
          <w:p w14:paraId="55F449F1">
            <w:pPr>
              <w:autoSpaceDE w:val="0"/>
              <w:autoSpaceDN w:val="0"/>
              <w:adjustRightInd w:val="0"/>
              <w:snapToGrid w:val="0"/>
              <w:jc w:val="center"/>
              <w:rPr>
                <w:rFonts w:ascii="宋体" w:hAnsi="宋体"/>
                <w:color w:val="auto"/>
                <w:kern w:val="0"/>
                <w:sz w:val="24"/>
              </w:rPr>
            </w:pPr>
            <w:r>
              <w:rPr>
                <w:rFonts w:ascii="宋体" w:hAnsi="宋体"/>
                <w:color w:val="auto"/>
                <w:kern w:val="0"/>
                <w:szCs w:val="21"/>
              </w:rPr>
              <w:t>名　　称</w:t>
            </w:r>
          </w:p>
        </w:tc>
        <w:tc>
          <w:tcPr>
            <w:tcW w:w="852" w:type="dxa"/>
            <w:vAlign w:val="center"/>
          </w:tcPr>
          <w:p w14:paraId="71DE284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型号</w:t>
            </w:r>
          </w:p>
          <w:p w14:paraId="5670CF46">
            <w:pPr>
              <w:autoSpaceDE w:val="0"/>
              <w:autoSpaceDN w:val="0"/>
              <w:adjustRightInd w:val="0"/>
              <w:snapToGrid w:val="0"/>
              <w:jc w:val="center"/>
              <w:rPr>
                <w:rFonts w:ascii="宋体" w:hAnsi="宋体"/>
                <w:color w:val="auto"/>
                <w:kern w:val="0"/>
                <w:sz w:val="24"/>
              </w:rPr>
            </w:pPr>
            <w:r>
              <w:rPr>
                <w:rFonts w:ascii="宋体" w:hAnsi="宋体"/>
                <w:color w:val="auto"/>
                <w:kern w:val="0"/>
                <w:szCs w:val="21"/>
              </w:rPr>
              <w:t>规格</w:t>
            </w:r>
          </w:p>
        </w:tc>
        <w:tc>
          <w:tcPr>
            <w:tcW w:w="1111" w:type="dxa"/>
            <w:vAlign w:val="center"/>
          </w:tcPr>
          <w:p w14:paraId="326C3A7E">
            <w:pPr>
              <w:autoSpaceDE w:val="0"/>
              <w:autoSpaceDN w:val="0"/>
              <w:adjustRightInd w:val="0"/>
              <w:snapToGrid w:val="0"/>
              <w:jc w:val="center"/>
              <w:rPr>
                <w:rFonts w:ascii="宋体" w:hAnsi="宋体"/>
                <w:color w:val="auto"/>
                <w:kern w:val="0"/>
                <w:sz w:val="24"/>
              </w:rPr>
            </w:pPr>
            <w:r>
              <w:rPr>
                <w:rFonts w:ascii="宋体" w:hAnsi="宋体"/>
                <w:color w:val="auto"/>
                <w:kern w:val="0"/>
                <w:szCs w:val="21"/>
              </w:rPr>
              <w:t>数量</w:t>
            </w:r>
          </w:p>
        </w:tc>
        <w:tc>
          <w:tcPr>
            <w:tcW w:w="754" w:type="dxa"/>
            <w:vAlign w:val="center"/>
          </w:tcPr>
          <w:p w14:paraId="0C341AC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国别</w:t>
            </w:r>
          </w:p>
          <w:p w14:paraId="68531F4C">
            <w:pPr>
              <w:autoSpaceDE w:val="0"/>
              <w:autoSpaceDN w:val="0"/>
              <w:adjustRightInd w:val="0"/>
              <w:snapToGrid w:val="0"/>
              <w:jc w:val="center"/>
              <w:rPr>
                <w:rFonts w:ascii="宋体" w:hAnsi="宋体"/>
                <w:color w:val="auto"/>
                <w:kern w:val="0"/>
                <w:sz w:val="24"/>
              </w:rPr>
            </w:pPr>
            <w:r>
              <w:rPr>
                <w:rFonts w:ascii="宋体" w:hAnsi="宋体"/>
                <w:color w:val="auto"/>
                <w:kern w:val="0"/>
                <w:szCs w:val="21"/>
              </w:rPr>
              <w:t>产地</w:t>
            </w:r>
          </w:p>
        </w:tc>
        <w:tc>
          <w:tcPr>
            <w:tcW w:w="827" w:type="dxa"/>
            <w:vAlign w:val="center"/>
          </w:tcPr>
          <w:p w14:paraId="43AFC43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制造</w:t>
            </w:r>
          </w:p>
          <w:p w14:paraId="5D406687">
            <w:pPr>
              <w:autoSpaceDE w:val="0"/>
              <w:autoSpaceDN w:val="0"/>
              <w:adjustRightInd w:val="0"/>
              <w:snapToGrid w:val="0"/>
              <w:jc w:val="center"/>
              <w:rPr>
                <w:rFonts w:ascii="宋体" w:hAnsi="宋体"/>
                <w:color w:val="auto"/>
                <w:kern w:val="0"/>
                <w:sz w:val="24"/>
              </w:rPr>
            </w:pPr>
            <w:r>
              <w:rPr>
                <w:rFonts w:ascii="宋体" w:hAnsi="宋体"/>
                <w:color w:val="auto"/>
                <w:kern w:val="0"/>
                <w:szCs w:val="21"/>
              </w:rPr>
              <w:t>年份</w:t>
            </w:r>
          </w:p>
        </w:tc>
        <w:tc>
          <w:tcPr>
            <w:tcW w:w="1359" w:type="dxa"/>
            <w:vAlign w:val="center"/>
          </w:tcPr>
          <w:p w14:paraId="31D784F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已使用</w:t>
            </w:r>
          </w:p>
          <w:p w14:paraId="0F332FFB">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台时数</w:t>
            </w:r>
          </w:p>
        </w:tc>
        <w:tc>
          <w:tcPr>
            <w:tcW w:w="1855" w:type="dxa"/>
            <w:vAlign w:val="center"/>
          </w:tcPr>
          <w:p w14:paraId="28E39C99">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用途</w:t>
            </w:r>
          </w:p>
        </w:tc>
        <w:tc>
          <w:tcPr>
            <w:tcW w:w="770" w:type="dxa"/>
            <w:vAlign w:val="center"/>
          </w:tcPr>
          <w:p w14:paraId="1DB42772">
            <w:pPr>
              <w:autoSpaceDE w:val="0"/>
              <w:autoSpaceDN w:val="0"/>
              <w:adjustRightInd w:val="0"/>
              <w:snapToGrid w:val="0"/>
              <w:jc w:val="center"/>
              <w:rPr>
                <w:rFonts w:ascii="宋体" w:hAnsi="宋体"/>
                <w:color w:val="auto"/>
                <w:kern w:val="0"/>
                <w:sz w:val="24"/>
              </w:rPr>
            </w:pPr>
            <w:r>
              <w:rPr>
                <w:rFonts w:ascii="宋体" w:hAnsi="宋体"/>
                <w:color w:val="auto"/>
                <w:kern w:val="0"/>
                <w:szCs w:val="21"/>
              </w:rPr>
              <w:t>备注</w:t>
            </w:r>
          </w:p>
        </w:tc>
      </w:tr>
      <w:tr w14:paraId="315A42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BB52119">
            <w:pPr>
              <w:autoSpaceDE w:val="0"/>
              <w:autoSpaceDN w:val="0"/>
              <w:adjustRightInd w:val="0"/>
              <w:snapToGrid w:val="0"/>
              <w:jc w:val="left"/>
              <w:rPr>
                <w:rFonts w:ascii="宋体" w:hAnsi="宋体"/>
                <w:color w:val="auto"/>
                <w:kern w:val="0"/>
                <w:sz w:val="24"/>
              </w:rPr>
            </w:pPr>
          </w:p>
        </w:tc>
        <w:tc>
          <w:tcPr>
            <w:tcW w:w="1219" w:type="dxa"/>
          </w:tcPr>
          <w:p w14:paraId="334C8DC4">
            <w:pPr>
              <w:autoSpaceDE w:val="0"/>
              <w:autoSpaceDN w:val="0"/>
              <w:adjustRightInd w:val="0"/>
              <w:snapToGrid w:val="0"/>
              <w:jc w:val="left"/>
              <w:rPr>
                <w:rFonts w:ascii="宋体" w:hAnsi="宋体"/>
                <w:color w:val="auto"/>
                <w:kern w:val="0"/>
                <w:sz w:val="24"/>
              </w:rPr>
            </w:pPr>
          </w:p>
        </w:tc>
        <w:tc>
          <w:tcPr>
            <w:tcW w:w="852" w:type="dxa"/>
          </w:tcPr>
          <w:p w14:paraId="349F7DCE">
            <w:pPr>
              <w:autoSpaceDE w:val="0"/>
              <w:autoSpaceDN w:val="0"/>
              <w:adjustRightInd w:val="0"/>
              <w:snapToGrid w:val="0"/>
              <w:jc w:val="left"/>
              <w:rPr>
                <w:rFonts w:ascii="宋体" w:hAnsi="宋体"/>
                <w:color w:val="auto"/>
                <w:kern w:val="0"/>
                <w:sz w:val="24"/>
              </w:rPr>
            </w:pPr>
          </w:p>
        </w:tc>
        <w:tc>
          <w:tcPr>
            <w:tcW w:w="1111" w:type="dxa"/>
          </w:tcPr>
          <w:p w14:paraId="064F80B8">
            <w:pPr>
              <w:autoSpaceDE w:val="0"/>
              <w:autoSpaceDN w:val="0"/>
              <w:adjustRightInd w:val="0"/>
              <w:snapToGrid w:val="0"/>
              <w:jc w:val="left"/>
              <w:rPr>
                <w:rFonts w:ascii="宋体" w:hAnsi="宋体"/>
                <w:color w:val="auto"/>
                <w:kern w:val="0"/>
                <w:sz w:val="24"/>
              </w:rPr>
            </w:pPr>
          </w:p>
        </w:tc>
        <w:tc>
          <w:tcPr>
            <w:tcW w:w="754" w:type="dxa"/>
          </w:tcPr>
          <w:p w14:paraId="4C2E85ED">
            <w:pPr>
              <w:autoSpaceDE w:val="0"/>
              <w:autoSpaceDN w:val="0"/>
              <w:adjustRightInd w:val="0"/>
              <w:snapToGrid w:val="0"/>
              <w:jc w:val="left"/>
              <w:rPr>
                <w:rFonts w:ascii="宋体" w:hAnsi="宋体"/>
                <w:color w:val="auto"/>
                <w:kern w:val="0"/>
                <w:sz w:val="24"/>
              </w:rPr>
            </w:pPr>
          </w:p>
        </w:tc>
        <w:tc>
          <w:tcPr>
            <w:tcW w:w="827" w:type="dxa"/>
          </w:tcPr>
          <w:p w14:paraId="4403CE77">
            <w:pPr>
              <w:autoSpaceDE w:val="0"/>
              <w:autoSpaceDN w:val="0"/>
              <w:adjustRightInd w:val="0"/>
              <w:snapToGrid w:val="0"/>
              <w:jc w:val="left"/>
              <w:rPr>
                <w:rFonts w:ascii="宋体" w:hAnsi="宋体"/>
                <w:color w:val="auto"/>
                <w:kern w:val="0"/>
                <w:sz w:val="24"/>
              </w:rPr>
            </w:pPr>
          </w:p>
        </w:tc>
        <w:tc>
          <w:tcPr>
            <w:tcW w:w="1359" w:type="dxa"/>
          </w:tcPr>
          <w:p w14:paraId="3EA92703">
            <w:pPr>
              <w:autoSpaceDE w:val="0"/>
              <w:autoSpaceDN w:val="0"/>
              <w:adjustRightInd w:val="0"/>
              <w:snapToGrid w:val="0"/>
              <w:jc w:val="left"/>
              <w:rPr>
                <w:rFonts w:ascii="宋体" w:hAnsi="宋体"/>
                <w:color w:val="auto"/>
                <w:kern w:val="0"/>
                <w:sz w:val="24"/>
              </w:rPr>
            </w:pPr>
          </w:p>
        </w:tc>
        <w:tc>
          <w:tcPr>
            <w:tcW w:w="1855" w:type="dxa"/>
          </w:tcPr>
          <w:p w14:paraId="7D41701A">
            <w:pPr>
              <w:autoSpaceDE w:val="0"/>
              <w:autoSpaceDN w:val="0"/>
              <w:adjustRightInd w:val="0"/>
              <w:snapToGrid w:val="0"/>
              <w:jc w:val="left"/>
              <w:rPr>
                <w:rFonts w:ascii="宋体" w:hAnsi="宋体"/>
                <w:color w:val="auto"/>
                <w:kern w:val="0"/>
                <w:sz w:val="24"/>
              </w:rPr>
            </w:pPr>
          </w:p>
        </w:tc>
        <w:tc>
          <w:tcPr>
            <w:tcW w:w="770" w:type="dxa"/>
          </w:tcPr>
          <w:p w14:paraId="0DC2B61F">
            <w:pPr>
              <w:autoSpaceDE w:val="0"/>
              <w:autoSpaceDN w:val="0"/>
              <w:adjustRightInd w:val="0"/>
              <w:snapToGrid w:val="0"/>
              <w:jc w:val="left"/>
              <w:rPr>
                <w:rFonts w:ascii="宋体" w:hAnsi="宋体"/>
                <w:color w:val="auto"/>
                <w:kern w:val="0"/>
                <w:sz w:val="24"/>
              </w:rPr>
            </w:pPr>
          </w:p>
        </w:tc>
      </w:tr>
      <w:tr w14:paraId="2234AF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CFF252F">
            <w:pPr>
              <w:autoSpaceDE w:val="0"/>
              <w:autoSpaceDN w:val="0"/>
              <w:adjustRightInd w:val="0"/>
              <w:snapToGrid w:val="0"/>
              <w:jc w:val="left"/>
              <w:rPr>
                <w:rFonts w:ascii="宋体" w:hAnsi="宋体"/>
                <w:color w:val="auto"/>
                <w:kern w:val="0"/>
                <w:sz w:val="24"/>
              </w:rPr>
            </w:pPr>
          </w:p>
        </w:tc>
        <w:tc>
          <w:tcPr>
            <w:tcW w:w="1219" w:type="dxa"/>
          </w:tcPr>
          <w:p w14:paraId="4F739CAE">
            <w:pPr>
              <w:autoSpaceDE w:val="0"/>
              <w:autoSpaceDN w:val="0"/>
              <w:adjustRightInd w:val="0"/>
              <w:snapToGrid w:val="0"/>
              <w:jc w:val="left"/>
              <w:rPr>
                <w:rFonts w:ascii="宋体" w:hAnsi="宋体"/>
                <w:color w:val="auto"/>
                <w:kern w:val="0"/>
                <w:sz w:val="24"/>
              </w:rPr>
            </w:pPr>
          </w:p>
        </w:tc>
        <w:tc>
          <w:tcPr>
            <w:tcW w:w="852" w:type="dxa"/>
          </w:tcPr>
          <w:p w14:paraId="4E815025">
            <w:pPr>
              <w:autoSpaceDE w:val="0"/>
              <w:autoSpaceDN w:val="0"/>
              <w:adjustRightInd w:val="0"/>
              <w:snapToGrid w:val="0"/>
              <w:jc w:val="left"/>
              <w:rPr>
                <w:rFonts w:ascii="宋体" w:hAnsi="宋体"/>
                <w:color w:val="auto"/>
                <w:kern w:val="0"/>
                <w:sz w:val="24"/>
              </w:rPr>
            </w:pPr>
          </w:p>
        </w:tc>
        <w:tc>
          <w:tcPr>
            <w:tcW w:w="1111" w:type="dxa"/>
          </w:tcPr>
          <w:p w14:paraId="6E1D3AB3">
            <w:pPr>
              <w:autoSpaceDE w:val="0"/>
              <w:autoSpaceDN w:val="0"/>
              <w:adjustRightInd w:val="0"/>
              <w:snapToGrid w:val="0"/>
              <w:jc w:val="left"/>
              <w:rPr>
                <w:rFonts w:ascii="宋体" w:hAnsi="宋体"/>
                <w:color w:val="auto"/>
                <w:kern w:val="0"/>
                <w:sz w:val="24"/>
              </w:rPr>
            </w:pPr>
          </w:p>
        </w:tc>
        <w:tc>
          <w:tcPr>
            <w:tcW w:w="754" w:type="dxa"/>
          </w:tcPr>
          <w:p w14:paraId="6EE4198E">
            <w:pPr>
              <w:autoSpaceDE w:val="0"/>
              <w:autoSpaceDN w:val="0"/>
              <w:adjustRightInd w:val="0"/>
              <w:snapToGrid w:val="0"/>
              <w:jc w:val="left"/>
              <w:rPr>
                <w:rFonts w:ascii="宋体" w:hAnsi="宋体"/>
                <w:color w:val="auto"/>
                <w:kern w:val="0"/>
                <w:sz w:val="24"/>
              </w:rPr>
            </w:pPr>
          </w:p>
        </w:tc>
        <w:tc>
          <w:tcPr>
            <w:tcW w:w="827" w:type="dxa"/>
          </w:tcPr>
          <w:p w14:paraId="79A93214">
            <w:pPr>
              <w:autoSpaceDE w:val="0"/>
              <w:autoSpaceDN w:val="0"/>
              <w:adjustRightInd w:val="0"/>
              <w:snapToGrid w:val="0"/>
              <w:jc w:val="left"/>
              <w:rPr>
                <w:rFonts w:ascii="宋体" w:hAnsi="宋体"/>
                <w:color w:val="auto"/>
                <w:kern w:val="0"/>
                <w:sz w:val="24"/>
              </w:rPr>
            </w:pPr>
          </w:p>
        </w:tc>
        <w:tc>
          <w:tcPr>
            <w:tcW w:w="1359" w:type="dxa"/>
          </w:tcPr>
          <w:p w14:paraId="1B9A4D01">
            <w:pPr>
              <w:autoSpaceDE w:val="0"/>
              <w:autoSpaceDN w:val="0"/>
              <w:adjustRightInd w:val="0"/>
              <w:snapToGrid w:val="0"/>
              <w:jc w:val="left"/>
              <w:rPr>
                <w:rFonts w:ascii="宋体" w:hAnsi="宋体"/>
                <w:color w:val="auto"/>
                <w:kern w:val="0"/>
                <w:sz w:val="24"/>
              </w:rPr>
            </w:pPr>
          </w:p>
        </w:tc>
        <w:tc>
          <w:tcPr>
            <w:tcW w:w="1855" w:type="dxa"/>
          </w:tcPr>
          <w:p w14:paraId="58F414F3">
            <w:pPr>
              <w:autoSpaceDE w:val="0"/>
              <w:autoSpaceDN w:val="0"/>
              <w:adjustRightInd w:val="0"/>
              <w:snapToGrid w:val="0"/>
              <w:jc w:val="left"/>
              <w:rPr>
                <w:rFonts w:ascii="宋体" w:hAnsi="宋体"/>
                <w:color w:val="auto"/>
                <w:kern w:val="0"/>
                <w:sz w:val="24"/>
              </w:rPr>
            </w:pPr>
          </w:p>
        </w:tc>
        <w:tc>
          <w:tcPr>
            <w:tcW w:w="770" w:type="dxa"/>
          </w:tcPr>
          <w:p w14:paraId="226AE40F">
            <w:pPr>
              <w:autoSpaceDE w:val="0"/>
              <w:autoSpaceDN w:val="0"/>
              <w:adjustRightInd w:val="0"/>
              <w:snapToGrid w:val="0"/>
              <w:jc w:val="left"/>
              <w:rPr>
                <w:rFonts w:ascii="宋体" w:hAnsi="宋体"/>
                <w:color w:val="auto"/>
                <w:kern w:val="0"/>
                <w:sz w:val="24"/>
              </w:rPr>
            </w:pPr>
          </w:p>
        </w:tc>
      </w:tr>
      <w:tr w14:paraId="69AD72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755895D">
            <w:pPr>
              <w:autoSpaceDE w:val="0"/>
              <w:autoSpaceDN w:val="0"/>
              <w:adjustRightInd w:val="0"/>
              <w:snapToGrid w:val="0"/>
              <w:jc w:val="left"/>
              <w:rPr>
                <w:rFonts w:ascii="宋体" w:hAnsi="宋体"/>
                <w:color w:val="auto"/>
                <w:kern w:val="0"/>
                <w:sz w:val="24"/>
              </w:rPr>
            </w:pPr>
          </w:p>
        </w:tc>
        <w:tc>
          <w:tcPr>
            <w:tcW w:w="1219" w:type="dxa"/>
          </w:tcPr>
          <w:p w14:paraId="2BDF8786">
            <w:pPr>
              <w:autoSpaceDE w:val="0"/>
              <w:autoSpaceDN w:val="0"/>
              <w:adjustRightInd w:val="0"/>
              <w:snapToGrid w:val="0"/>
              <w:jc w:val="left"/>
              <w:rPr>
                <w:rFonts w:ascii="宋体" w:hAnsi="宋体"/>
                <w:color w:val="auto"/>
                <w:kern w:val="0"/>
                <w:sz w:val="24"/>
              </w:rPr>
            </w:pPr>
          </w:p>
        </w:tc>
        <w:tc>
          <w:tcPr>
            <w:tcW w:w="852" w:type="dxa"/>
          </w:tcPr>
          <w:p w14:paraId="1AF04DC9">
            <w:pPr>
              <w:autoSpaceDE w:val="0"/>
              <w:autoSpaceDN w:val="0"/>
              <w:adjustRightInd w:val="0"/>
              <w:snapToGrid w:val="0"/>
              <w:jc w:val="left"/>
              <w:rPr>
                <w:rFonts w:ascii="宋体" w:hAnsi="宋体"/>
                <w:color w:val="auto"/>
                <w:kern w:val="0"/>
                <w:sz w:val="24"/>
              </w:rPr>
            </w:pPr>
          </w:p>
        </w:tc>
        <w:tc>
          <w:tcPr>
            <w:tcW w:w="1111" w:type="dxa"/>
          </w:tcPr>
          <w:p w14:paraId="711292DF">
            <w:pPr>
              <w:autoSpaceDE w:val="0"/>
              <w:autoSpaceDN w:val="0"/>
              <w:adjustRightInd w:val="0"/>
              <w:snapToGrid w:val="0"/>
              <w:jc w:val="left"/>
              <w:rPr>
                <w:rFonts w:ascii="宋体" w:hAnsi="宋体"/>
                <w:color w:val="auto"/>
                <w:kern w:val="0"/>
                <w:sz w:val="24"/>
              </w:rPr>
            </w:pPr>
          </w:p>
        </w:tc>
        <w:tc>
          <w:tcPr>
            <w:tcW w:w="754" w:type="dxa"/>
          </w:tcPr>
          <w:p w14:paraId="7BC73035">
            <w:pPr>
              <w:autoSpaceDE w:val="0"/>
              <w:autoSpaceDN w:val="0"/>
              <w:adjustRightInd w:val="0"/>
              <w:snapToGrid w:val="0"/>
              <w:jc w:val="left"/>
              <w:rPr>
                <w:rFonts w:ascii="宋体" w:hAnsi="宋体"/>
                <w:color w:val="auto"/>
                <w:kern w:val="0"/>
                <w:sz w:val="24"/>
              </w:rPr>
            </w:pPr>
          </w:p>
        </w:tc>
        <w:tc>
          <w:tcPr>
            <w:tcW w:w="827" w:type="dxa"/>
          </w:tcPr>
          <w:p w14:paraId="4C6FCDAC">
            <w:pPr>
              <w:autoSpaceDE w:val="0"/>
              <w:autoSpaceDN w:val="0"/>
              <w:adjustRightInd w:val="0"/>
              <w:snapToGrid w:val="0"/>
              <w:jc w:val="left"/>
              <w:rPr>
                <w:rFonts w:ascii="宋体" w:hAnsi="宋体"/>
                <w:color w:val="auto"/>
                <w:kern w:val="0"/>
                <w:sz w:val="24"/>
              </w:rPr>
            </w:pPr>
          </w:p>
        </w:tc>
        <w:tc>
          <w:tcPr>
            <w:tcW w:w="1359" w:type="dxa"/>
          </w:tcPr>
          <w:p w14:paraId="121FF8BA">
            <w:pPr>
              <w:autoSpaceDE w:val="0"/>
              <w:autoSpaceDN w:val="0"/>
              <w:adjustRightInd w:val="0"/>
              <w:snapToGrid w:val="0"/>
              <w:jc w:val="left"/>
              <w:rPr>
                <w:rFonts w:ascii="宋体" w:hAnsi="宋体"/>
                <w:color w:val="auto"/>
                <w:kern w:val="0"/>
                <w:sz w:val="24"/>
              </w:rPr>
            </w:pPr>
          </w:p>
        </w:tc>
        <w:tc>
          <w:tcPr>
            <w:tcW w:w="1855" w:type="dxa"/>
          </w:tcPr>
          <w:p w14:paraId="00980863">
            <w:pPr>
              <w:autoSpaceDE w:val="0"/>
              <w:autoSpaceDN w:val="0"/>
              <w:adjustRightInd w:val="0"/>
              <w:snapToGrid w:val="0"/>
              <w:jc w:val="left"/>
              <w:rPr>
                <w:rFonts w:ascii="宋体" w:hAnsi="宋体"/>
                <w:color w:val="auto"/>
                <w:kern w:val="0"/>
                <w:sz w:val="24"/>
              </w:rPr>
            </w:pPr>
          </w:p>
        </w:tc>
        <w:tc>
          <w:tcPr>
            <w:tcW w:w="770" w:type="dxa"/>
          </w:tcPr>
          <w:p w14:paraId="45CBC669">
            <w:pPr>
              <w:autoSpaceDE w:val="0"/>
              <w:autoSpaceDN w:val="0"/>
              <w:adjustRightInd w:val="0"/>
              <w:snapToGrid w:val="0"/>
              <w:jc w:val="left"/>
              <w:rPr>
                <w:rFonts w:ascii="宋体" w:hAnsi="宋体"/>
                <w:color w:val="auto"/>
                <w:kern w:val="0"/>
                <w:sz w:val="24"/>
              </w:rPr>
            </w:pPr>
          </w:p>
        </w:tc>
      </w:tr>
      <w:tr w14:paraId="3242A2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1FE469F">
            <w:pPr>
              <w:autoSpaceDE w:val="0"/>
              <w:autoSpaceDN w:val="0"/>
              <w:adjustRightInd w:val="0"/>
              <w:snapToGrid w:val="0"/>
              <w:jc w:val="left"/>
              <w:rPr>
                <w:rFonts w:ascii="宋体" w:hAnsi="宋体"/>
                <w:color w:val="auto"/>
                <w:kern w:val="0"/>
                <w:sz w:val="24"/>
              </w:rPr>
            </w:pPr>
          </w:p>
        </w:tc>
        <w:tc>
          <w:tcPr>
            <w:tcW w:w="1219" w:type="dxa"/>
          </w:tcPr>
          <w:p w14:paraId="5DA921F2">
            <w:pPr>
              <w:autoSpaceDE w:val="0"/>
              <w:autoSpaceDN w:val="0"/>
              <w:adjustRightInd w:val="0"/>
              <w:snapToGrid w:val="0"/>
              <w:jc w:val="left"/>
              <w:rPr>
                <w:rFonts w:ascii="宋体" w:hAnsi="宋体"/>
                <w:color w:val="auto"/>
                <w:kern w:val="0"/>
                <w:sz w:val="24"/>
              </w:rPr>
            </w:pPr>
          </w:p>
        </w:tc>
        <w:tc>
          <w:tcPr>
            <w:tcW w:w="852" w:type="dxa"/>
          </w:tcPr>
          <w:p w14:paraId="454B35B8">
            <w:pPr>
              <w:autoSpaceDE w:val="0"/>
              <w:autoSpaceDN w:val="0"/>
              <w:adjustRightInd w:val="0"/>
              <w:snapToGrid w:val="0"/>
              <w:jc w:val="left"/>
              <w:rPr>
                <w:rFonts w:ascii="宋体" w:hAnsi="宋体"/>
                <w:color w:val="auto"/>
                <w:kern w:val="0"/>
                <w:sz w:val="24"/>
              </w:rPr>
            </w:pPr>
          </w:p>
        </w:tc>
        <w:tc>
          <w:tcPr>
            <w:tcW w:w="1111" w:type="dxa"/>
          </w:tcPr>
          <w:p w14:paraId="6AE39F26">
            <w:pPr>
              <w:autoSpaceDE w:val="0"/>
              <w:autoSpaceDN w:val="0"/>
              <w:adjustRightInd w:val="0"/>
              <w:snapToGrid w:val="0"/>
              <w:jc w:val="left"/>
              <w:rPr>
                <w:rFonts w:ascii="宋体" w:hAnsi="宋体"/>
                <w:color w:val="auto"/>
                <w:kern w:val="0"/>
                <w:sz w:val="24"/>
              </w:rPr>
            </w:pPr>
          </w:p>
        </w:tc>
        <w:tc>
          <w:tcPr>
            <w:tcW w:w="754" w:type="dxa"/>
          </w:tcPr>
          <w:p w14:paraId="33C72102">
            <w:pPr>
              <w:autoSpaceDE w:val="0"/>
              <w:autoSpaceDN w:val="0"/>
              <w:adjustRightInd w:val="0"/>
              <w:snapToGrid w:val="0"/>
              <w:jc w:val="left"/>
              <w:rPr>
                <w:rFonts w:ascii="宋体" w:hAnsi="宋体"/>
                <w:color w:val="auto"/>
                <w:kern w:val="0"/>
                <w:sz w:val="24"/>
              </w:rPr>
            </w:pPr>
          </w:p>
        </w:tc>
        <w:tc>
          <w:tcPr>
            <w:tcW w:w="827" w:type="dxa"/>
          </w:tcPr>
          <w:p w14:paraId="557C620B">
            <w:pPr>
              <w:autoSpaceDE w:val="0"/>
              <w:autoSpaceDN w:val="0"/>
              <w:adjustRightInd w:val="0"/>
              <w:snapToGrid w:val="0"/>
              <w:jc w:val="left"/>
              <w:rPr>
                <w:rFonts w:ascii="宋体" w:hAnsi="宋体"/>
                <w:color w:val="auto"/>
                <w:kern w:val="0"/>
                <w:sz w:val="24"/>
              </w:rPr>
            </w:pPr>
          </w:p>
        </w:tc>
        <w:tc>
          <w:tcPr>
            <w:tcW w:w="1359" w:type="dxa"/>
          </w:tcPr>
          <w:p w14:paraId="1FB593EF">
            <w:pPr>
              <w:autoSpaceDE w:val="0"/>
              <w:autoSpaceDN w:val="0"/>
              <w:adjustRightInd w:val="0"/>
              <w:snapToGrid w:val="0"/>
              <w:jc w:val="left"/>
              <w:rPr>
                <w:rFonts w:ascii="宋体" w:hAnsi="宋体"/>
                <w:color w:val="auto"/>
                <w:kern w:val="0"/>
                <w:sz w:val="24"/>
              </w:rPr>
            </w:pPr>
          </w:p>
        </w:tc>
        <w:tc>
          <w:tcPr>
            <w:tcW w:w="1855" w:type="dxa"/>
          </w:tcPr>
          <w:p w14:paraId="0DD647BC">
            <w:pPr>
              <w:autoSpaceDE w:val="0"/>
              <w:autoSpaceDN w:val="0"/>
              <w:adjustRightInd w:val="0"/>
              <w:snapToGrid w:val="0"/>
              <w:jc w:val="left"/>
              <w:rPr>
                <w:rFonts w:ascii="宋体" w:hAnsi="宋体"/>
                <w:color w:val="auto"/>
                <w:kern w:val="0"/>
                <w:sz w:val="24"/>
              </w:rPr>
            </w:pPr>
          </w:p>
        </w:tc>
        <w:tc>
          <w:tcPr>
            <w:tcW w:w="770" w:type="dxa"/>
          </w:tcPr>
          <w:p w14:paraId="6CE2743E">
            <w:pPr>
              <w:autoSpaceDE w:val="0"/>
              <w:autoSpaceDN w:val="0"/>
              <w:adjustRightInd w:val="0"/>
              <w:snapToGrid w:val="0"/>
              <w:jc w:val="left"/>
              <w:rPr>
                <w:rFonts w:ascii="宋体" w:hAnsi="宋体"/>
                <w:color w:val="auto"/>
                <w:kern w:val="0"/>
                <w:sz w:val="24"/>
              </w:rPr>
            </w:pPr>
          </w:p>
        </w:tc>
      </w:tr>
      <w:tr w14:paraId="5EB3BA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B1CF5DC">
            <w:pPr>
              <w:autoSpaceDE w:val="0"/>
              <w:autoSpaceDN w:val="0"/>
              <w:adjustRightInd w:val="0"/>
              <w:snapToGrid w:val="0"/>
              <w:jc w:val="left"/>
              <w:rPr>
                <w:rFonts w:ascii="宋体" w:hAnsi="宋体"/>
                <w:color w:val="auto"/>
                <w:kern w:val="0"/>
                <w:sz w:val="24"/>
              </w:rPr>
            </w:pPr>
          </w:p>
        </w:tc>
        <w:tc>
          <w:tcPr>
            <w:tcW w:w="1219" w:type="dxa"/>
          </w:tcPr>
          <w:p w14:paraId="561C5668">
            <w:pPr>
              <w:autoSpaceDE w:val="0"/>
              <w:autoSpaceDN w:val="0"/>
              <w:adjustRightInd w:val="0"/>
              <w:snapToGrid w:val="0"/>
              <w:jc w:val="left"/>
              <w:rPr>
                <w:rFonts w:ascii="宋体" w:hAnsi="宋体"/>
                <w:color w:val="auto"/>
                <w:kern w:val="0"/>
                <w:sz w:val="24"/>
              </w:rPr>
            </w:pPr>
          </w:p>
        </w:tc>
        <w:tc>
          <w:tcPr>
            <w:tcW w:w="852" w:type="dxa"/>
          </w:tcPr>
          <w:p w14:paraId="60EB13B2">
            <w:pPr>
              <w:autoSpaceDE w:val="0"/>
              <w:autoSpaceDN w:val="0"/>
              <w:adjustRightInd w:val="0"/>
              <w:snapToGrid w:val="0"/>
              <w:jc w:val="left"/>
              <w:rPr>
                <w:rFonts w:ascii="宋体" w:hAnsi="宋体"/>
                <w:color w:val="auto"/>
                <w:kern w:val="0"/>
                <w:sz w:val="24"/>
              </w:rPr>
            </w:pPr>
          </w:p>
        </w:tc>
        <w:tc>
          <w:tcPr>
            <w:tcW w:w="1111" w:type="dxa"/>
          </w:tcPr>
          <w:p w14:paraId="786D92AC">
            <w:pPr>
              <w:autoSpaceDE w:val="0"/>
              <w:autoSpaceDN w:val="0"/>
              <w:adjustRightInd w:val="0"/>
              <w:snapToGrid w:val="0"/>
              <w:jc w:val="left"/>
              <w:rPr>
                <w:rFonts w:ascii="宋体" w:hAnsi="宋体"/>
                <w:color w:val="auto"/>
                <w:kern w:val="0"/>
                <w:sz w:val="24"/>
              </w:rPr>
            </w:pPr>
          </w:p>
        </w:tc>
        <w:tc>
          <w:tcPr>
            <w:tcW w:w="754" w:type="dxa"/>
          </w:tcPr>
          <w:p w14:paraId="1EC40772">
            <w:pPr>
              <w:autoSpaceDE w:val="0"/>
              <w:autoSpaceDN w:val="0"/>
              <w:adjustRightInd w:val="0"/>
              <w:snapToGrid w:val="0"/>
              <w:jc w:val="left"/>
              <w:rPr>
                <w:rFonts w:ascii="宋体" w:hAnsi="宋体"/>
                <w:color w:val="auto"/>
                <w:kern w:val="0"/>
                <w:sz w:val="24"/>
              </w:rPr>
            </w:pPr>
          </w:p>
        </w:tc>
        <w:tc>
          <w:tcPr>
            <w:tcW w:w="827" w:type="dxa"/>
          </w:tcPr>
          <w:p w14:paraId="4257967C">
            <w:pPr>
              <w:autoSpaceDE w:val="0"/>
              <w:autoSpaceDN w:val="0"/>
              <w:adjustRightInd w:val="0"/>
              <w:snapToGrid w:val="0"/>
              <w:jc w:val="left"/>
              <w:rPr>
                <w:rFonts w:ascii="宋体" w:hAnsi="宋体"/>
                <w:color w:val="auto"/>
                <w:kern w:val="0"/>
                <w:sz w:val="24"/>
              </w:rPr>
            </w:pPr>
          </w:p>
        </w:tc>
        <w:tc>
          <w:tcPr>
            <w:tcW w:w="1359" w:type="dxa"/>
          </w:tcPr>
          <w:p w14:paraId="69AEC0DD">
            <w:pPr>
              <w:autoSpaceDE w:val="0"/>
              <w:autoSpaceDN w:val="0"/>
              <w:adjustRightInd w:val="0"/>
              <w:snapToGrid w:val="0"/>
              <w:jc w:val="left"/>
              <w:rPr>
                <w:rFonts w:ascii="宋体" w:hAnsi="宋体"/>
                <w:color w:val="auto"/>
                <w:kern w:val="0"/>
                <w:sz w:val="24"/>
              </w:rPr>
            </w:pPr>
          </w:p>
        </w:tc>
        <w:tc>
          <w:tcPr>
            <w:tcW w:w="1855" w:type="dxa"/>
          </w:tcPr>
          <w:p w14:paraId="64E4C603">
            <w:pPr>
              <w:autoSpaceDE w:val="0"/>
              <w:autoSpaceDN w:val="0"/>
              <w:adjustRightInd w:val="0"/>
              <w:snapToGrid w:val="0"/>
              <w:jc w:val="left"/>
              <w:rPr>
                <w:rFonts w:ascii="宋体" w:hAnsi="宋体"/>
                <w:color w:val="auto"/>
                <w:kern w:val="0"/>
                <w:sz w:val="24"/>
              </w:rPr>
            </w:pPr>
          </w:p>
        </w:tc>
        <w:tc>
          <w:tcPr>
            <w:tcW w:w="770" w:type="dxa"/>
          </w:tcPr>
          <w:p w14:paraId="6B806202">
            <w:pPr>
              <w:autoSpaceDE w:val="0"/>
              <w:autoSpaceDN w:val="0"/>
              <w:adjustRightInd w:val="0"/>
              <w:snapToGrid w:val="0"/>
              <w:jc w:val="left"/>
              <w:rPr>
                <w:rFonts w:ascii="宋体" w:hAnsi="宋体"/>
                <w:color w:val="auto"/>
                <w:kern w:val="0"/>
                <w:sz w:val="24"/>
              </w:rPr>
            </w:pPr>
          </w:p>
        </w:tc>
      </w:tr>
      <w:tr w14:paraId="5570C5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1F37D0E">
            <w:pPr>
              <w:autoSpaceDE w:val="0"/>
              <w:autoSpaceDN w:val="0"/>
              <w:adjustRightInd w:val="0"/>
              <w:snapToGrid w:val="0"/>
              <w:jc w:val="left"/>
              <w:rPr>
                <w:rFonts w:ascii="宋体" w:hAnsi="宋体"/>
                <w:color w:val="auto"/>
                <w:kern w:val="0"/>
                <w:sz w:val="24"/>
              </w:rPr>
            </w:pPr>
          </w:p>
        </w:tc>
        <w:tc>
          <w:tcPr>
            <w:tcW w:w="1219" w:type="dxa"/>
          </w:tcPr>
          <w:p w14:paraId="07DB5E83">
            <w:pPr>
              <w:autoSpaceDE w:val="0"/>
              <w:autoSpaceDN w:val="0"/>
              <w:adjustRightInd w:val="0"/>
              <w:snapToGrid w:val="0"/>
              <w:jc w:val="left"/>
              <w:rPr>
                <w:rFonts w:ascii="宋体" w:hAnsi="宋体"/>
                <w:color w:val="auto"/>
                <w:kern w:val="0"/>
                <w:sz w:val="24"/>
              </w:rPr>
            </w:pPr>
          </w:p>
        </w:tc>
        <w:tc>
          <w:tcPr>
            <w:tcW w:w="852" w:type="dxa"/>
          </w:tcPr>
          <w:p w14:paraId="7226057B">
            <w:pPr>
              <w:autoSpaceDE w:val="0"/>
              <w:autoSpaceDN w:val="0"/>
              <w:adjustRightInd w:val="0"/>
              <w:snapToGrid w:val="0"/>
              <w:jc w:val="left"/>
              <w:rPr>
                <w:rFonts w:ascii="宋体" w:hAnsi="宋体"/>
                <w:color w:val="auto"/>
                <w:kern w:val="0"/>
                <w:sz w:val="24"/>
              </w:rPr>
            </w:pPr>
          </w:p>
        </w:tc>
        <w:tc>
          <w:tcPr>
            <w:tcW w:w="1111" w:type="dxa"/>
          </w:tcPr>
          <w:p w14:paraId="1359A4E4">
            <w:pPr>
              <w:autoSpaceDE w:val="0"/>
              <w:autoSpaceDN w:val="0"/>
              <w:adjustRightInd w:val="0"/>
              <w:snapToGrid w:val="0"/>
              <w:jc w:val="left"/>
              <w:rPr>
                <w:rFonts w:ascii="宋体" w:hAnsi="宋体"/>
                <w:color w:val="auto"/>
                <w:kern w:val="0"/>
                <w:sz w:val="24"/>
              </w:rPr>
            </w:pPr>
          </w:p>
        </w:tc>
        <w:tc>
          <w:tcPr>
            <w:tcW w:w="754" w:type="dxa"/>
          </w:tcPr>
          <w:p w14:paraId="659F1B9B">
            <w:pPr>
              <w:autoSpaceDE w:val="0"/>
              <w:autoSpaceDN w:val="0"/>
              <w:adjustRightInd w:val="0"/>
              <w:snapToGrid w:val="0"/>
              <w:jc w:val="left"/>
              <w:rPr>
                <w:rFonts w:ascii="宋体" w:hAnsi="宋体"/>
                <w:color w:val="auto"/>
                <w:kern w:val="0"/>
                <w:sz w:val="24"/>
              </w:rPr>
            </w:pPr>
          </w:p>
        </w:tc>
        <w:tc>
          <w:tcPr>
            <w:tcW w:w="827" w:type="dxa"/>
          </w:tcPr>
          <w:p w14:paraId="62F5AA2E">
            <w:pPr>
              <w:autoSpaceDE w:val="0"/>
              <w:autoSpaceDN w:val="0"/>
              <w:adjustRightInd w:val="0"/>
              <w:snapToGrid w:val="0"/>
              <w:jc w:val="left"/>
              <w:rPr>
                <w:rFonts w:ascii="宋体" w:hAnsi="宋体"/>
                <w:color w:val="auto"/>
                <w:kern w:val="0"/>
                <w:sz w:val="24"/>
              </w:rPr>
            </w:pPr>
          </w:p>
        </w:tc>
        <w:tc>
          <w:tcPr>
            <w:tcW w:w="1359" w:type="dxa"/>
          </w:tcPr>
          <w:p w14:paraId="4EA53951">
            <w:pPr>
              <w:autoSpaceDE w:val="0"/>
              <w:autoSpaceDN w:val="0"/>
              <w:adjustRightInd w:val="0"/>
              <w:snapToGrid w:val="0"/>
              <w:jc w:val="left"/>
              <w:rPr>
                <w:rFonts w:ascii="宋体" w:hAnsi="宋体"/>
                <w:color w:val="auto"/>
                <w:kern w:val="0"/>
                <w:sz w:val="24"/>
              </w:rPr>
            </w:pPr>
          </w:p>
        </w:tc>
        <w:tc>
          <w:tcPr>
            <w:tcW w:w="1855" w:type="dxa"/>
          </w:tcPr>
          <w:p w14:paraId="110B1791">
            <w:pPr>
              <w:autoSpaceDE w:val="0"/>
              <w:autoSpaceDN w:val="0"/>
              <w:adjustRightInd w:val="0"/>
              <w:snapToGrid w:val="0"/>
              <w:jc w:val="left"/>
              <w:rPr>
                <w:rFonts w:ascii="宋体" w:hAnsi="宋体"/>
                <w:color w:val="auto"/>
                <w:kern w:val="0"/>
                <w:sz w:val="24"/>
              </w:rPr>
            </w:pPr>
          </w:p>
        </w:tc>
        <w:tc>
          <w:tcPr>
            <w:tcW w:w="770" w:type="dxa"/>
          </w:tcPr>
          <w:p w14:paraId="464F70E8">
            <w:pPr>
              <w:autoSpaceDE w:val="0"/>
              <w:autoSpaceDN w:val="0"/>
              <w:adjustRightInd w:val="0"/>
              <w:snapToGrid w:val="0"/>
              <w:jc w:val="left"/>
              <w:rPr>
                <w:rFonts w:ascii="宋体" w:hAnsi="宋体"/>
                <w:color w:val="auto"/>
                <w:kern w:val="0"/>
                <w:sz w:val="24"/>
              </w:rPr>
            </w:pPr>
          </w:p>
        </w:tc>
      </w:tr>
      <w:tr w14:paraId="180BD5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DBA0AEB">
            <w:pPr>
              <w:autoSpaceDE w:val="0"/>
              <w:autoSpaceDN w:val="0"/>
              <w:adjustRightInd w:val="0"/>
              <w:snapToGrid w:val="0"/>
              <w:jc w:val="left"/>
              <w:rPr>
                <w:rFonts w:ascii="宋体" w:hAnsi="宋体"/>
                <w:color w:val="auto"/>
                <w:kern w:val="0"/>
                <w:sz w:val="24"/>
              </w:rPr>
            </w:pPr>
          </w:p>
        </w:tc>
        <w:tc>
          <w:tcPr>
            <w:tcW w:w="1219" w:type="dxa"/>
          </w:tcPr>
          <w:p w14:paraId="74723D16">
            <w:pPr>
              <w:autoSpaceDE w:val="0"/>
              <w:autoSpaceDN w:val="0"/>
              <w:adjustRightInd w:val="0"/>
              <w:snapToGrid w:val="0"/>
              <w:jc w:val="left"/>
              <w:rPr>
                <w:rFonts w:ascii="宋体" w:hAnsi="宋体"/>
                <w:color w:val="auto"/>
                <w:kern w:val="0"/>
                <w:sz w:val="24"/>
              </w:rPr>
            </w:pPr>
          </w:p>
        </w:tc>
        <w:tc>
          <w:tcPr>
            <w:tcW w:w="852" w:type="dxa"/>
          </w:tcPr>
          <w:p w14:paraId="067C92C5">
            <w:pPr>
              <w:autoSpaceDE w:val="0"/>
              <w:autoSpaceDN w:val="0"/>
              <w:adjustRightInd w:val="0"/>
              <w:snapToGrid w:val="0"/>
              <w:jc w:val="left"/>
              <w:rPr>
                <w:rFonts w:ascii="宋体" w:hAnsi="宋体"/>
                <w:color w:val="auto"/>
                <w:kern w:val="0"/>
                <w:sz w:val="24"/>
              </w:rPr>
            </w:pPr>
          </w:p>
        </w:tc>
        <w:tc>
          <w:tcPr>
            <w:tcW w:w="1111" w:type="dxa"/>
          </w:tcPr>
          <w:p w14:paraId="5CF6DEB5">
            <w:pPr>
              <w:autoSpaceDE w:val="0"/>
              <w:autoSpaceDN w:val="0"/>
              <w:adjustRightInd w:val="0"/>
              <w:snapToGrid w:val="0"/>
              <w:jc w:val="left"/>
              <w:rPr>
                <w:rFonts w:ascii="宋体" w:hAnsi="宋体"/>
                <w:color w:val="auto"/>
                <w:kern w:val="0"/>
                <w:sz w:val="24"/>
              </w:rPr>
            </w:pPr>
          </w:p>
        </w:tc>
        <w:tc>
          <w:tcPr>
            <w:tcW w:w="754" w:type="dxa"/>
          </w:tcPr>
          <w:p w14:paraId="1C4C92C9">
            <w:pPr>
              <w:autoSpaceDE w:val="0"/>
              <w:autoSpaceDN w:val="0"/>
              <w:adjustRightInd w:val="0"/>
              <w:snapToGrid w:val="0"/>
              <w:jc w:val="left"/>
              <w:rPr>
                <w:rFonts w:ascii="宋体" w:hAnsi="宋体"/>
                <w:color w:val="auto"/>
                <w:kern w:val="0"/>
                <w:sz w:val="24"/>
              </w:rPr>
            </w:pPr>
          </w:p>
        </w:tc>
        <w:tc>
          <w:tcPr>
            <w:tcW w:w="827" w:type="dxa"/>
          </w:tcPr>
          <w:p w14:paraId="2C3ED32D">
            <w:pPr>
              <w:autoSpaceDE w:val="0"/>
              <w:autoSpaceDN w:val="0"/>
              <w:adjustRightInd w:val="0"/>
              <w:snapToGrid w:val="0"/>
              <w:jc w:val="left"/>
              <w:rPr>
                <w:rFonts w:ascii="宋体" w:hAnsi="宋体"/>
                <w:color w:val="auto"/>
                <w:kern w:val="0"/>
                <w:sz w:val="24"/>
              </w:rPr>
            </w:pPr>
          </w:p>
        </w:tc>
        <w:tc>
          <w:tcPr>
            <w:tcW w:w="1359" w:type="dxa"/>
          </w:tcPr>
          <w:p w14:paraId="34CD42BD">
            <w:pPr>
              <w:autoSpaceDE w:val="0"/>
              <w:autoSpaceDN w:val="0"/>
              <w:adjustRightInd w:val="0"/>
              <w:snapToGrid w:val="0"/>
              <w:jc w:val="left"/>
              <w:rPr>
                <w:rFonts w:ascii="宋体" w:hAnsi="宋体"/>
                <w:color w:val="auto"/>
                <w:kern w:val="0"/>
                <w:sz w:val="24"/>
              </w:rPr>
            </w:pPr>
          </w:p>
        </w:tc>
        <w:tc>
          <w:tcPr>
            <w:tcW w:w="1855" w:type="dxa"/>
          </w:tcPr>
          <w:p w14:paraId="1CDE5F64">
            <w:pPr>
              <w:autoSpaceDE w:val="0"/>
              <w:autoSpaceDN w:val="0"/>
              <w:adjustRightInd w:val="0"/>
              <w:snapToGrid w:val="0"/>
              <w:jc w:val="left"/>
              <w:rPr>
                <w:rFonts w:ascii="宋体" w:hAnsi="宋体"/>
                <w:color w:val="auto"/>
                <w:kern w:val="0"/>
                <w:sz w:val="24"/>
              </w:rPr>
            </w:pPr>
          </w:p>
        </w:tc>
        <w:tc>
          <w:tcPr>
            <w:tcW w:w="770" w:type="dxa"/>
          </w:tcPr>
          <w:p w14:paraId="5D139021">
            <w:pPr>
              <w:autoSpaceDE w:val="0"/>
              <w:autoSpaceDN w:val="0"/>
              <w:adjustRightInd w:val="0"/>
              <w:snapToGrid w:val="0"/>
              <w:jc w:val="left"/>
              <w:rPr>
                <w:rFonts w:ascii="宋体" w:hAnsi="宋体"/>
                <w:color w:val="auto"/>
                <w:kern w:val="0"/>
                <w:sz w:val="24"/>
              </w:rPr>
            </w:pPr>
          </w:p>
        </w:tc>
      </w:tr>
      <w:tr w14:paraId="390755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8D72F75">
            <w:pPr>
              <w:autoSpaceDE w:val="0"/>
              <w:autoSpaceDN w:val="0"/>
              <w:adjustRightInd w:val="0"/>
              <w:snapToGrid w:val="0"/>
              <w:jc w:val="left"/>
              <w:rPr>
                <w:rFonts w:ascii="宋体" w:hAnsi="宋体"/>
                <w:color w:val="auto"/>
                <w:kern w:val="0"/>
                <w:sz w:val="24"/>
              </w:rPr>
            </w:pPr>
          </w:p>
        </w:tc>
        <w:tc>
          <w:tcPr>
            <w:tcW w:w="1219" w:type="dxa"/>
          </w:tcPr>
          <w:p w14:paraId="410825C1">
            <w:pPr>
              <w:autoSpaceDE w:val="0"/>
              <w:autoSpaceDN w:val="0"/>
              <w:adjustRightInd w:val="0"/>
              <w:snapToGrid w:val="0"/>
              <w:jc w:val="left"/>
              <w:rPr>
                <w:rFonts w:ascii="宋体" w:hAnsi="宋体"/>
                <w:color w:val="auto"/>
                <w:kern w:val="0"/>
                <w:sz w:val="24"/>
              </w:rPr>
            </w:pPr>
          </w:p>
        </w:tc>
        <w:tc>
          <w:tcPr>
            <w:tcW w:w="852" w:type="dxa"/>
          </w:tcPr>
          <w:p w14:paraId="7C54321F">
            <w:pPr>
              <w:autoSpaceDE w:val="0"/>
              <w:autoSpaceDN w:val="0"/>
              <w:adjustRightInd w:val="0"/>
              <w:snapToGrid w:val="0"/>
              <w:jc w:val="left"/>
              <w:rPr>
                <w:rFonts w:ascii="宋体" w:hAnsi="宋体"/>
                <w:color w:val="auto"/>
                <w:kern w:val="0"/>
                <w:sz w:val="24"/>
              </w:rPr>
            </w:pPr>
          </w:p>
        </w:tc>
        <w:tc>
          <w:tcPr>
            <w:tcW w:w="1111" w:type="dxa"/>
          </w:tcPr>
          <w:p w14:paraId="3D74682A">
            <w:pPr>
              <w:autoSpaceDE w:val="0"/>
              <w:autoSpaceDN w:val="0"/>
              <w:adjustRightInd w:val="0"/>
              <w:snapToGrid w:val="0"/>
              <w:jc w:val="left"/>
              <w:rPr>
                <w:rFonts w:ascii="宋体" w:hAnsi="宋体"/>
                <w:color w:val="auto"/>
                <w:kern w:val="0"/>
                <w:sz w:val="24"/>
              </w:rPr>
            </w:pPr>
          </w:p>
        </w:tc>
        <w:tc>
          <w:tcPr>
            <w:tcW w:w="754" w:type="dxa"/>
          </w:tcPr>
          <w:p w14:paraId="71CEA4CD">
            <w:pPr>
              <w:autoSpaceDE w:val="0"/>
              <w:autoSpaceDN w:val="0"/>
              <w:adjustRightInd w:val="0"/>
              <w:snapToGrid w:val="0"/>
              <w:jc w:val="left"/>
              <w:rPr>
                <w:rFonts w:ascii="宋体" w:hAnsi="宋体"/>
                <w:color w:val="auto"/>
                <w:kern w:val="0"/>
                <w:sz w:val="24"/>
              </w:rPr>
            </w:pPr>
          </w:p>
        </w:tc>
        <w:tc>
          <w:tcPr>
            <w:tcW w:w="827" w:type="dxa"/>
          </w:tcPr>
          <w:p w14:paraId="0FCCBFB5">
            <w:pPr>
              <w:autoSpaceDE w:val="0"/>
              <w:autoSpaceDN w:val="0"/>
              <w:adjustRightInd w:val="0"/>
              <w:snapToGrid w:val="0"/>
              <w:jc w:val="left"/>
              <w:rPr>
                <w:rFonts w:ascii="宋体" w:hAnsi="宋体"/>
                <w:color w:val="auto"/>
                <w:kern w:val="0"/>
                <w:sz w:val="24"/>
              </w:rPr>
            </w:pPr>
          </w:p>
        </w:tc>
        <w:tc>
          <w:tcPr>
            <w:tcW w:w="1359" w:type="dxa"/>
          </w:tcPr>
          <w:p w14:paraId="137028F8">
            <w:pPr>
              <w:autoSpaceDE w:val="0"/>
              <w:autoSpaceDN w:val="0"/>
              <w:adjustRightInd w:val="0"/>
              <w:snapToGrid w:val="0"/>
              <w:jc w:val="left"/>
              <w:rPr>
                <w:rFonts w:ascii="宋体" w:hAnsi="宋体"/>
                <w:color w:val="auto"/>
                <w:kern w:val="0"/>
                <w:sz w:val="24"/>
              </w:rPr>
            </w:pPr>
          </w:p>
        </w:tc>
        <w:tc>
          <w:tcPr>
            <w:tcW w:w="1855" w:type="dxa"/>
          </w:tcPr>
          <w:p w14:paraId="68EEF482">
            <w:pPr>
              <w:autoSpaceDE w:val="0"/>
              <w:autoSpaceDN w:val="0"/>
              <w:adjustRightInd w:val="0"/>
              <w:snapToGrid w:val="0"/>
              <w:jc w:val="left"/>
              <w:rPr>
                <w:rFonts w:ascii="宋体" w:hAnsi="宋体"/>
                <w:color w:val="auto"/>
                <w:kern w:val="0"/>
                <w:sz w:val="24"/>
              </w:rPr>
            </w:pPr>
          </w:p>
        </w:tc>
        <w:tc>
          <w:tcPr>
            <w:tcW w:w="770" w:type="dxa"/>
          </w:tcPr>
          <w:p w14:paraId="7007A720">
            <w:pPr>
              <w:autoSpaceDE w:val="0"/>
              <w:autoSpaceDN w:val="0"/>
              <w:adjustRightInd w:val="0"/>
              <w:snapToGrid w:val="0"/>
              <w:jc w:val="left"/>
              <w:rPr>
                <w:rFonts w:ascii="宋体" w:hAnsi="宋体"/>
                <w:color w:val="auto"/>
                <w:kern w:val="0"/>
                <w:sz w:val="24"/>
              </w:rPr>
            </w:pPr>
          </w:p>
        </w:tc>
      </w:tr>
      <w:tr w14:paraId="4DC1A6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5152172">
            <w:pPr>
              <w:autoSpaceDE w:val="0"/>
              <w:autoSpaceDN w:val="0"/>
              <w:adjustRightInd w:val="0"/>
              <w:snapToGrid w:val="0"/>
              <w:jc w:val="left"/>
              <w:rPr>
                <w:rFonts w:ascii="宋体" w:hAnsi="宋体"/>
                <w:color w:val="auto"/>
                <w:kern w:val="0"/>
                <w:sz w:val="24"/>
              </w:rPr>
            </w:pPr>
          </w:p>
        </w:tc>
        <w:tc>
          <w:tcPr>
            <w:tcW w:w="1219" w:type="dxa"/>
          </w:tcPr>
          <w:p w14:paraId="1CDEBA34">
            <w:pPr>
              <w:autoSpaceDE w:val="0"/>
              <w:autoSpaceDN w:val="0"/>
              <w:adjustRightInd w:val="0"/>
              <w:snapToGrid w:val="0"/>
              <w:jc w:val="left"/>
              <w:rPr>
                <w:rFonts w:ascii="宋体" w:hAnsi="宋体"/>
                <w:color w:val="auto"/>
                <w:kern w:val="0"/>
                <w:sz w:val="24"/>
              </w:rPr>
            </w:pPr>
          </w:p>
        </w:tc>
        <w:tc>
          <w:tcPr>
            <w:tcW w:w="852" w:type="dxa"/>
          </w:tcPr>
          <w:p w14:paraId="67C8B5CD">
            <w:pPr>
              <w:autoSpaceDE w:val="0"/>
              <w:autoSpaceDN w:val="0"/>
              <w:adjustRightInd w:val="0"/>
              <w:snapToGrid w:val="0"/>
              <w:jc w:val="left"/>
              <w:rPr>
                <w:rFonts w:ascii="宋体" w:hAnsi="宋体"/>
                <w:color w:val="auto"/>
                <w:kern w:val="0"/>
                <w:sz w:val="24"/>
              </w:rPr>
            </w:pPr>
          </w:p>
        </w:tc>
        <w:tc>
          <w:tcPr>
            <w:tcW w:w="1111" w:type="dxa"/>
          </w:tcPr>
          <w:p w14:paraId="2E0F1E34">
            <w:pPr>
              <w:autoSpaceDE w:val="0"/>
              <w:autoSpaceDN w:val="0"/>
              <w:adjustRightInd w:val="0"/>
              <w:snapToGrid w:val="0"/>
              <w:jc w:val="left"/>
              <w:rPr>
                <w:rFonts w:ascii="宋体" w:hAnsi="宋体"/>
                <w:color w:val="auto"/>
                <w:kern w:val="0"/>
                <w:sz w:val="24"/>
              </w:rPr>
            </w:pPr>
          </w:p>
        </w:tc>
        <w:tc>
          <w:tcPr>
            <w:tcW w:w="754" w:type="dxa"/>
          </w:tcPr>
          <w:p w14:paraId="25E9467B">
            <w:pPr>
              <w:autoSpaceDE w:val="0"/>
              <w:autoSpaceDN w:val="0"/>
              <w:adjustRightInd w:val="0"/>
              <w:snapToGrid w:val="0"/>
              <w:jc w:val="left"/>
              <w:rPr>
                <w:rFonts w:ascii="宋体" w:hAnsi="宋体"/>
                <w:color w:val="auto"/>
                <w:kern w:val="0"/>
                <w:sz w:val="24"/>
              </w:rPr>
            </w:pPr>
          </w:p>
        </w:tc>
        <w:tc>
          <w:tcPr>
            <w:tcW w:w="827" w:type="dxa"/>
          </w:tcPr>
          <w:p w14:paraId="5C1CA858">
            <w:pPr>
              <w:autoSpaceDE w:val="0"/>
              <w:autoSpaceDN w:val="0"/>
              <w:adjustRightInd w:val="0"/>
              <w:snapToGrid w:val="0"/>
              <w:jc w:val="left"/>
              <w:rPr>
                <w:rFonts w:ascii="宋体" w:hAnsi="宋体"/>
                <w:color w:val="auto"/>
                <w:kern w:val="0"/>
                <w:sz w:val="24"/>
              </w:rPr>
            </w:pPr>
          </w:p>
        </w:tc>
        <w:tc>
          <w:tcPr>
            <w:tcW w:w="1359" w:type="dxa"/>
          </w:tcPr>
          <w:p w14:paraId="5F52A9F6">
            <w:pPr>
              <w:autoSpaceDE w:val="0"/>
              <w:autoSpaceDN w:val="0"/>
              <w:adjustRightInd w:val="0"/>
              <w:snapToGrid w:val="0"/>
              <w:jc w:val="left"/>
              <w:rPr>
                <w:rFonts w:ascii="宋体" w:hAnsi="宋体"/>
                <w:color w:val="auto"/>
                <w:kern w:val="0"/>
                <w:sz w:val="24"/>
              </w:rPr>
            </w:pPr>
          </w:p>
        </w:tc>
        <w:tc>
          <w:tcPr>
            <w:tcW w:w="1855" w:type="dxa"/>
          </w:tcPr>
          <w:p w14:paraId="119E4853">
            <w:pPr>
              <w:autoSpaceDE w:val="0"/>
              <w:autoSpaceDN w:val="0"/>
              <w:adjustRightInd w:val="0"/>
              <w:snapToGrid w:val="0"/>
              <w:jc w:val="left"/>
              <w:rPr>
                <w:rFonts w:ascii="宋体" w:hAnsi="宋体"/>
                <w:color w:val="auto"/>
                <w:kern w:val="0"/>
                <w:sz w:val="24"/>
              </w:rPr>
            </w:pPr>
          </w:p>
        </w:tc>
        <w:tc>
          <w:tcPr>
            <w:tcW w:w="770" w:type="dxa"/>
          </w:tcPr>
          <w:p w14:paraId="49A725AD">
            <w:pPr>
              <w:autoSpaceDE w:val="0"/>
              <w:autoSpaceDN w:val="0"/>
              <w:adjustRightInd w:val="0"/>
              <w:snapToGrid w:val="0"/>
              <w:jc w:val="left"/>
              <w:rPr>
                <w:rFonts w:ascii="宋体" w:hAnsi="宋体"/>
                <w:color w:val="auto"/>
                <w:kern w:val="0"/>
                <w:sz w:val="24"/>
              </w:rPr>
            </w:pPr>
          </w:p>
        </w:tc>
      </w:tr>
      <w:tr w14:paraId="55531C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A40CC1C">
            <w:pPr>
              <w:autoSpaceDE w:val="0"/>
              <w:autoSpaceDN w:val="0"/>
              <w:adjustRightInd w:val="0"/>
              <w:snapToGrid w:val="0"/>
              <w:jc w:val="left"/>
              <w:rPr>
                <w:rFonts w:ascii="宋体" w:hAnsi="宋体"/>
                <w:color w:val="auto"/>
                <w:kern w:val="0"/>
                <w:sz w:val="24"/>
              </w:rPr>
            </w:pPr>
          </w:p>
        </w:tc>
        <w:tc>
          <w:tcPr>
            <w:tcW w:w="1219" w:type="dxa"/>
          </w:tcPr>
          <w:p w14:paraId="756CA0DA">
            <w:pPr>
              <w:autoSpaceDE w:val="0"/>
              <w:autoSpaceDN w:val="0"/>
              <w:adjustRightInd w:val="0"/>
              <w:snapToGrid w:val="0"/>
              <w:jc w:val="left"/>
              <w:rPr>
                <w:rFonts w:ascii="宋体" w:hAnsi="宋体"/>
                <w:color w:val="auto"/>
                <w:kern w:val="0"/>
                <w:sz w:val="24"/>
              </w:rPr>
            </w:pPr>
          </w:p>
        </w:tc>
        <w:tc>
          <w:tcPr>
            <w:tcW w:w="852" w:type="dxa"/>
          </w:tcPr>
          <w:p w14:paraId="0F19B0B1">
            <w:pPr>
              <w:autoSpaceDE w:val="0"/>
              <w:autoSpaceDN w:val="0"/>
              <w:adjustRightInd w:val="0"/>
              <w:snapToGrid w:val="0"/>
              <w:jc w:val="left"/>
              <w:rPr>
                <w:rFonts w:ascii="宋体" w:hAnsi="宋体"/>
                <w:color w:val="auto"/>
                <w:kern w:val="0"/>
                <w:sz w:val="24"/>
              </w:rPr>
            </w:pPr>
          </w:p>
        </w:tc>
        <w:tc>
          <w:tcPr>
            <w:tcW w:w="1111" w:type="dxa"/>
          </w:tcPr>
          <w:p w14:paraId="08DD2225">
            <w:pPr>
              <w:autoSpaceDE w:val="0"/>
              <w:autoSpaceDN w:val="0"/>
              <w:adjustRightInd w:val="0"/>
              <w:snapToGrid w:val="0"/>
              <w:jc w:val="left"/>
              <w:rPr>
                <w:rFonts w:ascii="宋体" w:hAnsi="宋体"/>
                <w:color w:val="auto"/>
                <w:kern w:val="0"/>
                <w:sz w:val="24"/>
              </w:rPr>
            </w:pPr>
          </w:p>
        </w:tc>
        <w:tc>
          <w:tcPr>
            <w:tcW w:w="754" w:type="dxa"/>
          </w:tcPr>
          <w:p w14:paraId="144DC0D9">
            <w:pPr>
              <w:autoSpaceDE w:val="0"/>
              <w:autoSpaceDN w:val="0"/>
              <w:adjustRightInd w:val="0"/>
              <w:snapToGrid w:val="0"/>
              <w:jc w:val="left"/>
              <w:rPr>
                <w:rFonts w:ascii="宋体" w:hAnsi="宋体"/>
                <w:color w:val="auto"/>
                <w:kern w:val="0"/>
                <w:sz w:val="24"/>
              </w:rPr>
            </w:pPr>
          </w:p>
        </w:tc>
        <w:tc>
          <w:tcPr>
            <w:tcW w:w="827" w:type="dxa"/>
          </w:tcPr>
          <w:p w14:paraId="3EF81DCC">
            <w:pPr>
              <w:autoSpaceDE w:val="0"/>
              <w:autoSpaceDN w:val="0"/>
              <w:adjustRightInd w:val="0"/>
              <w:snapToGrid w:val="0"/>
              <w:jc w:val="left"/>
              <w:rPr>
                <w:rFonts w:ascii="宋体" w:hAnsi="宋体"/>
                <w:color w:val="auto"/>
                <w:kern w:val="0"/>
                <w:sz w:val="24"/>
              </w:rPr>
            </w:pPr>
          </w:p>
        </w:tc>
        <w:tc>
          <w:tcPr>
            <w:tcW w:w="1359" w:type="dxa"/>
          </w:tcPr>
          <w:p w14:paraId="50FB4319">
            <w:pPr>
              <w:autoSpaceDE w:val="0"/>
              <w:autoSpaceDN w:val="0"/>
              <w:adjustRightInd w:val="0"/>
              <w:snapToGrid w:val="0"/>
              <w:jc w:val="left"/>
              <w:rPr>
                <w:rFonts w:ascii="宋体" w:hAnsi="宋体"/>
                <w:color w:val="auto"/>
                <w:kern w:val="0"/>
                <w:sz w:val="24"/>
              </w:rPr>
            </w:pPr>
          </w:p>
        </w:tc>
        <w:tc>
          <w:tcPr>
            <w:tcW w:w="1855" w:type="dxa"/>
          </w:tcPr>
          <w:p w14:paraId="64D9210A">
            <w:pPr>
              <w:autoSpaceDE w:val="0"/>
              <w:autoSpaceDN w:val="0"/>
              <w:adjustRightInd w:val="0"/>
              <w:snapToGrid w:val="0"/>
              <w:jc w:val="left"/>
              <w:rPr>
                <w:rFonts w:ascii="宋体" w:hAnsi="宋体"/>
                <w:color w:val="auto"/>
                <w:kern w:val="0"/>
                <w:sz w:val="24"/>
              </w:rPr>
            </w:pPr>
          </w:p>
        </w:tc>
        <w:tc>
          <w:tcPr>
            <w:tcW w:w="770" w:type="dxa"/>
          </w:tcPr>
          <w:p w14:paraId="3AD28D84">
            <w:pPr>
              <w:autoSpaceDE w:val="0"/>
              <w:autoSpaceDN w:val="0"/>
              <w:adjustRightInd w:val="0"/>
              <w:snapToGrid w:val="0"/>
              <w:jc w:val="left"/>
              <w:rPr>
                <w:rFonts w:ascii="宋体" w:hAnsi="宋体"/>
                <w:color w:val="auto"/>
                <w:kern w:val="0"/>
                <w:sz w:val="24"/>
              </w:rPr>
            </w:pPr>
          </w:p>
        </w:tc>
      </w:tr>
      <w:tr w14:paraId="67C5D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EA0BFE4">
            <w:pPr>
              <w:autoSpaceDE w:val="0"/>
              <w:autoSpaceDN w:val="0"/>
              <w:adjustRightInd w:val="0"/>
              <w:snapToGrid w:val="0"/>
              <w:jc w:val="left"/>
              <w:rPr>
                <w:rFonts w:ascii="宋体" w:hAnsi="宋体"/>
                <w:color w:val="auto"/>
                <w:kern w:val="0"/>
                <w:sz w:val="24"/>
              </w:rPr>
            </w:pPr>
          </w:p>
        </w:tc>
        <w:tc>
          <w:tcPr>
            <w:tcW w:w="1219" w:type="dxa"/>
          </w:tcPr>
          <w:p w14:paraId="5971A689">
            <w:pPr>
              <w:autoSpaceDE w:val="0"/>
              <w:autoSpaceDN w:val="0"/>
              <w:adjustRightInd w:val="0"/>
              <w:snapToGrid w:val="0"/>
              <w:jc w:val="left"/>
              <w:rPr>
                <w:rFonts w:ascii="宋体" w:hAnsi="宋体"/>
                <w:color w:val="auto"/>
                <w:kern w:val="0"/>
                <w:sz w:val="24"/>
              </w:rPr>
            </w:pPr>
          </w:p>
        </w:tc>
        <w:tc>
          <w:tcPr>
            <w:tcW w:w="852" w:type="dxa"/>
          </w:tcPr>
          <w:p w14:paraId="4D047CF4">
            <w:pPr>
              <w:autoSpaceDE w:val="0"/>
              <w:autoSpaceDN w:val="0"/>
              <w:adjustRightInd w:val="0"/>
              <w:snapToGrid w:val="0"/>
              <w:jc w:val="left"/>
              <w:rPr>
                <w:rFonts w:ascii="宋体" w:hAnsi="宋体"/>
                <w:color w:val="auto"/>
                <w:kern w:val="0"/>
                <w:sz w:val="24"/>
              </w:rPr>
            </w:pPr>
          </w:p>
        </w:tc>
        <w:tc>
          <w:tcPr>
            <w:tcW w:w="1111" w:type="dxa"/>
          </w:tcPr>
          <w:p w14:paraId="1BAD6BC8">
            <w:pPr>
              <w:autoSpaceDE w:val="0"/>
              <w:autoSpaceDN w:val="0"/>
              <w:adjustRightInd w:val="0"/>
              <w:snapToGrid w:val="0"/>
              <w:jc w:val="left"/>
              <w:rPr>
                <w:rFonts w:ascii="宋体" w:hAnsi="宋体"/>
                <w:color w:val="auto"/>
                <w:kern w:val="0"/>
                <w:sz w:val="24"/>
              </w:rPr>
            </w:pPr>
          </w:p>
        </w:tc>
        <w:tc>
          <w:tcPr>
            <w:tcW w:w="754" w:type="dxa"/>
          </w:tcPr>
          <w:p w14:paraId="5D3F3C56">
            <w:pPr>
              <w:autoSpaceDE w:val="0"/>
              <w:autoSpaceDN w:val="0"/>
              <w:adjustRightInd w:val="0"/>
              <w:snapToGrid w:val="0"/>
              <w:jc w:val="left"/>
              <w:rPr>
                <w:rFonts w:ascii="宋体" w:hAnsi="宋体"/>
                <w:color w:val="auto"/>
                <w:kern w:val="0"/>
                <w:sz w:val="24"/>
              </w:rPr>
            </w:pPr>
          </w:p>
        </w:tc>
        <w:tc>
          <w:tcPr>
            <w:tcW w:w="827" w:type="dxa"/>
          </w:tcPr>
          <w:p w14:paraId="58269572">
            <w:pPr>
              <w:autoSpaceDE w:val="0"/>
              <w:autoSpaceDN w:val="0"/>
              <w:adjustRightInd w:val="0"/>
              <w:snapToGrid w:val="0"/>
              <w:jc w:val="left"/>
              <w:rPr>
                <w:rFonts w:ascii="宋体" w:hAnsi="宋体"/>
                <w:color w:val="auto"/>
                <w:kern w:val="0"/>
                <w:sz w:val="24"/>
              </w:rPr>
            </w:pPr>
          </w:p>
        </w:tc>
        <w:tc>
          <w:tcPr>
            <w:tcW w:w="1359" w:type="dxa"/>
          </w:tcPr>
          <w:p w14:paraId="0B242673">
            <w:pPr>
              <w:autoSpaceDE w:val="0"/>
              <w:autoSpaceDN w:val="0"/>
              <w:adjustRightInd w:val="0"/>
              <w:snapToGrid w:val="0"/>
              <w:jc w:val="left"/>
              <w:rPr>
                <w:rFonts w:ascii="宋体" w:hAnsi="宋体"/>
                <w:color w:val="auto"/>
                <w:kern w:val="0"/>
                <w:sz w:val="24"/>
              </w:rPr>
            </w:pPr>
          </w:p>
        </w:tc>
        <w:tc>
          <w:tcPr>
            <w:tcW w:w="1855" w:type="dxa"/>
          </w:tcPr>
          <w:p w14:paraId="283A8238">
            <w:pPr>
              <w:autoSpaceDE w:val="0"/>
              <w:autoSpaceDN w:val="0"/>
              <w:adjustRightInd w:val="0"/>
              <w:snapToGrid w:val="0"/>
              <w:jc w:val="left"/>
              <w:rPr>
                <w:rFonts w:ascii="宋体" w:hAnsi="宋体"/>
                <w:color w:val="auto"/>
                <w:kern w:val="0"/>
                <w:sz w:val="24"/>
              </w:rPr>
            </w:pPr>
          </w:p>
        </w:tc>
        <w:tc>
          <w:tcPr>
            <w:tcW w:w="770" w:type="dxa"/>
          </w:tcPr>
          <w:p w14:paraId="1C5D5DD2">
            <w:pPr>
              <w:autoSpaceDE w:val="0"/>
              <w:autoSpaceDN w:val="0"/>
              <w:adjustRightInd w:val="0"/>
              <w:snapToGrid w:val="0"/>
              <w:jc w:val="left"/>
              <w:rPr>
                <w:rFonts w:ascii="宋体" w:hAnsi="宋体"/>
                <w:color w:val="auto"/>
                <w:kern w:val="0"/>
                <w:sz w:val="24"/>
              </w:rPr>
            </w:pPr>
          </w:p>
        </w:tc>
      </w:tr>
      <w:tr w14:paraId="4CF8F9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1B673C5">
            <w:pPr>
              <w:autoSpaceDE w:val="0"/>
              <w:autoSpaceDN w:val="0"/>
              <w:adjustRightInd w:val="0"/>
              <w:snapToGrid w:val="0"/>
              <w:jc w:val="left"/>
              <w:rPr>
                <w:rFonts w:ascii="宋体" w:hAnsi="宋体"/>
                <w:color w:val="auto"/>
                <w:kern w:val="0"/>
                <w:sz w:val="24"/>
              </w:rPr>
            </w:pPr>
          </w:p>
        </w:tc>
        <w:tc>
          <w:tcPr>
            <w:tcW w:w="1219" w:type="dxa"/>
          </w:tcPr>
          <w:p w14:paraId="1E15FCA4">
            <w:pPr>
              <w:autoSpaceDE w:val="0"/>
              <w:autoSpaceDN w:val="0"/>
              <w:adjustRightInd w:val="0"/>
              <w:snapToGrid w:val="0"/>
              <w:jc w:val="left"/>
              <w:rPr>
                <w:rFonts w:ascii="宋体" w:hAnsi="宋体"/>
                <w:color w:val="auto"/>
                <w:kern w:val="0"/>
                <w:sz w:val="24"/>
              </w:rPr>
            </w:pPr>
          </w:p>
        </w:tc>
        <w:tc>
          <w:tcPr>
            <w:tcW w:w="852" w:type="dxa"/>
          </w:tcPr>
          <w:p w14:paraId="344E0E85">
            <w:pPr>
              <w:autoSpaceDE w:val="0"/>
              <w:autoSpaceDN w:val="0"/>
              <w:adjustRightInd w:val="0"/>
              <w:snapToGrid w:val="0"/>
              <w:jc w:val="left"/>
              <w:rPr>
                <w:rFonts w:ascii="宋体" w:hAnsi="宋体"/>
                <w:color w:val="auto"/>
                <w:kern w:val="0"/>
                <w:sz w:val="24"/>
              </w:rPr>
            </w:pPr>
          </w:p>
        </w:tc>
        <w:tc>
          <w:tcPr>
            <w:tcW w:w="1111" w:type="dxa"/>
          </w:tcPr>
          <w:p w14:paraId="43D79432">
            <w:pPr>
              <w:autoSpaceDE w:val="0"/>
              <w:autoSpaceDN w:val="0"/>
              <w:adjustRightInd w:val="0"/>
              <w:snapToGrid w:val="0"/>
              <w:jc w:val="left"/>
              <w:rPr>
                <w:rFonts w:ascii="宋体" w:hAnsi="宋体"/>
                <w:color w:val="auto"/>
                <w:kern w:val="0"/>
                <w:sz w:val="24"/>
              </w:rPr>
            </w:pPr>
          </w:p>
        </w:tc>
        <w:tc>
          <w:tcPr>
            <w:tcW w:w="754" w:type="dxa"/>
          </w:tcPr>
          <w:p w14:paraId="797ADE61">
            <w:pPr>
              <w:autoSpaceDE w:val="0"/>
              <w:autoSpaceDN w:val="0"/>
              <w:adjustRightInd w:val="0"/>
              <w:snapToGrid w:val="0"/>
              <w:jc w:val="left"/>
              <w:rPr>
                <w:rFonts w:ascii="宋体" w:hAnsi="宋体"/>
                <w:color w:val="auto"/>
                <w:kern w:val="0"/>
                <w:sz w:val="24"/>
              </w:rPr>
            </w:pPr>
          </w:p>
        </w:tc>
        <w:tc>
          <w:tcPr>
            <w:tcW w:w="827" w:type="dxa"/>
          </w:tcPr>
          <w:p w14:paraId="418B4349">
            <w:pPr>
              <w:autoSpaceDE w:val="0"/>
              <w:autoSpaceDN w:val="0"/>
              <w:adjustRightInd w:val="0"/>
              <w:snapToGrid w:val="0"/>
              <w:jc w:val="left"/>
              <w:rPr>
                <w:rFonts w:ascii="宋体" w:hAnsi="宋体"/>
                <w:color w:val="auto"/>
                <w:kern w:val="0"/>
                <w:sz w:val="24"/>
              </w:rPr>
            </w:pPr>
          </w:p>
        </w:tc>
        <w:tc>
          <w:tcPr>
            <w:tcW w:w="1359" w:type="dxa"/>
          </w:tcPr>
          <w:p w14:paraId="5D067509">
            <w:pPr>
              <w:autoSpaceDE w:val="0"/>
              <w:autoSpaceDN w:val="0"/>
              <w:adjustRightInd w:val="0"/>
              <w:snapToGrid w:val="0"/>
              <w:jc w:val="left"/>
              <w:rPr>
                <w:rFonts w:ascii="宋体" w:hAnsi="宋体"/>
                <w:color w:val="auto"/>
                <w:kern w:val="0"/>
                <w:sz w:val="24"/>
              </w:rPr>
            </w:pPr>
          </w:p>
        </w:tc>
        <w:tc>
          <w:tcPr>
            <w:tcW w:w="1855" w:type="dxa"/>
          </w:tcPr>
          <w:p w14:paraId="1FFD8281">
            <w:pPr>
              <w:autoSpaceDE w:val="0"/>
              <w:autoSpaceDN w:val="0"/>
              <w:adjustRightInd w:val="0"/>
              <w:snapToGrid w:val="0"/>
              <w:jc w:val="left"/>
              <w:rPr>
                <w:rFonts w:ascii="宋体" w:hAnsi="宋体"/>
                <w:color w:val="auto"/>
                <w:kern w:val="0"/>
                <w:sz w:val="24"/>
              </w:rPr>
            </w:pPr>
          </w:p>
        </w:tc>
        <w:tc>
          <w:tcPr>
            <w:tcW w:w="770" w:type="dxa"/>
          </w:tcPr>
          <w:p w14:paraId="4B70E89C">
            <w:pPr>
              <w:autoSpaceDE w:val="0"/>
              <w:autoSpaceDN w:val="0"/>
              <w:adjustRightInd w:val="0"/>
              <w:snapToGrid w:val="0"/>
              <w:jc w:val="left"/>
              <w:rPr>
                <w:rFonts w:ascii="宋体" w:hAnsi="宋体"/>
                <w:color w:val="auto"/>
                <w:kern w:val="0"/>
                <w:sz w:val="24"/>
              </w:rPr>
            </w:pPr>
          </w:p>
        </w:tc>
      </w:tr>
      <w:tr w14:paraId="04FAF0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DD2DD71">
            <w:pPr>
              <w:autoSpaceDE w:val="0"/>
              <w:autoSpaceDN w:val="0"/>
              <w:adjustRightInd w:val="0"/>
              <w:snapToGrid w:val="0"/>
              <w:jc w:val="left"/>
              <w:rPr>
                <w:rFonts w:ascii="宋体" w:hAnsi="宋体"/>
                <w:color w:val="auto"/>
                <w:kern w:val="0"/>
                <w:sz w:val="24"/>
              </w:rPr>
            </w:pPr>
          </w:p>
        </w:tc>
        <w:tc>
          <w:tcPr>
            <w:tcW w:w="1219" w:type="dxa"/>
          </w:tcPr>
          <w:p w14:paraId="52F84A33">
            <w:pPr>
              <w:autoSpaceDE w:val="0"/>
              <w:autoSpaceDN w:val="0"/>
              <w:adjustRightInd w:val="0"/>
              <w:snapToGrid w:val="0"/>
              <w:jc w:val="left"/>
              <w:rPr>
                <w:rFonts w:ascii="宋体" w:hAnsi="宋体"/>
                <w:color w:val="auto"/>
                <w:kern w:val="0"/>
                <w:sz w:val="24"/>
              </w:rPr>
            </w:pPr>
          </w:p>
        </w:tc>
        <w:tc>
          <w:tcPr>
            <w:tcW w:w="852" w:type="dxa"/>
          </w:tcPr>
          <w:p w14:paraId="49C693B7">
            <w:pPr>
              <w:autoSpaceDE w:val="0"/>
              <w:autoSpaceDN w:val="0"/>
              <w:adjustRightInd w:val="0"/>
              <w:snapToGrid w:val="0"/>
              <w:jc w:val="left"/>
              <w:rPr>
                <w:rFonts w:ascii="宋体" w:hAnsi="宋体"/>
                <w:color w:val="auto"/>
                <w:kern w:val="0"/>
                <w:sz w:val="24"/>
              </w:rPr>
            </w:pPr>
          </w:p>
        </w:tc>
        <w:tc>
          <w:tcPr>
            <w:tcW w:w="1111" w:type="dxa"/>
          </w:tcPr>
          <w:p w14:paraId="54D71E7A">
            <w:pPr>
              <w:autoSpaceDE w:val="0"/>
              <w:autoSpaceDN w:val="0"/>
              <w:adjustRightInd w:val="0"/>
              <w:snapToGrid w:val="0"/>
              <w:jc w:val="left"/>
              <w:rPr>
                <w:rFonts w:ascii="宋体" w:hAnsi="宋体"/>
                <w:color w:val="auto"/>
                <w:kern w:val="0"/>
                <w:sz w:val="24"/>
              </w:rPr>
            </w:pPr>
          </w:p>
        </w:tc>
        <w:tc>
          <w:tcPr>
            <w:tcW w:w="754" w:type="dxa"/>
          </w:tcPr>
          <w:p w14:paraId="16AA5420">
            <w:pPr>
              <w:autoSpaceDE w:val="0"/>
              <w:autoSpaceDN w:val="0"/>
              <w:adjustRightInd w:val="0"/>
              <w:snapToGrid w:val="0"/>
              <w:jc w:val="left"/>
              <w:rPr>
                <w:rFonts w:ascii="宋体" w:hAnsi="宋体"/>
                <w:color w:val="auto"/>
                <w:kern w:val="0"/>
                <w:sz w:val="24"/>
              </w:rPr>
            </w:pPr>
          </w:p>
        </w:tc>
        <w:tc>
          <w:tcPr>
            <w:tcW w:w="827" w:type="dxa"/>
          </w:tcPr>
          <w:p w14:paraId="4B3A9F3E">
            <w:pPr>
              <w:autoSpaceDE w:val="0"/>
              <w:autoSpaceDN w:val="0"/>
              <w:adjustRightInd w:val="0"/>
              <w:snapToGrid w:val="0"/>
              <w:jc w:val="left"/>
              <w:rPr>
                <w:rFonts w:ascii="宋体" w:hAnsi="宋体"/>
                <w:color w:val="auto"/>
                <w:kern w:val="0"/>
                <w:sz w:val="24"/>
              </w:rPr>
            </w:pPr>
          </w:p>
        </w:tc>
        <w:tc>
          <w:tcPr>
            <w:tcW w:w="1359" w:type="dxa"/>
          </w:tcPr>
          <w:p w14:paraId="21C7FCFC">
            <w:pPr>
              <w:autoSpaceDE w:val="0"/>
              <w:autoSpaceDN w:val="0"/>
              <w:adjustRightInd w:val="0"/>
              <w:snapToGrid w:val="0"/>
              <w:jc w:val="left"/>
              <w:rPr>
                <w:rFonts w:ascii="宋体" w:hAnsi="宋体"/>
                <w:color w:val="auto"/>
                <w:kern w:val="0"/>
                <w:sz w:val="24"/>
              </w:rPr>
            </w:pPr>
          </w:p>
        </w:tc>
        <w:tc>
          <w:tcPr>
            <w:tcW w:w="1855" w:type="dxa"/>
          </w:tcPr>
          <w:p w14:paraId="5C1640A7">
            <w:pPr>
              <w:autoSpaceDE w:val="0"/>
              <w:autoSpaceDN w:val="0"/>
              <w:adjustRightInd w:val="0"/>
              <w:snapToGrid w:val="0"/>
              <w:jc w:val="left"/>
              <w:rPr>
                <w:rFonts w:ascii="宋体" w:hAnsi="宋体"/>
                <w:color w:val="auto"/>
                <w:kern w:val="0"/>
                <w:sz w:val="24"/>
              </w:rPr>
            </w:pPr>
          </w:p>
        </w:tc>
        <w:tc>
          <w:tcPr>
            <w:tcW w:w="770" w:type="dxa"/>
          </w:tcPr>
          <w:p w14:paraId="1C20993C">
            <w:pPr>
              <w:autoSpaceDE w:val="0"/>
              <w:autoSpaceDN w:val="0"/>
              <w:adjustRightInd w:val="0"/>
              <w:snapToGrid w:val="0"/>
              <w:jc w:val="left"/>
              <w:rPr>
                <w:rFonts w:ascii="宋体" w:hAnsi="宋体"/>
                <w:color w:val="auto"/>
                <w:kern w:val="0"/>
                <w:sz w:val="24"/>
              </w:rPr>
            </w:pPr>
          </w:p>
        </w:tc>
      </w:tr>
      <w:tr w14:paraId="4A6F8D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99C98D9">
            <w:pPr>
              <w:autoSpaceDE w:val="0"/>
              <w:autoSpaceDN w:val="0"/>
              <w:adjustRightInd w:val="0"/>
              <w:snapToGrid w:val="0"/>
              <w:jc w:val="left"/>
              <w:rPr>
                <w:rFonts w:ascii="宋体" w:hAnsi="宋体"/>
                <w:color w:val="auto"/>
                <w:kern w:val="0"/>
                <w:sz w:val="24"/>
              </w:rPr>
            </w:pPr>
          </w:p>
        </w:tc>
        <w:tc>
          <w:tcPr>
            <w:tcW w:w="1219" w:type="dxa"/>
          </w:tcPr>
          <w:p w14:paraId="1DA63EB2">
            <w:pPr>
              <w:autoSpaceDE w:val="0"/>
              <w:autoSpaceDN w:val="0"/>
              <w:adjustRightInd w:val="0"/>
              <w:snapToGrid w:val="0"/>
              <w:jc w:val="left"/>
              <w:rPr>
                <w:rFonts w:ascii="宋体" w:hAnsi="宋体"/>
                <w:color w:val="auto"/>
                <w:kern w:val="0"/>
                <w:sz w:val="24"/>
              </w:rPr>
            </w:pPr>
          </w:p>
        </w:tc>
        <w:tc>
          <w:tcPr>
            <w:tcW w:w="852" w:type="dxa"/>
          </w:tcPr>
          <w:p w14:paraId="51D37FB7">
            <w:pPr>
              <w:autoSpaceDE w:val="0"/>
              <w:autoSpaceDN w:val="0"/>
              <w:adjustRightInd w:val="0"/>
              <w:snapToGrid w:val="0"/>
              <w:jc w:val="left"/>
              <w:rPr>
                <w:rFonts w:ascii="宋体" w:hAnsi="宋体"/>
                <w:color w:val="auto"/>
                <w:kern w:val="0"/>
                <w:sz w:val="24"/>
              </w:rPr>
            </w:pPr>
          </w:p>
        </w:tc>
        <w:tc>
          <w:tcPr>
            <w:tcW w:w="1111" w:type="dxa"/>
          </w:tcPr>
          <w:p w14:paraId="27C64FBD">
            <w:pPr>
              <w:autoSpaceDE w:val="0"/>
              <w:autoSpaceDN w:val="0"/>
              <w:adjustRightInd w:val="0"/>
              <w:snapToGrid w:val="0"/>
              <w:jc w:val="left"/>
              <w:rPr>
                <w:rFonts w:ascii="宋体" w:hAnsi="宋体"/>
                <w:color w:val="auto"/>
                <w:kern w:val="0"/>
                <w:sz w:val="24"/>
              </w:rPr>
            </w:pPr>
          </w:p>
        </w:tc>
        <w:tc>
          <w:tcPr>
            <w:tcW w:w="754" w:type="dxa"/>
          </w:tcPr>
          <w:p w14:paraId="4E14771B">
            <w:pPr>
              <w:autoSpaceDE w:val="0"/>
              <w:autoSpaceDN w:val="0"/>
              <w:adjustRightInd w:val="0"/>
              <w:snapToGrid w:val="0"/>
              <w:jc w:val="left"/>
              <w:rPr>
                <w:rFonts w:ascii="宋体" w:hAnsi="宋体"/>
                <w:color w:val="auto"/>
                <w:kern w:val="0"/>
                <w:sz w:val="24"/>
              </w:rPr>
            </w:pPr>
          </w:p>
        </w:tc>
        <w:tc>
          <w:tcPr>
            <w:tcW w:w="827" w:type="dxa"/>
          </w:tcPr>
          <w:p w14:paraId="59DDE024">
            <w:pPr>
              <w:autoSpaceDE w:val="0"/>
              <w:autoSpaceDN w:val="0"/>
              <w:adjustRightInd w:val="0"/>
              <w:snapToGrid w:val="0"/>
              <w:jc w:val="left"/>
              <w:rPr>
                <w:rFonts w:ascii="宋体" w:hAnsi="宋体"/>
                <w:color w:val="auto"/>
                <w:kern w:val="0"/>
                <w:sz w:val="24"/>
              </w:rPr>
            </w:pPr>
          </w:p>
        </w:tc>
        <w:tc>
          <w:tcPr>
            <w:tcW w:w="1359" w:type="dxa"/>
          </w:tcPr>
          <w:p w14:paraId="54743C65">
            <w:pPr>
              <w:autoSpaceDE w:val="0"/>
              <w:autoSpaceDN w:val="0"/>
              <w:adjustRightInd w:val="0"/>
              <w:snapToGrid w:val="0"/>
              <w:jc w:val="left"/>
              <w:rPr>
                <w:rFonts w:ascii="宋体" w:hAnsi="宋体"/>
                <w:color w:val="auto"/>
                <w:kern w:val="0"/>
                <w:sz w:val="24"/>
              </w:rPr>
            </w:pPr>
          </w:p>
        </w:tc>
        <w:tc>
          <w:tcPr>
            <w:tcW w:w="1855" w:type="dxa"/>
          </w:tcPr>
          <w:p w14:paraId="0E984C93">
            <w:pPr>
              <w:autoSpaceDE w:val="0"/>
              <w:autoSpaceDN w:val="0"/>
              <w:adjustRightInd w:val="0"/>
              <w:snapToGrid w:val="0"/>
              <w:jc w:val="left"/>
              <w:rPr>
                <w:rFonts w:ascii="宋体" w:hAnsi="宋体"/>
                <w:color w:val="auto"/>
                <w:kern w:val="0"/>
                <w:sz w:val="24"/>
              </w:rPr>
            </w:pPr>
          </w:p>
        </w:tc>
        <w:tc>
          <w:tcPr>
            <w:tcW w:w="770" w:type="dxa"/>
          </w:tcPr>
          <w:p w14:paraId="4D86BD8C">
            <w:pPr>
              <w:autoSpaceDE w:val="0"/>
              <w:autoSpaceDN w:val="0"/>
              <w:adjustRightInd w:val="0"/>
              <w:snapToGrid w:val="0"/>
              <w:jc w:val="left"/>
              <w:rPr>
                <w:rFonts w:ascii="宋体" w:hAnsi="宋体"/>
                <w:color w:val="auto"/>
                <w:kern w:val="0"/>
                <w:sz w:val="24"/>
              </w:rPr>
            </w:pPr>
          </w:p>
        </w:tc>
      </w:tr>
      <w:tr w14:paraId="2AE425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FE5B401">
            <w:pPr>
              <w:autoSpaceDE w:val="0"/>
              <w:autoSpaceDN w:val="0"/>
              <w:adjustRightInd w:val="0"/>
              <w:snapToGrid w:val="0"/>
              <w:jc w:val="left"/>
              <w:rPr>
                <w:rFonts w:ascii="宋体" w:hAnsi="宋体"/>
                <w:color w:val="auto"/>
                <w:kern w:val="0"/>
                <w:sz w:val="24"/>
              </w:rPr>
            </w:pPr>
          </w:p>
        </w:tc>
        <w:tc>
          <w:tcPr>
            <w:tcW w:w="1219" w:type="dxa"/>
          </w:tcPr>
          <w:p w14:paraId="5FE4A680">
            <w:pPr>
              <w:autoSpaceDE w:val="0"/>
              <w:autoSpaceDN w:val="0"/>
              <w:adjustRightInd w:val="0"/>
              <w:snapToGrid w:val="0"/>
              <w:jc w:val="left"/>
              <w:rPr>
                <w:rFonts w:ascii="宋体" w:hAnsi="宋体"/>
                <w:color w:val="auto"/>
                <w:kern w:val="0"/>
                <w:sz w:val="24"/>
              </w:rPr>
            </w:pPr>
          </w:p>
        </w:tc>
        <w:tc>
          <w:tcPr>
            <w:tcW w:w="852" w:type="dxa"/>
          </w:tcPr>
          <w:p w14:paraId="77D38D28">
            <w:pPr>
              <w:autoSpaceDE w:val="0"/>
              <w:autoSpaceDN w:val="0"/>
              <w:adjustRightInd w:val="0"/>
              <w:snapToGrid w:val="0"/>
              <w:jc w:val="left"/>
              <w:rPr>
                <w:rFonts w:ascii="宋体" w:hAnsi="宋体"/>
                <w:color w:val="auto"/>
                <w:kern w:val="0"/>
                <w:sz w:val="24"/>
              </w:rPr>
            </w:pPr>
          </w:p>
        </w:tc>
        <w:tc>
          <w:tcPr>
            <w:tcW w:w="1111" w:type="dxa"/>
          </w:tcPr>
          <w:p w14:paraId="50066A84">
            <w:pPr>
              <w:autoSpaceDE w:val="0"/>
              <w:autoSpaceDN w:val="0"/>
              <w:adjustRightInd w:val="0"/>
              <w:snapToGrid w:val="0"/>
              <w:jc w:val="left"/>
              <w:rPr>
                <w:rFonts w:ascii="宋体" w:hAnsi="宋体"/>
                <w:color w:val="auto"/>
                <w:kern w:val="0"/>
                <w:sz w:val="24"/>
              </w:rPr>
            </w:pPr>
          </w:p>
        </w:tc>
        <w:tc>
          <w:tcPr>
            <w:tcW w:w="754" w:type="dxa"/>
          </w:tcPr>
          <w:p w14:paraId="50D11B45">
            <w:pPr>
              <w:autoSpaceDE w:val="0"/>
              <w:autoSpaceDN w:val="0"/>
              <w:adjustRightInd w:val="0"/>
              <w:snapToGrid w:val="0"/>
              <w:jc w:val="left"/>
              <w:rPr>
                <w:rFonts w:ascii="宋体" w:hAnsi="宋体"/>
                <w:color w:val="auto"/>
                <w:kern w:val="0"/>
                <w:sz w:val="24"/>
              </w:rPr>
            </w:pPr>
          </w:p>
        </w:tc>
        <w:tc>
          <w:tcPr>
            <w:tcW w:w="827" w:type="dxa"/>
          </w:tcPr>
          <w:p w14:paraId="475FB208">
            <w:pPr>
              <w:autoSpaceDE w:val="0"/>
              <w:autoSpaceDN w:val="0"/>
              <w:adjustRightInd w:val="0"/>
              <w:snapToGrid w:val="0"/>
              <w:jc w:val="left"/>
              <w:rPr>
                <w:rFonts w:ascii="宋体" w:hAnsi="宋体"/>
                <w:color w:val="auto"/>
                <w:kern w:val="0"/>
                <w:sz w:val="24"/>
              </w:rPr>
            </w:pPr>
          </w:p>
        </w:tc>
        <w:tc>
          <w:tcPr>
            <w:tcW w:w="1359" w:type="dxa"/>
          </w:tcPr>
          <w:p w14:paraId="3C91EA37">
            <w:pPr>
              <w:autoSpaceDE w:val="0"/>
              <w:autoSpaceDN w:val="0"/>
              <w:adjustRightInd w:val="0"/>
              <w:snapToGrid w:val="0"/>
              <w:jc w:val="left"/>
              <w:rPr>
                <w:rFonts w:ascii="宋体" w:hAnsi="宋体"/>
                <w:color w:val="auto"/>
                <w:kern w:val="0"/>
                <w:sz w:val="24"/>
              </w:rPr>
            </w:pPr>
          </w:p>
        </w:tc>
        <w:tc>
          <w:tcPr>
            <w:tcW w:w="1855" w:type="dxa"/>
          </w:tcPr>
          <w:p w14:paraId="45786409">
            <w:pPr>
              <w:autoSpaceDE w:val="0"/>
              <w:autoSpaceDN w:val="0"/>
              <w:adjustRightInd w:val="0"/>
              <w:snapToGrid w:val="0"/>
              <w:jc w:val="left"/>
              <w:rPr>
                <w:rFonts w:ascii="宋体" w:hAnsi="宋体"/>
                <w:color w:val="auto"/>
                <w:kern w:val="0"/>
                <w:sz w:val="24"/>
              </w:rPr>
            </w:pPr>
          </w:p>
        </w:tc>
        <w:tc>
          <w:tcPr>
            <w:tcW w:w="770" w:type="dxa"/>
          </w:tcPr>
          <w:p w14:paraId="0257A4CD">
            <w:pPr>
              <w:autoSpaceDE w:val="0"/>
              <w:autoSpaceDN w:val="0"/>
              <w:adjustRightInd w:val="0"/>
              <w:snapToGrid w:val="0"/>
              <w:jc w:val="left"/>
              <w:rPr>
                <w:rFonts w:ascii="宋体" w:hAnsi="宋体"/>
                <w:color w:val="auto"/>
                <w:kern w:val="0"/>
                <w:sz w:val="24"/>
              </w:rPr>
            </w:pPr>
          </w:p>
        </w:tc>
      </w:tr>
      <w:tr w14:paraId="1FB573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46D3245">
            <w:pPr>
              <w:autoSpaceDE w:val="0"/>
              <w:autoSpaceDN w:val="0"/>
              <w:adjustRightInd w:val="0"/>
              <w:snapToGrid w:val="0"/>
              <w:jc w:val="left"/>
              <w:rPr>
                <w:rFonts w:ascii="宋体" w:hAnsi="宋体"/>
                <w:color w:val="auto"/>
                <w:kern w:val="0"/>
                <w:sz w:val="24"/>
              </w:rPr>
            </w:pPr>
          </w:p>
        </w:tc>
        <w:tc>
          <w:tcPr>
            <w:tcW w:w="1219" w:type="dxa"/>
          </w:tcPr>
          <w:p w14:paraId="7A17D367">
            <w:pPr>
              <w:autoSpaceDE w:val="0"/>
              <w:autoSpaceDN w:val="0"/>
              <w:adjustRightInd w:val="0"/>
              <w:snapToGrid w:val="0"/>
              <w:jc w:val="left"/>
              <w:rPr>
                <w:rFonts w:ascii="宋体" w:hAnsi="宋体"/>
                <w:color w:val="auto"/>
                <w:kern w:val="0"/>
                <w:sz w:val="24"/>
              </w:rPr>
            </w:pPr>
          </w:p>
        </w:tc>
        <w:tc>
          <w:tcPr>
            <w:tcW w:w="852" w:type="dxa"/>
          </w:tcPr>
          <w:p w14:paraId="7C389698">
            <w:pPr>
              <w:autoSpaceDE w:val="0"/>
              <w:autoSpaceDN w:val="0"/>
              <w:adjustRightInd w:val="0"/>
              <w:snapToGrid w:val="0"/>
              <w:jc w:val="left"/>
              <w:rPr>
                <w:rFonts w:ascii="宋体" w:hAnsi="宋体"/>
                <w:color w:val="auto"/>
                <w:kern w:val="0"/>
                <w:sz w:val="24"/>
              </w:rPr>
            </w:pPr>
          </w:p>
        </w:tc>
        <w:tc>
          <w:tcPr>
            <w:tcW w:w="1111" w:type="dxa"/>
          </w:tcPr>
          <w:p w14:paraId="213215B4">
            <w:pPr>
              <w:autoSpaceDE w:val="0"/>
              <w:autoSpaceDN w:val="0"/>
              <w:adjustRightInd w:val="0"/>
              <w:snapToGrid w:val="0"/>
              <w:jc w:val="left"/>
              <w:rPr>
                <w:rFonts w:ascii="宋体" w:hAnsi="宋体"/>
                <w:color w:val="auto"/>
                <w:kern w:val="0"/>
                <w:sz w:val="24"/>
              </w:rPr>
            </w:pPr>
          </w:p>
        </w:tc>
        <w:tc>
          <w:tcPr>
            <w:tcW w:w="754" w:type="dxa"/>
          </w:tcPr>
          <w:p w14:paraId="38EFC756">
            <w:pPr>
              <w:autoSpaceDE w:val="0"/>
              <w:autoSpaceDN w:val="0"/>
              <w:adjustRightInd w:val="0"/>
              <w:snapToGrid w:val="0"/>
              <w:jc w:val="left"/>
              <w:rPr>
                <w:rFonts w:ascii="宋体" w:hAnsi="宋体"/>
                <w:color w:val="auto"/>
                <w:kern w:val="0"/>
                <w:sz w:val="24"/>
              </w:rPr>
            </w:pPr>
          </w:p>
        </w:tc>
        <w:tc>
          <w:tcPr>
            <w:tcW w:w="827" w:type="dxa"/>
          </w:tcPr>
          <w:p w14:paraId="7BE0AD3A">
            <w:pPr>
              <w:autoSpaceDE w:val="0"/>
              <w:autoSpaceDN w:val="0"/>
              <w:adjustRightInd w:val="0"/>
              <w:snapToGrid w:val="0"/>
              <w:jc w:val="left"/>
              <w:rPr>
                <w:rFonts w:ascii="宋体" w:hAnsi="宋体"/>
                <w:color w:val="auto"/>
                <w:kern w:val="0"/>
                <w:sz w:val="24"/>
              </w:rPr>
            </w:pPr>
          </w:p>
        </w:tc>
        <w:tc>
          <w:tcPr>
            <w:tcW w:w="1359" w:type="dxa"/>
          </w:tcPr>
          <w:p w14:paraId="407A5940">
            <w:pPr>
              <w:autoSpaceDE w:val="0"/>
              <w:autoSpaceDN w:val="0"/>
              <w:adjustRightInd w:val="0"/>
              <w:snapToGrid w:val="0"/>
              <w:jc w:val="left"/>
              <w:rPr>
                <w:rFonts w:ascii="宋体" w:hAnsi="宋体"/>
                <w:color w:val="auto"/>
                <w:kern w:val="0"/>
                <w:sz w:val="24"/>
              </w:rPr>
            </w:pPr>
          </w:p>
        </w:tc>
        <w:tc>
          <w:tcPr>
            <w:tcW w:w="1855" w:type="dxa"/>
          </w:tcPr>
          <w:p w14:paraId="147479E4">
            <w:pPr>
              <w:autoSpaceDE w:val="0"/>
              <w:autoSpaceDN w:val="0"/>
              <w:adjustRightInd w:val="0"/>
              <w:snapToGrid w:val="0"/>
              <w:jc w:val="left"/>
              <w:rPr>
                <w:rFonts w:ascii="宋体" w:hAnsi="宋体"/>
                <w:color w:val="auto"/>
                <w:kern w:val="0"/>
                <w:sz w:val="24"/>
              </w:rPr>
            </w:pPr>
          </w:p>
        </w:tc>
        <w:tc>
          <w:tcPr>
            <w:tcW w:w="770" w:type="dxa"/>
          </w:tcPr>
          <w:p w14:paraId="35A71B5C">
            <w:pPr>
              <w:autoSpaceDE w:val="0"/>
              <w:autoSpaceDN w:val="0"/>
              <w:adjustRightInd w:val="0"/>
              <w:snapToGrid w:val="0"/>
              <w:jc w:val="left"/>
              <w:rPr>
                <w:rFonts w:ascii="宋体" w:hAnsi="宋体"/>
                <w:color w:val="auto"/>
                <w:kern w:val="0"/>
                <w:sz w:val="24"/>
              </w:rPr>
            </w:pPr>
          </w:p>
        </w:tc>
      </w:tr>
      <w:tr w14:paraId="4E5287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FE292B5">
            <w:pPr>
              <w:autoSpaceDE w:val="0"/>
              <w:autoSpaceDN w:val="0"/>
              <w:adjustRightInd w:val="0"/>
              <w:snapToGrid w:val="0"/>
              <w:jc w:val="left"/>
              <w:rPr>
                <w:rFonts w:ascii="宋体" w:hAnsi="宋体"/>
                <w:color w:val="auto"/>
                <w:kern w:val="0"/>
                <w:sz w:val="24"/>
              </w:rPr>
            </w:pPr>
          </w:p>
        </w:tc>
        <w:tc>
          <w:tcPr>
            <w:tcW w:w="1219" w:type="dxa"/>
          </w:tcPr>
          <w:p w14:paraId="2FD7B9D9">
            <w:pPr>
              <w:autoSpaceDE w:val="0"/>
              <w:autoSpaceDN w:val="0"/>
              <w:adjustRightInd w:val="0"/>
              <w:snapToGrid w:val="0"/>
              <w:jc w:val="left"/>
              <w:rPr>
                <w:rFonts w:ascii="宋体" w:hAnsi="宋体"/>
                <w:color w:val="auto"/>
                <w:kern w:val="0"/>
                <w:sz w:val="24"/>
              </w:rPr>
            </w:pPr>
          </w:p>
        </w:tc>
        <w:tc>
          <w:tcPr>
            <w:tcW w:w="852" w:type="dxa"/>
          </w:tcPr>
          <w:p w14:paraId="73CB4C61">
            <w:pPr>
              <w:autoSpaceDE w:val="0"/>
              <w:autoSpaceDN w:val="0"/>
              <w:adjustRightInd w:val="0"/>
              <w:snapToGrid w:val="0"/>
              <w:jc w:val="left"/>
              <w:rPr>
                <w:rFonts w:ascii="宋体" w:hAnsi="宋体"/>
                <w:color w:val="auto"/>
                <w:kern w:val="0"/>
                <w:sz w:val="24"/>
              </w:rPr>
            </w:pPr>
          </w:p>
        </w:tc>
        <w:tc>
          <w:tcPr>
            <w:tcW w:w="1111" w:type="dxa"/>
          </w:tcPr>
          <w:p w14:paraId="179CCEB3">
            <w:pPr>
              <w:autoSpaceDE w:val="0"/>
              <w:autoSpaceDN w:val="0"/>
              <w:adjustRightInd w:val="0"/>
              <w:snapToGrid w:val="0"/>
              <w:jc w:val="left"/>
              <w:rPr>
                <w:rFonts w:ascii="宋体" w:hAnsi="宋体"/>
                <w:color w:val="auto"/>
                <w:kern w:val="0"/>
                <w:sz w:val="24"/>
              </w:rPr>
            </w:pPr>
          </w:p>
        </w:tc>
        <w:tc>
          <w:tcPr>
            <w:tcW w:w="754" w:type="dxa"/>
          </w:tcPr>
          <w:p w14:paraId="1A429E33">
            <w:pPr>
              <w:autoSpaceDE w:val="0"/>
              <w:autoSpaceDN w:val="0"/>
              <w:adjustRightInd w:val="0"/>
              <w:snapToGrid w:val="0"/>
              <w:jc w:val="left"/>
              <w:rPr>
                <w:rFonts w:ascii="宋体" w:hAnsi="宋体"/>
                <w:color w:val="auto"/>
                <w:kern w:val="0"/>
                <w:sz w:val="24"/>
              </w:rPr>
            </w:pPr>
          </w:p>
        </w:tc>
        <w:tc>
          <w:tcPr>
            <w:tcW w:w="827" w:type="dxa"/>
          </w:tcPr>
          <w:p w14:paraId="6FA4F2F2">
            <w:pPr>
              <w:autoSpaceDE w:val="0"/>
              <w:autoSpaceDN w:val="0"/>
              <w:adjustRightInd w:val="0"/>
              <w:snapToGrid w:val="0"/>
              <w:jc w:val="left"/>
              <w:rPr>
                <w:rFonts w:ascii="宋体" w:hAnsi="宋体"/>
                <w:color w:val="auto"/>
                <w:kern w:val="0"/>
                <w:sz w:val="24"/>
              </w:rPr>
            </w:pPr>
          </w:p>
        </w:tc>
        <w:tc>
          <w:tcPr>
            <w:tcW w:w="1359" w:type="dxa"/>
          </w:tcPr>
          <w:p w14:paraId="39268DA0">
            <w:pPr>
              <w:autoSpaceDE w:val="0"/>
              <w:autoSpaceDN w:val="0"/>
              <w:adjustRightInd w:val="0"/>
              <w:snapToGrid w:val="0"/>
              <w:jc w:val="left"/>
              <w:rPr>
                <w:rFonts w:ascii="宋体" w:hAnsi="宋体"/>
                <w:color w:val="auto"/>
                <w:kern w:val="0"/>
                <w:sz w:val="24"/>
              </w:rPr>
            </w:pPr>
          </w:p>
        </w:tc>
        <w:tc>
          <w:tcPr>
            <w:tcW w:w="1855" w:type="dxa"/>
          </w:tcPr>
          <w:p w14:paraId="0A4651E4">
            <w:pPr>
              <w:autoSpaceDE w:val="0"/>
              <w:autoSpaceDN w:val="0"/>
              <w:adjustRightInd w:val="0"/>
              <w:snapToGrid w:val="0"/>
              <w:jc w:val="left"/>
              <w:rPr>
                <w:rFonts w:ascii="宋体" w:hAnsi="宋体"/>
                <w:color w:val="auto"/>
                <w:kern w:val="0"/>
                <w:sz w:val="24"/>
              </w:rPr>
            </w:pPr>
          </w:p>
        </w:tc>
        <w:tc>
          <w:tcPr>
            <w:tcW w:w="770" w:type="dxa"/>
          </w:tcPr>
          <w:p w14:paraId="626E001F">
            <w:pPr>
              <w:autoSpaceDE w:val="0"/>
              <w:autoSpaceDN w:val="0"/>
              <w:adjustRightInd w:val="0"/>
              <w:snapToGrid w:val="0"/>
              <w:jc w:val="left"/>
              <w:rPr>
                <w:rFonts w:ascii="宋体" w:hAnsi="宋体"/>
                <w:color w:val="auto"/>
                <w:kern w:val="0"/>
                <w:sz w:val="24"/>
              </w:rPr>
            </w:pPr>
          </w:p>
        </w:tc>
      </w:tr>
      <w:tr w14:paraId="6E67DD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1729D67">
            <w:pPr>
              <w:autoSpaceDE w:val="0"/>
              <w:autoSpaceDN w:val="0"/>
              <w:adjustRightInd w:val="0"/>
              <w:snapToGrid w:val="0"/>
              <w:jc w:val="left"/>
              <w:rPr>
                <w:rFonts w:ascii="宋体" w:hAnsi="宋体"/>
                <w:color w:val="auto"/>
                <w:kern w:val="0"/>
                <w:sz w:val="24"/>
              </w:rPr>
            </w:pPr>
          </w:p>
        </w:tc>
        <w:tc>
          <w:tcPr>
            <w:tcW w:w="1219" w:type="dxa"/>
          </w:tcPr>
          <w:p w14:paraId="0F61F071">
            <w:pPr>
              <w:autoSpaceDE w:val="0"/>
              <w:autoSpaceDN w:val="0"/>
              <w:adjustRightInd w:val="0"/>
              <w:snapToGrid w:val="0"/>
              <w:jc w:val="left"/>
              <w:rPr>
                <w:rFonts w:ascii="宋体" w:hAnsi="宋体"/>
                <w:color w:val="auto"/>
                <w:kern w:val="0"/>
                <w:sz w:val="24"/>
              </w:rPr>
            </w:pPr>
          </w:p>
        </w:tc>
        <w:tc>
          <w:tcPr>
            <w:tcW w:w="852" w:type="dxa"/>
          </w:tcPr>
          <w:p w14:paraId="3AEB0D11">
            <w:pPr>
              <w:autoSpaceDE w:val="0"/>
              <w:autoSpaceDN w:val="0"/>
              <w:adjustRightInd w:val="0"/>
              <w:snapToGrid w:val="0"/>
              <w:jc w:val="left"/>
              <w:rPr>
                <w:rFonts w:ascii="宋体" w:hAnsi="宋体"/>
                <w:color w:val="auto"/>
                <w:kern w:val="0"/>
                <w:sz w:val="24"/>
              </w:rPr>
            </w:pPr>
          </w:p>
        </w:tc>
        <w:tc>
          <w:tcPr>
            <w:tcW w:w="1111" w:type="dxa"/>
          </w:tcPr>
          <w:p w14:paraId="45E0B40E">
            <w:pPr>
              <w:autoSpaceDE w:val="0"/>
              <w:autoSpaceDN w:val="0"/>
              <w:adjustRightInd w:val="0"/>
              <w:snapToGrid w:val="0"/>
              <w:jc w:val="left"/>
              <w:rPr>
                <w:rFonts w:ascii="宋体" w:hAnsi="宋体"/>
                <w:color w:val="auto"/>
                <w:kern w:val="0"/>
                <w:sz w:val="24"/>
              </w:rPr>
            </w:pPr>
          </w:p>
        </w:tc>
        <w:tc>
          <w:tcPr>
            <w:tcW w:w="754" w:type="dxa"/>
          </w:tcPr>
          <w:p w14:paraId="072D8DA4">
            <w:pPr>
              <w:autoSpaceDE w:val="0"/>
              <w:autoSpaceDN w:val="0"/>
              <w:adjustRightInd w:val="0"/>
              <w:snapToGrid w:val="0"/>
              <w:jc w:val="left"/>
              <w:rPr>
                <w:rFonts w:ascii="宋体" w:hAnsi="宋体"/>
                <w:color w:val="auto"/>
                <w:kern w:val="0"/>
                <w:sz w:val="24"/>
              </w:rPr>
            </w:pPr>
          </w:p>
        </w:tc>
        <w:tc>
          <w:tcPr>
            <w:tcW w:w="827" w:type="dxa"/>
          </w:tcPr>
          <w:p w14:paraId="18216AC2">
            <w:pPr>
              <w:autoSpaceDE w:val="0"/>
              <w:autoSpaceDN w:val="0"/>
              <w:adjustRightInd w:val="0"/>
              <w:snapToGrid w:val="0"/>
              <w:jc w:val="left"/>
              <w:rPr>
                <w:rFonts w:ascii="宋体" w:hAnsi="宋体"/>
                <w:color w:val="auto"/>
                <w:kern w:val="0"/>
                <w:sz w:val="24"/>
              </w:rPr>
            </w:pPr>
          </w:p>
        </w:tc>
        <w:tc>
          <w:tcPr>
            <w:tcW w:w="1359" w:type="dxa"/>
          </w:tcPr>
          <w:p w14:paraId="65F0A760">
            <w:pPr>
              <w:autoSpaceDE w:val="0"/>
              <w:autoSpaceDN w:val="0"/>
              <w:adjustRightInd w:val="0"/>
              <w:snapToGrid w:val="0"/>
              <w:jc w:val="left"/>
              <w:rPr>
                <w:rFonts w:ascii="宋体" w:hAnsi="宋体"/>
                <w:color w:val="auto"/>
                <w:kern w:val="0"/>
                <w:sz w:val="24"/>
              </w:rPr>
            </w:pPr>
          </w:p>
        </w:tc>
        <w:tc>
          <w:tcPr>
            <w:tcW w:w="1855" w:type="dxa"/>
          </w:tcPr>
          <w:p w14:paraId="1DC6CBF6">
            <w:pPr>
              <w:autoSpaceDE w:val="0"/>
              <w:autoSpaceDN w:val="0"/>
              <w:adjustRightInd w:val="0"/>
              <w:snapToGrid w:val="0"/>
              <w:jc w:val="left"/>
              <w:rPr>
                <w:rFonts w:ascii="宋体" w:hAnsi="宋体"/>
                <w:color w:val="auto"/>
                <w:kern w:val="0"/>
                <w:sz w:val="24"/>
              </w:rPr>
            </w:pPr>
          </w:p>
        </w:tc>
        <w:tc>
          <w:tcPr>
            <w:tcW w:w="770" w:type="dxa"/>
          </w:tcPr>
          <w:p w14:paraId="15E6FF6D">
            <w:pPr>
              <w:autoSpaceDE w:val="0"/>
              <w:autoSpaceDN w:val="0"/>
              <w:adjustRightInd w:val="0"/>
              <w:snapToGrid w:val="0"/>
              <w:jc w:val="left"/>
              <w:rPr>
                <w:rFonts w:ascii="宋体" w:hAnsi="宋体"/>
                <w:color w:val="auto"/>
                <w:kern w:val="0"/>
                <w:sz w:val="24"/>
              </w:rPr>
            </w:pPr>
          </w:p>
        </w:tc>
      </w:tr>
      <w:tr w14:paraId="1311D6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8495702">
            <w:pPr>
              <w:autoSpaceDE w:val="0"/>
              <w:autoSpaceDN w:val="0"/>
              <w:adjustRightInd w:val="0"/>
              <w:snapToGrid w:val="0"/>
              <w:jc w:val="left"/>
              <w:rPr>
                <w:rFonts w:ascii="宋体" w:hAnsi="宋体"/>
                <w:color w:val="auto"/>
                <w:kern w:val="0"/>
                <w:sz w:val="24"/>
              </w:rPr>
            </w:pPr>
          </w:p>
        </w:tc>
        <w:tc>
          <w:tcPr>
            <w:tcW w:w="1219" w:type="dxa"/>
          </w:tcPr>
          <w:p w14:paraId="79C92954">
            <w:pPr>
              <w:autoSpaceDE w:val="0"/>
              <w:autoSpaceDN w:val="0"/>
              <w:adjustRightInd w:val="0"/>
              <w:snapToGrid w:val="0"/>
              <w:jc w:val="left"/>
              <w:rPr>
                <w:rFonts w:ascii="宋体" w:hAnsi="宋体"/>
                <w:color w:val="auto"/>
                <w:kern w:val="0"/>
                <w:sz w:val="24"/>
              </w:rPr>
            </w:pPr>
          </w:p>
        </w:tc>
        <w:tc>
          <w:tcPr>
            <w:tcW w:w="852" w:type="dxa"/>
          </w:tcPr>
          <w:p w14:paraId="7132306A">
            <w:pPr>
              <w:autoSpaceDE w:val="0"/>
              <w:autoSpaceDN w:val="0"/>
              <w:adjustRightInd w:val="0"/>
              <w:snapToGrid w:val="0"/>
              <w:jc w:val="left"/>
              <w:rPr>
                <w:rFonts w:ascii="宋体" w:hAnsi="宋体"/>
                <w:color w:val="auto"/>
                <w:kern w:val="0"/>
                <w:sz w:val="24"/>
              </w:rPr>
            </w:pPr>
          </w:p>
        </w:tc>
        <w:tc>
          <w:tcPr>
            <w:tcW w:w="1111" w:type="dxa"/>
          </w:tcPr>
          <w:p w14:paraId="4643E005">
            <w:pPr>
              <w:autoSpaceDE w:val="0"/>
              <w:autoSpaceDN w:val="0"/>
              <w:adjustRightInd w:val="0"/>
              <w:snapToGrid w:val="0"/>
              <w:jc w:val="left"/>
              <w:rPr>
                <w:rFonts w:ascii="宋体" w:hAnsi="宋体"/>
                <w:color w:val="auto"/>
                <w:kern w:val="0"/>
                <w:sz w:val="24"/>
              </w:rPr>
            </w:pPr>
          </w:p>
        </w:tc>
        <w:tc>
          <w:tcPr>
            <w:tcW w:w="754" w:type="dxa"/>
          </w:tcPr>
          <w:p w14:paraId="729BD6FB">
            <w:pPr>
              <w:autoSpaceDE w:val="0"/>
              <w:autoSpaceDN w:val="0"/>
              <w:adjustRightInd w:val="0"/>
              <w:snapToGrid w:val="0"/>
              <w:jc w:val="left"/>
              <w:rPr>
                <w:rFonts w:ascii="宋体" w:hAnsi="宋体"/>
                <w:color w:val="auto"/>
                <w:kern w:val="0"/>
                <w:sz w:val="24"/>
              </w:rPr>
            </w:pPr>
          </w:p>
        </w:tc>
        <w:tc>
          <w:tcPr>
            <w:tcW w:w="827" w:type="dxa"/>
          </w:tcPr>
          <w:p w14:paraId="5998366F">
            <w:pPr>
              <w:autoSpaceDE w:val="0"/>
              <w:autoSpaceDN w:val="0"/>
              <w:adjustRightInd w:val="0"/>
              <w:snapToGrid w:val="0"/>
              <w:jc w:val="left"/>
              <w:rPr>
                <w:rFonts w:ascii="宋体" w:hAnsi="宋体"/>
                <w:color w:val="auto"/>
                <w:kern w:val="0"/>
                <w:sz w:val="24"/>
              </w:rPr>
            </w:pPr>
          </w:p>
        </w:tc>
        <w:tc>
          <w:tcPr>
            <w:tcW w:w="1359" w:type="dxa"/>
          </w:tcPr>
          <w:p w14:paraId="491D688A">
            <w:pPr>
              <w:autoSpaceDE w:val="0"/>
              <w:autoSpaceDN w:val="0"/>
              <w:adjustRightInd w:val="0"/>
              <w:snapToGrid w:val="0"/>
              <w:jc w:val="left"/>
              <w:rPr>
                <w:rFonts w:ascii="宋体" w:hAnsi="宋体"/>
                <w:color w:val="auto"/>
                <w:kern w:val="0"/>
                <w:sz w:val="24"/>
              </w:rPr>
            </w:pPr>
          </w:p>
        </w:tc>
        <w:tc>
          <w:tcPr>
            <w:tcW w:w="1855" w:type="dxa"/>
          </w:tcPr>
          <w:p w14:paraId="4C5E4005">
            <w:pPr>
              <w:autoSpaceDE w:val="0"/>
              <w:autoSpaceDN w:val="0"/>
              <w:adjustRightInd w:val="0"/>
              <w:snapToGrid w:val="0"/>
              <w:jc w:val="left"/>
              <w:rPr>
                <w:rFonts w:ascii="宋体" w:hAnsi="宋体"/>
                <w:color w:val="auto"/>
                <w:kern w:val="0"/>
                <w:sz w:val="24"/>
              </w:rPr>
            </w:pPr>
          </w:p>
        </w:tc>
        <w:tc>
          <w:tcPr>
            <w:tcW w:w="770" w:type="dxa"/>
          </w:tcPr>
          <w:p w14:paraId="21EDE7E6">
            <w:pPr>
              <w:autoSpaceDE w:val="0"/>
              <w:autoSpaceDN w:val="0"/>
              <w:adjustRightInd w:val="0"/>
              <w:snapToGrid w:val="0"/>
              <w:jc w:val="left"/>
              <w:rPr>
                <w:rFonts w:ascii="宋体" w:hAnsi="宋体"/>
                <w:color w:val="auto"/>
                <w:kern w:val="0"/>
                <w:sz w:val="24"/>
              </w:rPr>
            </w:pPr>
          </w:p>
        </w:tc>
      </w:tr>
      <w:tr w14:paraId="11004B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87E1C44">
            <w:pPr>
              <w:autoSpaceDE w:val="0"/>
              <w:autoSpaceDN w:val="0"/>
              <w:adjustRightInd w:val="0"/>
              <w:snapToGrid w:val="0"/>
              <w:jc w:val="left"/>
              <w:rPr>
                <w:rFonts w:ascii="宋体" w:hAnsi="宋体"/>
                <w:color w:val="auto"/>
                <w:kern w:val="0"/>
                <w:sz w:val="24"/>
              </w:rPr>
            </w:pPr>
          </w:p>
        </w:tc>
        <w:tc>
          <w:tcPr>
            <w:tcW w:w="1219" w:type="dxa"/>
          </w:tcPr>
          <w:p w14:paraId="50D53DA6">
            <w:pPr>
              <w:autoSpaceDE w:val="0"/>
              <w:autoSpaceDN w:val="0"/>
              <w:adjustRightInd w:val="0"/>
              <w:snapToGrid w:val="0"/>
              <w:jc w:val="left"/>
              <w:rPr>
                <w:rFonts w:ascii="宋体" w:hAnsi="宋体"/>
                <w:color w:val="auto"/>
                <w:kern w:val="0"/>
                <w:sz w:val="24"/>
              </w:rPr>
            </w:pPr>
          </w:p>
        </w:tc>
        <w:tc>
          <w:tcPr>
            <w:tcW w:w="852" w:type="dxa"/>
          </w:tcPr>
          <w:p w14:paraId="48BF8AD9">
            <w:pPr>
              <w:autoSpaceDE w:val="0"/>
              <w:autoSpaceDN w:val="0"/>
              <w:adjustRightInd w:val="0"/>
              <w:snapToGrid w:val="0"/>
              <w:jc w:val="left"/>
              <w:rPr>
                <w:rFonts w:ascii="宋体" w:hAnsi="宋体"/>
                <w:color w:val="auto"/>
                <w:kern w:val="0"/>
                <w:sz w:val="24"/>
              </w:rPr>
            </w:pPr>
          </w:p>
        </w:tc>
        <w:tc>
          <w:tcPr>
            <w:tcW w:w="1111" w:type="dxa"/>
          </w:tcPr>
          <w:p w14:paraId="22174CA4">
            <w:pPr>
              <w:autoSpaceDE w:val="0"/>
              <w:autoSpaceDN w:val="0"/>
              <w:adjustRightInd w:val="0"/>
              <w:snapToGrid w:val="0"/>
              <w:jc w:val="left"/>
              <w:rPr>
                <w:rFonts w:ascii="宋体" w:hAnsi="宋体"/>
                <w:color w:val="auto"/>
                <w:kern w:val="0"/>
                <w:sz w:val="24"/>
              </w:rPr>
            </w:pPr>
          </w:p>
        </w:tc>
        <w:tc>
          <w:tcPr>
            <w:tcW w:w="754" w:type="dxa"/>
          </w:tcPr>
          <w:p w14:paraId="25E1AA06">
            <w:pPr>
              <w:autoSpaceDE w:val="0"/>
              <w:autoSpaceDN w:val="0"/>
              <w:adjustRightInd w:val="0"/>
              <w:snapToGrid w:val="0"/>
              <w:jc w:val="left"/>
              <w:rPr>
                <w:rFonts w:ascii="宋体" w:hAnsi="宋体"/>
                <w:color w:val="auto"/>
                <w:kern w:val="0"/>
                <w:sz w:val="24"/>
              </w:rPr>
            </w:pPr>
          </w:p>
        </w:tc>
        <w:tc>
          <w:tcPr>
            <w:tcW w:w="827" w:type="dxa"/>
          </w:tcPr>
          <w:p w14:paraId="7226744B">
            <w:pPr>
              <w:autoSpaceDE w:val="0"/>
              <w:autoSpaceDN w:val="0"/>
              <w:adjustRightInd w:val="0"/>
              <w:snapToGrid w:val="0"/>
              <w:jc w:val="left"/>
              <w:rPr>
                <w:rFonts w:ascii="宋体" w:hAnsi="宋体"/>
                <w:color w:val="auto"/>
                <w:kern w:val="0"/>
                <w:sz w:val="24"/>
              </w:rPr>
            </w:pPr>
          </w:p>
        </w:tc>
        <w:tc>
          <w:tcPr>
            <w:tcW w:w="1359" w:type="dxa"/>
          </w:tcPr>
          <w:p w14:paraId="6D7FDC2D">
            <w:pPr>
              <w:autoSpaceDE w:val="0"/>
              <w:autoSpaceDN w:val="0"/>
              <w:adjustRightInd w:val="0"/>
              <w:snapToGrid w:val="0"/>
              <w:jc w:val="left"/>
              <w:rPr>
                <w:rFonts w:ascii="宋体" w:hAnsi="宋体"/>
                <w:color w:val="auto"/>
                <w:kern w:val="0"/>
                <w:sz w:val="24"/>
              </w:rPr>
            </w:pPr>
          </w:p>
        </w:tc>
        <w:tc>
          <w:tcPr>
            <w:tcW w:w="1855" w:type="dxa"/>
          </w:tcPr>
          <w:p w14:paraId="1D85AD5D">
            <w:pPr>
              <w:autoSpaceDE w:val="0"/>
              <w:autoSpaceDN w:val="0"/>
              <w:adjustRightInd w:val="0"/>
              <w:snapToGrid w:val="0"/>
              <w:jc w:val="left"/>
              <w:rPr>
                <w:rFonts w:ascii="宋体" w:hAnsi="宋体"/>
                <w:color w:val="auto"/>
                <w:kern w:val="0"/>
                <w:sz w:val="24"/>
              </w:rPr>
            </w:pPr>
          </w:p>
        </w:tc>
        <w:tc>
          <w:tcPr>
            <w:tcW w:w="770" w:type="dxa"/>
          </w:tcPr>
          <w:p w14:paraId="2A8ECBB8">
            <w:pPr>
              <w:autoSpaceDE w:val="0"/>
              <w:autoSpaceDN w:val="0"/>
              <w:adjustRightInd w:val="0"/>
              <w:snapToGrid w:val="0"/>
              <w:jc w:val="left"/>
              <w:rPr>
                <w:rFonts w:ascii="宋体" w:hAnsi="宋体"/>
                <w:color w:val="auto"/>
                <w:kern w:val="0"/>
                <w:sz w:val="24"/>
              </w:rPr>
            </w:pPr>
          </w:p>
        </w:tc>
      </w:tr>
      <w:tr w14:paraId="3899C6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BF57FD0">
            <w:pPr>
              <w:autoSpaceDE w:val="0"/>
              <w:autoSpaceDN w:val="0"/>
              <w:adjustRightInd w:val="0"/>
              <w:snapToGrid w:val="0"/>
              <w:jc w:val="left"/>
              <w:rPr>
                <w:rFonts w:ascii="宋体" w:hAnsi="宋体"/>
                <w:color w:val="auto"/>
                <w:kern w:val="0"/>
                <w:sz w:val="24"/>
              </w:rPr>
            </w:pPr>
          </w:p>
        </w:tc>
        <w:tc>
          <w:tcPr>
            <w:tcW w:w="1219" w:type="dxa"/>
          </w:tcPr>
          <w:p w14:paraId="0408DAFD">
            <w:pPr>
              <w:autoSpaceDE w:val="0"/>
              <w:autoSpaceDN w:val="0"/>
              <w:adjustRightInd w:val="0"/>
              <w:snapToGrid w:val="0"/>
              <w:jc w:val="left"/>
              <w:rPr>
                <w:rFonts w:ascii="宋体" w:hAnsi="宋体"/>
                <w:color w:val="auto"/>
                <w:kern w:val="0"/>
                <w:sz w:val="24"/>
              </w:rPr>
            </w:pPr>
          </w:p>
        </w:tc>
        <w:tc>
          <w:tcPr>
            <w:tcW w:w="852" w:type="dxa"/>
          </w:tcPr>
          <w:p w14:paraId="55AAB93B">
            <w:pPr>
              <w:autoSpaceDE w:val="0"/>
              <w:autoSpaceDN w:val="0"/>
              <w:adjustRightInd w:val="0"/>
              <w:snapToGrid w:val="0"/>
              <w:jc w:val="left"/>
              <w:rPr>
                <w:rFonts w:ascii="宋体" w:hAnsi="宋体"/>
                <w:color w:val="auto"/>
                <w:kern w:val="0"/>
                <w:sz w:val="24"/>
              </w:rPr>
            </w:pPr>
          </w:p>
        </w:tc>
        <w:tc>
          <w:tcPr>
            <w:tcW w:w="1111" w:type="dxa"/>
          </w:tcPr>
          <w:p w14:paraId="052C59FF">
            <w:pPr>
              <w:autoSpaceDE w:val="0"/>
              <w:autoSpaceDN w:val="0"/>
              <w:adjustRightInd w:val="0"/>
              <w:snapToGrid w:val="0"/>
              <w:jc w:val="left"/>
              <w:rPr>
                <w:rFonts w:ascii="宋体" w:hAnsi="宋体"/>
                <w:color w:val="auto"/>
                <w:kern w:val="0"/>
                <w:sz w:val="24"/>
              </w:rPr>
            </w:pPr>
          </w:p>
        </w:tc>
        <w:tc>
          <w:tcPr>
            <w:tcW w:w="754" w:type="dxa"/>
          </w:tcPr>
          <w:p w14:paraId="36F683AD">
            <w:pPr>
              <w:autoSpaceDE w:val="0"/>
              <w:autoSpaceDN w:val="0"/>
              <w:adjustRightInd w:val="0"/>
              <w:snapToGrid w:val="0"/>
              <w:jc w:val="left"/>
              <w:rPr>
                <w:rFonts w:ascii="宋体" w:hAnsi="宋体"/>
                <w:color w:val="auto"/>
                <w:kern w:val="0"/>
                <w:sz w:val="24"/>
              </w:rPr>
            </w:pPr>
          </w:p>
        </w:tc>
        <w:tc>
          <w:tcPr>
            <w:tcW w:w="827" w:type="dxa"/>
          </w:tcPr>
          <w:p w14:paraId="64617603">
            <w:pPr>
              <w:autoSpaceDE w:val="0"/>
              <w:autoSpaceDN w:val="0"/>
              <w:adjustRightInd w:val="0"/>
              <w:snapToGrid w:val="0"/>
              <w:jc w:val="left"/>
              <w:rPr>
                <w:rFonts w:ascii="宋体" w:hAnsi="宋体"/>
                <w:color w:val="auto"/>
                <w:kern w:val="0"/>
                <w:sz w:val="24"/>
              </w:rPr>
            </w:pPr>
          </w:p>
        </w:tc>
        <w:tc>
          <w:tcPr>
            <w:tcW w:w="1359" w:type="dxa"/>
          </w:tcPr>
          <w:p w14:paraId="3859FFF7">
            <w:pPr>
              <w:autoSpaceDE w:val="0"/>
              <w:autoSpaceDN w:val="0"/>
              <w:adjustRightInd w:val="0"/>
              <w:snapToGrid w:val="0"/>
              <w:jc w:val="left"/>
              <w:rPr>
                <w:rFonts w:ascii="宋体" w:hAnsi="宋体"/>
                <w:color w:val="auto"/>
                <w:kern w:val="0"/>
                <w:sz w:val="24"/>
              </w:rPr>
            </w:pPr>
          </w:p>
        </w:tc>
        <w:tc>
          <w:tcPr>
            <w:tcW w:w="1855" w:type="dxa"/>
          </w:tcPr>
          <w:p w14:paraId="182FFA1C">
            <w:pPr>
              <w:autoSpaceDE w:val="0"/>
              <w:autoSpaceDN w:val="0"/>
              <w:adjustRightInd w:val="0"/>
              <w:snapToGrid w:val="0"/>
              <w:jc w:val="left"/>
              <w:rPr>
                <w:rFonts w:ascii="宋体" w:hAnsi="宋体"/>
                <w:color w:val="auto"/>
                <w:kern w:val="0"/>
                <w:sz w:val="24"/>
              </w:rPr>
            </w:pPr>
          </w:p>
        </w:tc>
        <w:tc>
          <w:tcPr>
            <w:tcW w:w="770" w:type="dxa"/>
          </w:tcPr>
          <w:p w14:paraId="07087877">
            <w:pPr>
              <w:autoSpaceDE w:val="0"/>
              <w:autoSpaceDN w:val="0"/>
              <w:adjustRightInd w:val="0"/>
              <w:snapToGrid w:val="0"/>
              <w:jc w:val="left"/>
              <w:rPr>
                <w:rFonts w:ascii="宋体" w:hAnsi="宋体"/>
                <w:color w:val="auto"/>
                <w:kern w:val="0"/>
                <w:sz w:val="24"/>
              </w:rPr>
            </w:pPr>
          </w:p>
        </w:tc>
      </w:tr>
      <w:tr w14:paraId="3E52BE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818CB90">
            <w:pPr>
              <w:autoSpaceDE w:val="0"/>
              <w:autoSpaceDN w:val="0"/>
              <w:adjustRightInd w:val="0"/>
              <w:snapToGrid w:val="0"/>
              <w:jc w:val="left"/>
              <w:rPr>
                <w:rFonts w:ascii="宋体" w:hAnsi="宋体"/>
                <w:color w:val="auto"/>
                <w:kern w:val="0"/>
                <w:sz w:val="24"/>
              </w:rPr>
            </w:pPr>
          </w:p>
        </w:tc>
        <w:tc>
          <w:tcPr>
            <w:tcW w:w="1219" w:type="dxa"/>
          </w:tcPr>
          <w:p w14:paraId="42427EEB">
            <w:pPr>
              <w:autoSpaceDE w:val="0"/>
              <w:autoSpaceDN w:val="0"/>
              <w:adjustRightInd w:val="0"/>
              <w:snapToGrid w:val="0"/>
              <w:jc w:val="left"/>
              <w:rPr>
                <w:rFonts w:ascii="宋体" w:hAnsi="宋体"/>
                <w:color w:val="auto"/>
                <w:kern w:val="0"/>
                <w:sz w:val="24"/>
              </w:rPr>
            </w:pPr>
          </w:p>
        </w:tc>
        <w:tc>
          <w:tcPr>
            <w:tcW w:w="852" w:type="dxa"/>
          </w:tcPr>
          <w:p w14:paraId="7638CFA9">
            <w:pPr>
              <w:autoSpaceDE w:val="0"/>
              <w:autoSpaceDN w:val="0"/>
              <w:adjustRightInd w:val="0"/>
              <w:snapToGrid w:val="0"/>
              <w:jc w:val="left"/>
              <w:rPr>
                <w:rFonts w:ascii="宋体" w:hAnsi="宋体"/>
                <w:color w:val="auto"/>
                <w:kern w:val="0"/>
                <w:sz w:val="24"/>
              </w:rPr>
            </w:pPr>
          </w:p>
        </w:tc>
        <w:tc>
          <w:tcPr>
            <w:tcW w:w="1111" w:type="dxa"/>
          </w:tcPr>
          <w:p w14:paraId="2033183C">
            <w:pPr>
              <w:autoSpaceDE w:val="0"/>
              <w:autoSpaceDN w:val="0"/>
              <w:adjustRightInd w:val="0"/>
              <w:snapToGrid w:val="0"/>
              <w:jc w:val="left"/>
              <w:rPr>
                <w:rFonts w:ascii="宋体" w:hAnsi="宋体"/>
                <w:color w:val="auto"/>
                <w:kern w:val="0"/>
                <w:sz w:val="24"/>
              </w:rPr>
            </w:pPr>
          </w:p>
        </w:tc>
        <w:tc>
          <w:tcPr>
            <w:tcW w:w="754" w:type="dxa"/>
          </w:tcPr>
          <w:p w14:paraId="01488740">
            <w:pPr>
              <w:autoSpaceDE w:val="0"/>
              <w:autoSpaceDN w:val="0"/>
              <w:adjustRightInd w:val="0"/>
              <w:snapToGrid w:val="0"/>
              <w:jc w:val="left"/>
              <w:rPr>
                <w:rFonts w:ascii="宋体" w:hAnsi="宋体"/>
                <w:color w:val="auto"/>
                <w:kern w:val="0"/>
                <w:sz w:val="24"/>
              </w:rPr>
            </w:pPr>
          </w:p>
        </w:tc>
        <w:tc>
          <w:tcPr>
            <w:tcW w:w="827" w:type="dxa"/>
          </w:tcPr>
          <w:p w14:paraId="68A76504">
            <w:pPr>
              <w:autoSpaceDE w:val="0"/>
              <w:autoSpaceDN w:val="0"/>
              <w:adjustRightInd w:val="0"/>
              <w:snapToGrid w:val="0"/>
              <w:jc w:val="left"/>
              <w:rPr>
                <w:rFonts w:ascii="宋体" w:hAnsi="宋体"/>
                <w:color w:val="auto"/>
                <w:kern w:val="0"/>
                <w:sz w:val="24"/>
              </w:rPr>
            </w:pPr>
          </w:p>
        </w:tc>
        <w:tc>
          <w:tcPr>
            <w:tcW w:w="1359" w:type="dxa"/>
          </w:tcPr>
          <w:p w14:paraId="15953F8B">
            <w:pPr>
              <w:autoSpaceDE w:val="0"/>
              <w:autoSpaceDN w:val="0"/>
              <w:adjustRightInd w:val="0"/>
              <w:snapToGrid w:val="0"/>
              <w:jc w:val="left"/>
              <w:rPr>
                <w:rFonts w:ascii="宋体" w:hAnsi="宋体"/>
                <w:color w:val="auto"/>
                <w:kern w:val="0"/>
                <w:sz w:val="24"/>
              </w:rPr>
            </w:pPr>
          </w:p>
        </w:tc>
        <w:tc>
          <w:tcPr>
            <w:tcW w:w="1855" w:type="dxa"/>
          </w:tcPr>
          <w:p w14:paraId="5C4AABE9">
            <w:pPr>
              <w:autoSpaceDE w:val="0"/>
              <w:autoSpaceDN w:val="0"/>
              <w:adjustRightInd w:val="0"/>
              <w:snapToGrid w:val="0"/>
              <w:jc w:val="left"/>
              <w:rPr>
                <w:rFonts w:ascii="宋体" w:hAnsi="宋体"/>
                <w:color w:val="auto"/>
                <w:kern w:val="0"/>
                <w:sz w:val="24"/>
              </w:rPr>
            </w:pPr>
          </w:p>
        </w:tc>
        <w:tc>
          <w:tcPr>
            <w:tcW w:w="770" w:type="dxa"/>
          </w:tcPr>
          <w:p w14:paraId="07C9E887">
            <w:pPr>
              <w:autoSpaceDE w:val="0"/>
              <w:autoSpaceDN w:val="0"/>
              <w:adjustRightInd w:val="0"/>
              <w:snapToGrid w:val="0"/>
              <w:jc w:val="left"/>
              <w:rPr>
                <w:rFonts w:ascii="宋体" w:hAnsi="宋体"/>
                <w:color w:val="auto"/>
                <w:kern w:val="0"/>
                <w:sz w:val="24"/>
              </w:rPr>
            </w:pPr>
          </w:p>
        </w:tc>
      </w:tr>
      <w:tr w14:paraId="5A245D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ECE3B24">
            <w:pPr>
              <w:autoSpaceDE w:val="0"/>
              <w:autoSpaceDN w:val="0"/>
              <w:adjustRightInd w:val="0"/>
              <w:snapToGrid w:val="0"/>
              <w:jc w:val="left"/>
              <w:rPr>
                <w:rFonts w:ascii="宋体" w:hAnsi="宋体"/>
                <w:color w:val="auto"/>
                <w:kern w:val="0"/>
                <w:sz w:val="24"/>
              </w:rPr>
            </w:pPr>
          </w:p>
        </w:tc>
        <w:tc>
          <w:tcPr>
            <w:tcW w:w="1219" w:type="dxa"/>
          </w:tcPr>
          <w:p w14:paraId="5B592868">
            <w:pPr>
              <w:autoSpaceDE w:val="0"/>
              <w:autoSpaceDN w:val="0"/>
              <w:adjustRightInd w:val="0"/>
              <w:snapToGrid w:val="0"/>
              <w:jc w:val="left"/>
              <w:rPr>
                <w:rFonts w:ascii="宋体" w:hAnsi="宋体"/>
                <w:color w:val="auto"/>
                <w:kern w:val="0"/>
                <w:sz w:val="24"/>
              </w:rPr>
            </w:pPr>
          </w:p>
        </w:tc>
        <w:tc>
          <w:tcPr>
            <w:tcW w:w="852" w:type="dxa"/>
          </w:tcPr>
          <w:p w14:paraId="68BABE5E">
            <w:pPr>
              <w:autoSpaceDE w:val="0"/>
              <w:autoSpaceDN w:val="0"/>
              <w:adjustRightInd w:val="0"/>
              <w:snapToGrid w:val="0"/>
              <w:jc w:val="left"/>
              <w:rPr>
                <w:rFonts w:ascii="宋体" w:hAnsi="宋体"/>
                <w:color w:val="auto"/>
                <w:kern w:val="0"/>
                <w:sz w:val="24"/>
              </w:rPr>
            </w:pPr>
          </w:p>
        </w:tc>
        <w:tc>
          <w:tcPr>
            <w:tcW w:w="1111" w:type="dxa"/>
          </w:tcPr>
          <w:p w14:paraId="7AC68A2A">
            <w:pPr>
              <w:autoSpaceDE w:val="0"/>
              <w:autoSpaceDN w:val="0"/>
              <w:adjustRightInd w:val="0"/>
              <w:snapToGrid w:val="0"/>
              <w:jc w:val="left"/>
              <w:rPr>
                <w:rFonts w:ascii="宋体" w:hAnsi="宋体"/>
                <w:color w:val="auto"/>
                <w:kern w:val="0"/>
                <w:sz w:val="24"/>
              </w:rPr>
            </w:pPr>
          </w:p>
        </w:tc>
        <w:tc>
          <w:tcPr>
            <w:tcW w:w="754" w:type="dxa"/>
          </w:tcPr>
          <w:p w14:paraId="293723D1">
            <w:pPr>
              <w:autoSpaceDE w:val="0"/>
              <w:autoSpaceDN w:val="0"/>
              <w:adjustRightInd w:val="0"/>
              <w:snapToGrid w:val="0"/>
              <w:jc w:val="left"/>
              <w:rPr>
                <w:rFonts w:ascii="宋体" w:hAnsi="宋体"/>
                <w:color w:val="auto"/>
                <w:kern w:val="0"/>
                <w:sz w:val="24"/>
              </w:rPr>
            </w:pPr>
          </w:p>
        </w:tc>
        <w:tc>
          <w:tcPr>
            <w:tcW w:w="827" w:type="dxa"/>
          </w:tcPr>
          <w:p w14:paraId="79569753">
            <w:pPr>
              <w:autoSpaceDE w:val="0"/>
              <w:autoSpaceDN w:val="0"/>
              <w:adjustRightInd w:val="0"/>
              <w:snapToGrid w:val="0"/>
              <w:jc w:val="left"/>
              <w:rPr>
                <w:rFonts w:ascii="宋体" w:hAnsi="宋体"/>
                <w:color w:val="auto"/>
                <w:kern w:val="0"/>
                <w:sz w:val="24"/>
              </w:rPr>
            </w:pPr>
          </w:p>
        </w:tc>
        <w:tc>
          <w:tcPr>
            <w:tcW w:w="1359" w:type="dxa"/>
          </w:tcPr>
          <w:p w14:paraId="2D48C998">
            <w:pPr>
              <w:autoSpaceDE w:val="0"/>
              <w:autoSpaceDN w:val="0"/>
              <w:adjustRightInd w:val="0"/>
              <w:snapToGrid w:val="0"/>
              <w:jc w:val="left"/>
              <w:rPr>
                <w:rFonts w:ascii="宋体" w:hAnsi="宋体"/>
                <w:color w:val="auto"/>
                <w:kern w:val="0"/>
                <w:sz w:val="24"/>
              </w:rPr>
            </w:pPr>
          </w:p>
        </w:tc>
        <w:tc>
          <w:tcPr>
            <w:tcW w:w="1855" w:type="dxa"/>
          </w:tcPr>
          <w:p w14:paraId="2FB3C9CB">
            <w:pPr>
              <w:autoSpaceDE w:val="0"/>
              <w:autoSpaceDN w:val="0"/>
              <w:adjustRightInd w:val="0"/>
              <w:snapToGrid w:val="0"/>
              <w:jc w:val="left"/>
              <w:rPr>
                <w:rFonts w:ascii="宋体" w:hAnsi="宋体"/>
                <w:color w:val="auto"/>
                <w:kern w:val="0"/>
                <w:sz w:val="24"/>
              </w:rPr>
            </w:pPr>
          </w:p>
        </w:tc>
        <w:tc>
          <w:tcPr>
            <w:tcW w:w="770" w:type="dxa"/>
          </w:tcPr>
          <w:p w14:paraId="00C85429">
            <w:pPr>
              <w:autoSpaceDE w:val="0"/>
              <w:autoSpaceDN w:val="0"/>
              <w:adjustRightInd w:val="0"/>
              <w:snapToGrid w:val="0"/>
              <w:jc w:val="left"/>
              <w:rPr>
                <w:rFonts w:ascii="宋体" w:hAnsi="宋体"/>
                <w:color w:val="auto"/>
                <w:kern w:val="0"/>
                <w:sz w:val="24"/>
              </w:rPr>
            </w:pPr>
          </w:p>
        </w:tc>
      </w:tr>
      <w:tr w14:paraId="0DA960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1AADD276">
            <w:pPr>
              <w:autoSpaceDE w:val="0"/>
              <w:autoSpaceDN w:val="0"/>
              <w:adjustRightInd w:val="0"/>
              <w:snapToGrid w:val="0"/>
              <w:jc w:val="left"/>
              <w:rPr>
                <w:rFonts w:ascii="宋体" w:hAnsi="宋体"/>
                <w:color w:val="auto"/>
                <w:kern w:val="0"/>
                <w:sz w:val="24"/>
              </w:rPr>
            </w:pPr>
          </w:p>
        </w:tc>
        <w:tc>
          <w:tcPr>
            <w:tcW w:w="1219" w:type="dxa"/>
          </w:tcPr>
          <w:p w14:paraId="50E66831">
            <w:pPr>
              <w:autoSpaceDE w:val="0"/>
              <w:autoSpaceDN w:val="0"/>
              <w:adjustRightInd w:val="0"/>
              <w:snapToGrid w:val="0"/>
              <w:jc w:val="left"/>
              <w:rPr>
                <w:rFonts w:ascii="宋体" w:hAnsi="宋体"/>
                <w:color w:val="auto"/>
                <w:kern w:val="0"/>
                <w:sz w:val="24"/>
              </w:rPr>
            </w:pPr>
          </w:p>
        </w:tc>
        <w:tc>
          <w:tcPr>
            <w:tcW w:w="852" w:type="dxa"/>
          </w:tcPr>
          <w:p w14:paraId="04D8DC8A">
            <w:pPr>
              <w:autoSpaceDE w:val="0"/>
              <w:autoSpaceDN w:val="0"/>
              <w:adjustRightInd w:val="0"/>
              <w:snapToGrid w:val="0"/>
              <w:jc w:val="left"/>
              <w:rPr>
                <w:rFonts w:ascii="宋体" w:hAnsi="宋体"/>
                <w:color w:val="auto"/>
                <w:kern w:val="0"/>
                <w:sz w:val="24"/>
              </w:rPr>
            </w:pPr>
          </w:p>
        </w:tc>
        <w:tc>
          <w:tcPr>
            <w:tcW w:w="1111" w:type="dxa"/>
          </w:tcPr>
          <w:p w14:paraId="7FF0673E">
            <w:pPr>
              <w:autoSpaceDE w:val="0"/>
              <w:autoSpaceDN w:val="0"/>
              <w:adjustRightInd w:val="0"/>
              <w:snapToGrid w:val="0"/>
              <w:jc w:val="left"/>
              <w:rPr>
                <w:rFonts w:ascii="宋体" w:hAnsi="宋体"/>
                <w:color w:val="auto"/>
                <w:kern w:val="0"/>
                <w:sz w:val="24"/>
              </w:rPr>
            </w:pPr>
          </w:p>
        </w:tc>
        <w:tc>
          <w:tcPr>
            <w:tcW w:w="754" w:type="dxa"/>
          </w:tcPr>
          <w:p w14:paraId="63AD0B9B">
            <w:pPr>
              <w:autoSpaceDE w:val="0"/>
              <w:autoSpaceDN w:val="0"/>
              <w:adjustRightInd w:val="0"/>
              <w:snapToGrid w:val="0"/>
              <w:jc w:val="left"/>
              <w:rPr>
                <w:rFonts w:ascii="宋体" w:hAnsi="宋体"/>
                <w:color w:val="auto"/>
                <w:kern w:val="0"/>
                <w:sz w:val="24"/>
              </w:rPr>
            </w:pPr>
          </w:p>
        </w:tc>
        <w:tc>
          <w:tcPr>
            <w:tcW w:w="827" w:type="dxa"/>
          </w:tcPr>
          <w:p w14:paraId="04E2220C">
            <w:pPr>
              <w:autoSpaceDE w:val="0"/>
              <w:autoSpaceDN w:val="0"/>
              <w:adjustRightInd w:val="0"/>
              <w:snapToGrid w:val="0"/>
              <w:jc w:val="left"/>
              <w:rPr>
                <w:rFonts w:ascii="宋体" w:hAnsi="宋体"/>
                <w:color w:val="auto"/>
                <w:kern w:val="0"/>
                <w:sz w:val="24"/>
              </w:rPr>
            </w:pPr>
          </w:p>
        </w:tc>
        <w:tc>
          <w:tcPr>
            <w:tcW w:w="1359" w:type="dxa"/>
          </w:tcPr>
          <w:p w14:paraId="05C54799">
            <w:pPr>
              <w:autoSpaceDE w:val="0"/>
              <w:autoSpaceDN w:val="0"/>
              <w:adjustRightInd w:val="0"/>
              <w:snapToGrid w:val="0"/>
              <w:jc w:val="left"/>
              <w:rPr>
                <w:rFonts w:ascii="宋体" w:hAnsi="宋体"/>
                <w:color w:val="auto"/>
                <w:kern w:val="0"/>
                <w:sz w:val="24"/>
              </w:rPr>
            </w:pPr>
          </w:p>
        </w:tc>
        <w:tc>
          <w:tcPr>
            <w:tcW w:w="1855" w:type="dxa"/>
          </w:tcPr>
          <w:p w14:paraId="21329B58">
            <w:pPr>
              <w:autoSpaceDE w:val="0"/>
              <w:autoSpaceDN w:val="0"/>
              <w:adjustRightInd w:val="0"/>
              <w:snapToGrid w:val="0"/>
              <w:jc w:val="left"/>
              <w:rPr>
                <w:rFonts w:ascii="宋体" w:hAnsi="宋体"/>
                <w:color w:val="auto"/>
                <w:kern w:val="0"/>
                <w:sz w:val="24"/>
              </w:rPr>
            </w:pPr>
          </w:p>
        </w:tc>
        <w:tc>
          <w:tcPr>
            <w:tcW w:w="770" w:type="dxa"/>
          </w:tcPr>
          <w:p w14:paraId="6915CB48">
            <w:pPr>
              <w:autoSpaceDE w:val="0"/>
              <w:autoSpaceDN w:val="0"/>
              <w:adjustRightInd w:val="0"/>
              <w:snapToGrid w:val="0"/>
              <w:jc w:val="left"/>
              <w:rPr>
                <w:rFonts w:ascii="宋体" w:hAnsi="宋体"/>
                <w:color w:val="auto"/>
                <w:kern w:val="0"/>
                <w:sz w:val="24"/>
              </w:rPr>
            </w:pPr>
          </w:p>
        </w:tc>
      </w:tr>
    </w:tbl>
    <w:p w14:paraId="7AE19C35">
      <w:pPr>
        <w:spacing w:line="20" w:lineRule="exact"/>
        <w:rPr>
          <w:rFonts w:ascii="宋体" w:hAnsi="宋体"/>
          <w:color w:val="auto"/>
        </w:rPr>
      </w:pPr>
    </w:p>
    <w:p w14:paraId="7448DB02">
      <w:pPr>
        <w:jc w:val="center"/>
        <w:rPr>
          <w:rFonts w:ascii="宋体" w:hAnsi="宋体"/>
          <w:b/>
          <w:color w:val="auto"/>
        </w:rPr>
      </w:pPr>
      <w:bookmarkStart w:id="2311" w:name="_Toc224103506"/>
      <w:bookmarkStart w:id="2312" w:name="_Toc287607878"/>
      <w:bookmarkStart w:id="2313" w:name="_Toc277082652"/>
      <w:bookmarkStart w:id="2314" w:name="_Toc430530541"/>
      <w:bookmarkStart w:id="2315" w:name="_Toc287620825"/>
      <w:r>
        <w:rPr>
          <w:rFonts w:ascii="宋体" w:hAnsi="宋体"/>
          <w:color w:val="auto"/>
          <w:sz w:val="28"/>
        </w:rPr>
        <w:br w:type="page"/>
      </w:r>
      <w:bookmarkStart w:id="2316" w:name="_Toc509218859"/>
      <w:bookmarkStart w:id="2317" w:name="_Toc534185836"/>
      <w:r>
        <w:rPr>
          <w:color w:val="auto"/>
          <w:sz w:val="32"/>
          <w:szCs w:val="32"/>
        </w:rPr>
        <w:t>附表三：劳动力计划表</w:t>
      </w:r>
      <w:bookmarkEnd w:id="2311"/>
      <w:bookmarkEnd w:id="2312"/>
      <w:bookmarkEnd w:id="2313"/>
      <w:bookmarkEnd w:id="2314"/>
      <w:bookmarkEnd w:id="2315"/>
      <w:bookmarkEnd w:id="2316"/>
      <w:bookmarkEnd w:id="2317"/>
    </w:p>
    <w:p w14:paraId="60574C99">
      <w:pPr>
        <w:autoSpaceDE w:val="0"/>
        <w:autoSpaceDN w:val="0"/>
        <w:adjustRightInd w:val="0"/>
        <w:snapToGrid w:val="0"/>
        <w:spacing w:line="360" w:lineRule="auto"/>
        <w:ind w:right="210"/>
        <w:jc w:val="right"/>
        <w:rPr>
          <w:rFonts w:ascii="宋体" w:hAnsi="宋体"/>
          <w:color w:val="auto"/>
          <w:kern w:val="0"/>
          <w:szCs w:val="21"/>
        </w:rPr>
      </w:pPr>
      <w:r>
        <w:rPr>
          <w:rFonts w:ascii="宋体" w:hAnsi="宋体"/>
          <w:color w:val="auto"/>
          <w:kern w:val="0"/>
          <w:szCs w:val="21"/>
        </w:rPr>
        <w:t>单位：人</w:t>
      </w:r>
    </w:p>
    <w:tbl>
      <w:tblPr>
        <w:tblStyle w:val="45"/>
        <w:tblW w:w="9498"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31D6EC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vAlign w:val="center"/>
          </w:tcPr>
          <w:p w14:paraId="0AF9C58F">
            <w:pPr>
              <w:autoSpaceDE w:val="0"/>
              <w:autoSpaceDN w:val="0"/>
              <w:adjustRightInd w:val="0"/>
              <w:snapToGrid w:val="0"/>
              <w:jc w:val="center"/>
              <w:rPr>
                <w:rFonts w:ascii="宋体" w:hAnsi="宋体"/>
                <w:color w:val="auto"/>
                <w:kern w:val="0"/>
                <w:sz w:val="24"/>
              </w:rPr>
            </w:pPr>
            <w:r>
              <w:rPr>
                <w:rFonts w:ascii="宋体" w:hAnsi="宋体"/>
                <w:color w:val="auto"/>
                <w:kern w:val="0"/>
                <w:szCs w:val="21"/>
              </w:rPr>
              <w:t>工种</w:t>
            </w:r>
          </w:p>
        </w:tc>
        <w:tc>
          <w:tcPr>
            <w:tcW w:w="8574" w:type="dxa"/>
            <w:gridSpan w:val="7"/>
            <w:vAlign w:val="center"/>
          </w:tcPr>
          <w:p w14:paraId="1A03A4D7">
            <w:pPr>
              <w:autoSpaceDE w:val="0"/>
              <w:autoSpaceDN w:val="0"/>
              <w:adjustRightInd w:val="0"/>
              <w:snapToGrid w:val="0"/>
              <w:jc w:val="center"/>
              <w:rPr>
                <w:rFonts w:ascii="宋体" w:hAnsi="宋体"/>
                <w:color w:val="auto"/>
                <w:kern w:val="0"/>
                <w:sz w:val="24"/>
              </w:rPr>
            </w:pPr>
            <w:r>
              <w:rPr>
                <w:rFonts w:ascii="宋体" w:hAnsi="宋体"/>
                <w:color w:val="auto"/>
                <w:kern w:val="0"/>
                <w:szCs w:val="21"/>
              </w:rPr>
              <w:t>按工程施工阶段投入劳动力情况</w:t>
            </w:r>
          </w:p>
        </w:tc>
      </w:tr>
      <w:tr w14:paraId="1CE584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tcPr>
          <w:p w14:paraId="605F154F">
            <w:pPr>
              <w:autoSpaceDE w:val="0"/>
              <w:autoSpaceDN w:val="0"/>
              <w:adjustRightInd w:val="0"/>
              <w:snapToGrid w:val="0"/>
              <w:jc w:val="left"/>
              <w:rPr>
                <w:rFonts w:ascii="宋体" w:hAnsi="宋体"/>
                <w:color w:val="auto"/>
                <w:kern w:val="0"/>
                <w:sz w:val="24"/>
              </w:rPr>
            </w:pPr>
          </w:p>
        </w:tc>
        <w:tc>
          <w:tcPr>
            <w:tcW w:w="1453" w:type="dxa"/>
          </w:tcPr>
          <w:p w14:paraId="3AD2A416">
            <w:pPr>
              <w:autoSpaceDE w:val="0"/>
              <w:autoSpaceDN w:val="0"/>
              <w:adjustRightInd w:val="0"/>
              <w:snapToGrid w:val="0"/>
              <w:jc w:val="left"/>
              <w:rPr>
                <w:rFonts w:ascii="宋体" w:hAnsi="宋体"/>
                <w:color w:val="auto"/>
                <w:kern w:val="0"/>
                <w:sz w:val="24"/>
              </w:rPr>
            </w:pPr>
          </w:p>
        </w:tc>
        <w:tc>
          <w:tcPr>
            <w:tcW w:w="1186" w:type="dxa"/>
          </w:tcPr>
          <w:p w14:paraId="05F9E8B2">
            <w:pPr>
              <w:autoSpaceDE w:val="0"/>
              <w:autoSpaceDN w:val="0"/>
              <w:adjustRightInd w:val="0"/>
              <w:snapToGrid w:val="0"/>
              <w:jc w:val="left"/>
              <w:rPr>
                <w:rFonts w:ascii="宋体" w:hAnsi="宋体"/>
                <w:color w:val="auto"/>
                <w:kern w:val="0"/>
                <w:sz w:val="24"/>
              </w:rPr>
            </w:pPr>
          </w:p>
        </w:tc>
        <w:tc>
          <w:tcPr>
            <w:tcW w:w="1188" w:type="dxa"/>
          </w:tcPr>
          <w:p w14:paraId="59ABA5F0">
            <w:pPr>
              <w:autoSpaceDE w:val="0"/>
              <w:autoSpaceDN w:val="0"/>
              <w:adjustRightInd w:val="0"/>
              <w:snapToGrid w:val="0"/>
              <w:jc w:val="left"/>
              <w:rPr>
                <w:rFonts w:ascii="宋体" w:hAnsi="宋体"/>
                <w:color w:val="auto"/>
                <w:kern w:val="0"/>
                <w:sz w:val="24"/>
              </w:rPr>
            </w:pPr>
          </w:p>
        </w:tc>
        <w:tc>
          <w:tcPr>
            <w:tcW w:w="1186" w:type="dxa"/>
          </w:tcPr>
          <w:p w14:paraId="0AD9B71F">
            <w:pPr>
              <w:autoSpaceDE w:val="0"/>
              <w:autoSpaceDN w:val="0"/>
              <w:adjustRightInd w:val="0"/>
              <w:snapToGrid w:val="0"/>
              <w:jc w:val="left"/>
              <w:rPr>
                <w:rFonts w:ascii="宋体" w:hAnsi="宋体"/>
                <w:color w:val="auto"/>
                <w:kern w:val="0"/>
                <w:sz w:val="24"/>
              </w:rPr>
            </w:pPr>
          </w:p>
        </w:tc>
        <w:tc>
          <w:tcPr>
            <w:tcW w:w="1188" w:type="dxa"/>
          </w:tcPr>
          <w:p w14:paraId="7017F325">
            <w:pPr>
              <w:autoSpaceDE w:val="0"/>
              <w:autoSpaceDN w:val="0"/>
              <w:adjustRightInd w:val="0"/>
              <w:snapToGrid w:val="0"/>
              <w:jc w:val="left"/>
              <w:rPr>
                <w:rFonts w:ascii="宋体" w:hAnsi="宋体"/>
                <w:color w:val="auto"/>
                <w:kern w:val="0"/>
                <w:sz w:val="24"/>
              </w:rPr>
            </w:pPr>
          </w:p>
        </w:tc>
        <w:tc>
          <w:tcPr>
            <w:tcW w:w="1186" w:type="dxa"/>
          </w:tcPr>
          <w:p w14:paraId="6C4D89E4">
            <w:pPr>
              <w:autoSpaceDE w:val="0"/>
              <w:autoSpaceDN w:val="0"/>
              <w:adjustRightInd w:val="0"/>
              <w:snapToGrid w:val="0"/>
              <w:jc w:val="left"/>
              <w:rPr>
                <w:rFonts w:ascii="宋体" w:hAnsi="宋体"/>
                <w:color w:val="auto"/>
                <w:kern w:val="0"/>
                <w:sz w:val="24"/>
              </w:rPr>
            </w:pPr>
          </w:p>
        </w:tc>
        <w:tc>
          <w:tcPr>
            <w:tcW w:w="1187" w:type="dxa"/>
          </w:tcPr>
          <w:p w14:paraId="6A321DE2">
            <w:pPr>
              <w:autoSpaceDE w:val="0"/>
              <w:autoSpaceDN w:val="0"/>
              <w:adjustRightInd w:val="0"/>
              <w:snapToGrid w:val="0"/>
              <w:jc w:val="left"/>
              <w:rPr>
                <w:rFonts w:ascii="宋体" w:hAnsi="宋体"/>
                <w:color w:val="auto"/>
                <w:kern w:val="0"/>
                <w:sz w:val="24"/>
              </w:rPr>
            </w:pPr>
          </w:p>
        </w:tc>
      </w:tr>
      <w:tr w14:paraId="6283B2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91C05CD">
            <w:pPr>
              <w:autoSpaceDE w:val="0"/>
              <w:autoSpaceDN w:val="0"/>
              <w:adjustRightInd w:val="0"/>
              <w:snapToGrid w:val="0"/>
              <w:jc w:val="left"/>
              <w:rPr>
                <w:rFonts w:ascii="宋体" w:hAnsi="宋体"/>
                <w:color w:val="auto"/>
                <w:kern w:val="0"/>
                <w:sz w:val="24"/>
              </w:rPr>
            </w:pPr>
          </w:p>
        </w:tc>
        <w:tc>
          <w:tcPr>
            <w:tcW w:w="1453" w:type="dxa"/>
          </w:tcPr>
          <w:p w14:paraId="648BE4D8">
            <w:pPr>
              <w:autoSpaceDE w:val="0"/>
              <w:autoSpaceDN w:val="0"/>
              <w:adjustRightInd w:val="0"/>
              <w:snapToGrid w:val="0"/>
              <w:jc w:val="left"/>
              <w:rPr>
                <w:rFonts w:ascii="宋体" w:hAnsi="宋体"/>
                <w:color w:val="auto"/>
                <w:kern w:val="0"/>
                <w:sz w:val="24"/>
              </w:rPr>
            </w:pPr>
          </w:p>
        </w:tc>
        <w:tc>
          <w:tcPr>
            <w:tcW w:w="1186" w:type="dxa"/>
          </w:tcPr>
          <w:p w14:paraId="5215CDAA">
            <w:pPr>
              <w:autoSpaceDE w:val="0"/>
              <w:autoSpaceDN w:val="0"/>
              <w:adjustRightInd w:val="0"/>
              <w:snapToGrid w:val="0"/>
              <w:jc w:val="left"/>
              <w:rPr>
                <w:rFonts w:ascii="宋体" w:hAnsi="宋体"/>
                <w:color w:val="auto"/>
                <w:kern w:val="0"/>
                <w:sz w:val="24"/>
              </w:rPr>
            </w:pPr>
          </w:p>
        </w:tc>
        <w:tc>
          <w:tcPr>
            <w:tcW w:w="1188" w:type="dxa"/>
          </w:tcPr>
          <w:p w14:paraId="585B89C7">
            <w:pPr>
              <w:autoSpaceDE w:val="0"/>
              <w:autoSpaceDN w:val="0"/>
              <w:adjustRightInd w:val="0"/>
              <w:snapToGrid w:val="0"/>
              <w:jc w:val="left"/>
              <w:rPr>
                <w:rFonts w:ascii="宋体" w:hAnsi="宋体"/>
                <w:color w:val="auto"/>
                <w:kern w:val="0"/>
                <w:sz w:val="24"/>
              </w:rPr>
            </w:pPr>
          </w:p>
        </w:tc>
        <w:tc>
          <w:tcPr>
            <w:tcW w:w="1186" w:type="dxa"/>
          </w:tcPr>
          <w:p w14:paraId="3A8254BA">
            <w:pPr>
              <w:autoSpaceDE w:val="0"/>
              <w:autoSpaceDN w:val="0"/>
              <w:adjustRightInd w:val="0"/>
              <w:snapToGrid w:val="0"/>
              <w:jc w:val="left"/>
              <w:rPr>
                <w:rFonts w:ascii="宋体" w:hAnsi="宋体"/>
                <w:color w:val="auto"/>
                <w:kern w:val="0"/>
                <w:sz w:val="24"/>
              </w:rPr>
            </w:pPr>
          </w:p>
        </w:tc>
        <w:tc>
          <w:tcPr>
            <w:tcW w:w="1188" w:type="dxa"/>
          </w:tcPr>
          <w:p w14:paraId="3C610BE5">
            <w:pPr>
              <w:autoSpaceDE w:val="0"/>
              <w:autoSpaceDN w:val="0"/>
              <w:adjustRightInd w:val="0"/>
              <w:snapToGrid w:val="0"/>
              <w:jc w:val="left"/>
              <w:rPr>
                <w:rFonts w:ascii="宋体" w:hAnsi="宋体"/>
                <w:color w:val="auto"/>
                <w:kern w:val="0"/>
                <w:sz w:val="24"/>
              </w:rPr>
            </w:pPr>
          </w:p>
        </w:tc>
        <w:tc>
          <w:tcPr>
            <w:tcW w:w="1186" w:type="dxa"/>
          </w:tcPr>
          <w:p w14:paraId="5A6A6F64">
            <w:pPr>
              <w:autoSpaceDE w:val="0"/>
              <w:autoSpaceDN w:val="0"/>
              <w:adjustRightInd w:val="0"/>
              <w:snapToGrid w:val="0"/>
              <w:jc w:val="left"/>
              <w:rPr>
                <w:rFonts w:ascii="宋体" w:hAnsi="宋体"/>
                <w:color w:val="auto"/>
                <w:kern w:val="0"/>
                <w:sz w:val="24"/>
              </w:rPr>
            </w:pPr>
          </w:p>
        </w:tc>
        <w:tc>
          <w:tcPr>
            <w:tcW w:w="1187" w:type="dxa"/>
          </w:tcPr>
          <w:p w14:paraId="64466274">
            <w:pPr>
              <w:autoSpaceDE w:val="0"/>
              <w:autoSpaceDN w:val="0"/>
              <w:adjustRightInd w:val="0"/>
              <w:snapToGrid w:val="0"/>
              <w:jc w:val="left"/>
              <w:rPr>
                <w:rFonts w:ascii="宋体" w:hAnsi="宋体"/>
                <w:color w:val="auto"/>
                <w:kern w:val="0"/>
                <w:sz w:val="24"/>
              </w:rPr>
            </w:pPr>
          </w:p>
        </w:tc>
      </w:tr>
      <w:tr w14:paraId="3E71A6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214928E">
            <w:pPr>
              <w:autoSpaceDE w:val="0"/>
              <w:autoSpaceDN w:val="0"/>
              <w:adjustRightInd w:val="0"/>
              <w:snapToGrid w:val="0"/>
              <w:jc w:val="left"/>
              <w:rPr>
                <w:rFonts w:ascii="宋体" w:hAnsi="宋体"/>
                <w:color w:val="auto"/>
                <w:kern w:val="0"/>
                <w:sz w:val="24"/>
              </w:rPr>
            </w:pPr>
          </w:p>
        </w:tc>
        <w:tc>
          <w:tcPr>
            <w:tcW w:w="1453" w:type="dxa"/>
          </w:tcPr>
          <w:p w14:paraId="23AA4ABF">
            <w:pPr>
              <w:autoSpaceDE w:val="0"/>
              <w:autoSpaceDN w:val="0"/>
              <w:adjustRightInd w:val="0"/>
              <w:snapToGrid w:val="0"/>
              <w:jc w:val="left"/>
              <w:rPr>
                <w:rFonts w:ascii="宋体" w:hAnsi="宋体"/>
                <w:color w:val="auto"/>
                <w:kern w:val="0"/>
                <w:sz w:val="24"/>
              </w:rPr>
            </w:pPr>
          </w:p>
        </w:tc>
        <w:tc>
          <w:tcPr>
            <w:tcW w:w="1186" w:type="dxa"/>
          </w:tcPr>
          <w:p w14:paraId="3988F6E1">
            <w:pPr>
              <w:autoSpaceDE w:val="0"/>
              <w:autoSpaceDN w:val="0"/>
              <w:adjustRightInd w:val="0"/>
              <w:snapToGrid w:val="0"/>
              <w:jc w:val="left"/>
              <w:rPr>
                <w:rFonts w:ascii="宋体" w:hAnsi="宋体"/>
                <w:color w:val="auto"/>
                <w:kern w:val="0"/>
                <w:sz w:val="24"/>
              </w:rPr>
            </w:pPr>
          </w:p>
        </w:tc>
        <w:tc>
          <w:tcPr>
            <w:tcW w:w="1188" w:type="dxa"/>
          </w:tcPr>
          <w:p w14:paraId="43105DFE">
            <w:pPr>
              <w:autoSpaceDE w:val="0"/>
              <w:autoSpaceDN w:val="0"/>
              <w:adjustRightInd w:val="0"/>
              <w:snapToGrid w:val="0"/>
              <w:jc w:val="left"/>
              <w:rPr>
                <w:rFonts w:ascii="宋体" w:hAnsi="宋体"/>
                <w:color w:val="auto"/>
                <w:kern w:val="0"/>
                <w:sz w:val="24"/>
              </w:rPr>
            </w:pPr>
          </w:p>
        </w:tc>
        <w:tc>
          <w:tcPr>
            <w:tcW w:w="1186" w:type="dxa"/>
          </w:tcPr>
          <w:p w14:paraId="0BD85FEA">
            <w:pPr>
              <w:autoSpaceDE w:val="0"/>
              <w:autoSpaceDN w:val="0"/>
              <w:adjustRightInd w:val="0"/>
              <w:snapToGrid w:val="0"/>
              <w:jc w:val="left"/>
              <w:rPr>
                <w:rFonts w:ascii="宋体" w:hAnsi="宋体"/>
                <w:color w:val="auto"/>
                <w:kern w:val="0"/>
                <w:sz w:val="24"/>
              </w:rPr>
            </w:pPr>
          </w:p>
        </w:tc>
        <w:tc>
          <w:tcPr>
            <w:tcW w:w="1188" w:type="dxa"/>
          </w:tcPr>
          <w:p w14:paraId="5123F68C">
            <w:pPr>
              <w:autoSpaceDE w:val="0"/>
              <w:autoSpaceDN w:val="0"/>
              <w:adjustRightInd w:val="0"/>
              <w:snapToGrid w:val="0"/>
              <w:jc w:val="left"/>
              <w:rPr>
                <w:rFonts w:ascii="宋体" w:hAnsi="宋体"/>
                <w:color w:val="auto"/>
                <w:kern w:val="0"/>
                <w:sz w:val="24"/>
              </w:rPr>
            </w:pPr>
          </w:p>
        </w:tc>
        <w:tc>
          <w:tcPr>
            <w:tcW w:w="1186" w:type="dxa"/>
          </w:tcPr>
          <w:p w14:paraId="4C35DB50">
            <w:pPr>
              <w:autoSpaceDE w:val="0"/>
              <w:autoSpaceDN w:val="0"/>
              <w:adjustRightInd w:val="0"/>
              <w:snapToGrid w:val="0"/>
              <w:jc w:val="left"/>
              <w:rPr>
                <w:rFonts w:ascii="宋体" w:hAnsi="宋体"/>
                <w:color w:val="auto"/>
                <w:kern w:val="0"/>
                <w:sz w:val="24"/>
              </w:rPr>
            </w:pPr>
          </w:p>
        </w:tc>
        <w:tc>
          <w:tcPr>
            <w:tcW w:w="1187" w:type="dxa"/>
          </w:tcPr>
          <w:p w14:paraId="089D75E3">
            <w:pPr>
              <w:autoSpaceDE w:val="0"/>
              <w:autoSpaceDN w:val="0"/>
              <w:adjustRightInd w:val="0"/>
              <w:snapToGrid w:val="0"/>
              <w:jc w:val="left"/>
              <w:rPr>
                <w:rFonts w:ascii="宋体" w:hAnsi="宋体"/>
                <w:color w:val="auto"/>
                <w:kern w:val="0"/>
                <w:sz w:val="24"/>
              </w:rPr>
            </w:pPr>
          </w:p>
        </w:tc>
      </w:tr>
      <w:tr w14:paraId="7CB657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84F8E98">
            <w:pPr>
              <w:autoSpaceDE w:val="0"/>
              <w:autoSpaceDN w:val="0"/>
              <w:adjustRightInd w:val="0"/>
              <w:snapToGrid w:val="0"/>
              <w:jc w:val="left"/>
              <w:rPr>
                <w:rFonts w:ascii="宋体" w:hAnsi="宋体"/>
                <w:color w:val="auto"/>
                <w:kern w:val="0"/>
                <w:sz w:val="24"/>
              </w:rPr>
            </w:pPr>
          </w:p>
        </w:tc>
        <w:tc>
          <w:tcPr>
            <w:tcW w:w="1453" w:type="dxa"/>
          </w:tcPr>
          <w:p w14:paraId="167A5808">
            <w:pPr>
              <w:autoSpaceDE w:val="0"/>
              <w:autoSpaceDN w:val="0"/>
              <w:adjustRightInd w:val="0"/>
              <w:snapToGrid w:val="0"/>
              <w:jc w:val="left"/>
              <w:rPr>
                <w:rFonts w:ascii="宋体" w:hAnsi="宋体"/>
                <w:color w:val="auto"/>
                <w:kern w:val="0"/>
                <w:sz w:val="24"/>
              </w:rPr>
            </w:pPr>
          </w:p>
        </w:tc>
        <w:tc>
          <w:tcPr>
            <w:tcW w:w="1186" w:type="dxa"/>
          </w:tcPr>
          <w:p w14:paraId="03ABC263">
            <w:pPr>
              <w:autoSpaceDE w:val="0"/>
              <w:autoSpaceDN w:val="0"/>
              <w:adjustRightInd w:val="0"/>
              <w:snapToGrid w:val="0"/>
              <w:jc w:val="left"/>
              <w:rPr>
                <w:rFonts w:ascii="宋体" w:hAnsi="宋体"/>
                <w:color w:val="auto"/>
                <w:kern w:val="0"/>
                <w:sz w:val="24"/>
              </w:rPr>
            </w:pPr>
          </w:p>
        </w:tc>
        <w:tc>
          <w:tcPr>
            <w:tcW w:w="1188" w:type="dxa"/>
          </w:tcPr>
          <w:p w14:paraId="57E7B8A9">
            <w:pPr>
              <w:autoSpaceDE w:val="0"/>
              <w:autoSpaceDN w:val="0"/>
              <w:adjustRightInd w:val="0"/>
              <w:snapToGrid w:val="0"/>
              <w:jc w:val="left"/>
              <w:rPr>
                <w:rFonts w:ascii="宋体" w:hAnsi="宋体"/>
                <w:color w:val="auto"/>
                <w:kern w:val="0"/>
                <w:sz w:val="24"/>
              </w:rPr>
            </w:pPr>
          </w:p>
        </w:tc>
        <w:tc>
          <w:tcPr>
            <w:tcW w:w="1186" w:type="dxa"/>
          </w:tcPr>
          <w:p w14:paraId="6012D18F">
            <w:pPr>
              <w:autoSpaceDE w:val="0"/>
              <w:autoSpaceDN w:val="0"/>
              <w:adjustRightInd w:val="0"/>
              <w:snapToGrid w:val="0"/>
              <w:jc w:val="left"/>
              <w:rPr>
                <w:rFonts w:ascii="宋体" w:hAnsi="宋体"/>
                <w:color w:val="auto"/>
                <w:kern w:val="0"/>
                <w:sz w:val="24"/>
              </w:rPr>
            </w:pPr>
          </w:p>
        </w:tc>
        <w:tc>
          <w:tcPr>
            <w:tcW w:w="1188" w:type="dxa"/>
          </w:tcPr>
          <w:p w14:paraId="5F4DF7AD">
            <w:pPr>
              <w:autoSpaceDE w:val="0"/>
              <w:autoSpaceDN w:val="0"/>
              <w:adjustRightInd w:val="0"/>
              <w:snapToGrid w:val="0"/>
              <w:jc w:val="left"/>
              <w:rPr>
                <w:rFonts w:ascii="宋体" w:hAnsi="宋体"/>
                <w:color w:val="auto"/>
                <w:kern w:val="0"/>
                <w:sz w:val="24"/>
              </w:rPr>
            </w:pPr>
          </w:p>
        </w:tc>
        <w:tc>
          <w:tcPr>
            <w:tcW w:w="1186" w:type="dxa"/>
          </w:tcPr>
          <w:p w14:paraId="3490FCE3">
            <w:pPr>
              <w:autoSpaceDE w:val="0"/>
              <w:autoSpaceDN w:val="0"/>
              <w:adjustRightInd w:val="0"/>
              <w:snapToGrid w:val="0"/>
              <w:jc w:val="left"/>
              <w:rPr>
                <w:rFonts w:ascii="宋体" w:hAnsi="宋体"/>
                <w:color w:val="auto"/>
                <w:kern w:val="0"/>
                <w:sz w:val="24"/>
              </w:rPr>
            </w:pPr>
          </w:p>
        </w:tc>
        <w:tc>
          <w:tcPr>
            <w:tcW w:w="1187" w:type="dxa"/>
          </w:tcPr>
          <w:p w14:paraId="1BAE7840">
            <w:pPr>
              <w:autoSpaceDE w:val="0"/>
              <w:autoSpaceDN w:val="0"/>
              <w:adjustRightInd w:val="0"/>
              <w:snapToGrid w:val="0"/>
              <w:jc w:val="left"/>
              <w:rPr>
                <w:rFonts w:ascii="宋体" w:hAnsi="宋体"/>
                <w:color w:val="auto"/>
                <w:kern w:val="0"/>
                <w:sz w:val="24"/>
              </w:rPr>
            </w:pPr>
          </w:p>
        </w:tc>
      </w:tr>
      <w:tr w14:paraId="4B6E99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912756E">
            <w:pPr>
              <w:autoSpaceDE w:val="0"/>
              <w:autoSpaceDN w:val="0"/>
              <w:adjustRightInd w:val="0"/>
              <w:snapToGrid w:val="0"/>
              <w:jc w:val="left"/>
              <w:rPr>
                <w:rFonts w:ascii="宋体" w:hAnsi="宋体"/>
                <w:color w:val="auto"/>
                <w:kern w:val="0"/>
                <w:sz w:val="24"/>
              </w:rPr>
            </w:pPr>
          </w:p>
        </w:tc>
        <w:tc>
          <w:tcPr>
            <w:tcW w:w="1453" w:type="dxa"/>
          </w:tcPr>
          <w:p w14:paraId="5AE5CF7A">
            <w:pPr>
              <w:autoSpaceDE w:val="0"/>
              <w:autoSpaceDN w:val="0"/>
              <w:adjustRightInd w:val="0"/>
              <w:snapToGrid w:val="0"/>
              <w:jc w:val="left"/>
              <w:rPr>
                <w:rFonts w:ascii="宋体" w:hAnsi="宋体"/>
                <w:color w:val="auto"/>
                <w:kern w:val="0"/>
                <w:sz w:val="24"/>
              </w:rPr>
            </w:pPr>
          </w:p>
        </w:tc>
        <w:tc>
          <w:tcPr>
            <w:tcW w:w="1186" w:type="dxa"/>
          </w:tcPr>
          <w:p w14:paraId="73682117">
            <w:pPr>
              <w:autoSpaceDE w:val="0"/>
              <w:autoSpaceDN w:val="0"/>
              <w:adjustRightInd w:val="0"/>
              <w:snapToGrid w:val="0"/>
              <w:jc w:val="left"/>
              <w:rPr>
                <w:rFonts w:ascii="宋体" w:hAnsi="宋体"/>
                <w:color w:val="auto"/>
                <w:kern w:val="0"/>
                <w:sz w:val="24"/>
              </w:rPr>
            </w:pPr>
          </w:p>
        </w:tc>
        <w:tc>
          <w:tcPr>
            <w:tcW w:w="1188" w:type="dxa"/>
          </w:tcPr>
          <w:p w14:paraId="1C7C5445">
            <w:pPr>
              <w:autoSpaceDE w:val="0"/>
              <w:autoSpaceDN w:val="0"/>
              <w:adjustRightInd w:val="0"/>
              <w:snapToGrid w:val="0"/>
              <w:jc w:val="left"/>
              <w:rPr>
                <w:rFonts w:ascii="宋体" w:hAnsi="宋体"/>
                <w:color w:val="auto"/>
                <w:kern w:val="0"/>
                <w:sz w:val="24"/>
              </w:rPr>
            </w:pPr>
          </w:p>
        </w:tc>
        <w:tc>
          <w:tcPr>
            <w:tcW w:w="1186" w:type="dxa"/>
          </w:tcPr>
          <w:p w14:paraId="23181D29">
            <w:pPr>
              <w:autoSpaceDE w:val="0"/>
              <w:autoSpaceDN w:val="0"/>
              <w:adjustRightInd w:val="0"/>
              <w:snapToGrid w:val="0"/>
              <w:jc w:val="left"/>
              <w:rPr>
                <w:rFonts w:ascii="宋体" w:hAnsi="宋体"/>
                <w:color w:val="auto"/>
                <w:kern w:val="0"/>
                <w:sz w:val="24"/>
              </w:rPr>
            </w:pPr>
          </w:p>
        </w:tc>
        <w:tc>
          <w:tcPr>
            <w:tcW w:w="1188" w:type="dxa"/>
          </w:tcPr>
          <w:p w14:paraId="7194CBC5">
            <w:pPr>
              <w:autoSpaceDE w:val="0"/>
              <w:autoSpaceDN w:val="0"/>
              <w:adjustRightInd w:val="0"/>
              <w:snapToGrid w:val="0"/>
              <w:jc w:val="left"/>
              <w:rPr>
                <w:rFonts w:ascii="宋体" w:hAnsi="宋体"/>
                <w:color w:val="auto"/>
                <w:kern w:val="0"/>
                <w:sz w:val="24"/>
              </w:rPr>
            </w:pPr>
          </w:p>
        </w:tc>
        <w:tc>
          <w:tcPr>
            <w:tcW w:w="1186" w:type="dxa"/>
          </w:tcPr>
          <w:p w14:paraId="5D0C171C">
            <w:pPr>
              <w:autoSpaceDE w:val="0"/>
              <w:autoSpaceDN w:val="0"/>
              <w:adjustRightInd w:val="0"/>
              <w:snapToGrid w:val="0"/>
              <w:jc w:val="left"/>
              <w:rPr>
                <w:rFonts w:ascii="宋体" w:hAnsi="宋体"/>
                <w:color w:val="auto"/>
                <w:kern w:val="0"/>
                <w:sz w:val="24"/>
              </w:rPr>
            </w:pPr>
          </w:p>
        </w:tc>
        <w:tc>
          <w:tcPr>
            <w:tcW w:w="1187" w:type="dxa"/>
          </w:tcPr>
          <w:p w14:paraId="34F1F8C9">
            <w:pPr>
              <w:autoSpaceDE w:val="0"/>
              <w:autoSpaceDN w:val="0"/>
              <w:adjustRightInd w:val="0"/>
              <w:snapToGrid w:val="0"/>
              <w:jc w:val="left"/>
              <w:rPr>
                <w:rFonts w:ascii="宋体" w:hAnsi="宋体"/>
                <w:color w:val="auto"/>
                <w:kern w:val="0"/>
                <w:sz w:val="24"/>
              </w:rPr>
            </w:pPr>
          </w:p>
        </w:tc>
      </w:tr>
      <w:tr w14:paraId="72A5A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C06846F">
            <w:pPr>
              <w:autoSpaceDE w:val="0"/>
              <w:autoSpaceDN w:val="0"/>
              <w:adjustRightInd w:val="0"/>
              <w:snapToGrid w:val="0"/>
              <w:jc w:val="left"/>
              <w:rPr>
                <w:rFonts w:ascii="宋体" w:hAnsi="宋体"/>
                <w:color w:val="auto"/>
                <w:kern w:val="0"/>
                <w:sz w:val="24"/>
              </w:rPr>
            </w:pPr>
          </w:p>
        </w:tc>
        <w:tc>
          <w:tcPr>
            <w:tcW w:w="1453" w:type="dxa"/>
          </w:tcPr>
          <w:p w14:paraId="038E4EF2">
            <w:pPr>
              <w:autoSpaceDE w:val="0"/>
              <w:autoSpaceDN w:val="0"/>
              <w:adjustRightInd w:val="0"/>
              <w:snapToGrid w:val="0"/>
              <w:jc w:val="left"/>
              <w:rPr>
                <w:rFonts w:ascii="宋体" w:hAnsi="宋体"/>
                <w:color w:val="auto"/>
                <w:kern w:val="0"/>
                <w:sz w:val="24"/>
              </w:rPr>
            </w:pPr>
          </w:p>
        </w:tc>
        <w:tc>
          <w:tcPr>
            <w:tcW w:w="1186" w:type="dxa"/>
          </w:tcPr>
          <w:p w14:paraId="4AC6B13E">
            <w:pPr>
              <w:autoSpaceDE w:val="0"/>
              <w:autoSpaceDN w:val="0"/>
              <w:adjustRightInd w:val="0"/>
              <w:snapToGrid w:val="0"/>
              <w:jc w:val="left"/>
              <w:rPr>
                <w:rFonts w:ascii="宋体" w:hAnsi="宋体"/>
                <w:color w:val="auto"/>
                <w:kern w:val="0"/>
                <w:sz w:val="24"/>
              </w:rPr>
            </w:pPr>
          </w:p>
        </w:tc>
        <w:tc>
          <w:tcPr>
            <w:tcW w:w="1188" w:type="dxa"/>
          </w:tcPr>
          <w:p w14:paraId="135B9070">
            <w:pPr>
              <w:autoSpaceDE w:val="0"/>
              <w:autoSpaceDN w:val="0"/>
              <w:adjustRightInd w:val="0"/>
              <w:snapToGrid w:val="0"/>
              <w:jc w:val="left"/>
              <w:rPr>
                <w:rFonts w:ascii="宋体" w:hAnsi="宋体"/>
                <w:color w:val="auto"/>
                <w:kern w:val="0"/>
                <w:sz w:val="24"/>
              </w:rPr>
            </w:pPr>
          </w:p>
        </w:tc>
        <w:tc>
          <w:tcPr>
            <w:tcW w:w="1186" w:type="dxa"/>
          </w:tcPr>
          <w:p w14:paraId="67DD7342">
            <w:pPr>
              <w:autoSpaceDE w:val="0"/>
              <w:autoSpaceDN w:val="0"/>
              <w:adjustRightInd w:val="0"/>
              <w:snapToGrid w:val="0"/>
              <w:jc w:val="left"/>
              <w:rPr>
                <w:rFonts w:ascii="宋体" w:hAnsi="宋体"/>
                <w:color w:val="auto"/>
                <w:kern w:val="0"/>
                <w:sz w:val="24"/>
              </w:rPr>
            </w:pPr>
          </w:p>
        </w:tc>
        <w:tc>
          <w:tcPr>
            <w:tcW w:w="1188" w:type="dxa"/>
          </w:tcPr>
          <w:p w14:paraId="7A18DC6C">
            <w:pPr>
              <w:autoSpaceDE w:val="0"/>
              <w:autoSpaceDN w:val="0"/>
              <w:adjustRightInd w:val="0"/>
              <w:snapToGrid w:val="0"/>
              <w:jc w:val="left"/>
              <w:rPr>
                <w:rFonts w:ascii="宋体" w:hAnsi="宋体"/>
                <w:color w:val="auto"/>
                <w:kern w:val="0"/>
                <w:sz w:val="24"/>
              </w:rPr>
            </w:pPr>
          </w:p>
        </w:tc>
        <w:tc>
          <w:tcPr>
            <w:tcW w:w="1186" w:type="dxa"/>
          </w:tcPr>
          <w:p w14:paraId="4FC866F5">
            <w:pPr>
              <w:autoSpaceDE w:val="0"/>
              <w:autoSpaceDN w:val="0"/>
              <w:adjustRightInd w:val="0"/>
              <w:snapToGrid w:val="0"/>
              <w:jc w:val="left"/>
              <w:rPr>
                <w:rFonts w:ascii="宋体" w:hAnsi="宋体"/>
                <w:color w:val="auto"/>
                <w:kern w:val="0"/>
                <w:sz w:val="24"/>
              </w:rPr>
            </w:pPr>
          </w:p>
        </w:tc>
        <w:tc>
          <w:tcPr>
            <w:tcW w:w="1187" w:type="dxa"/>
          </w:tcPr>
          <w:p w14:paraId="305E90D2">
            <w:pPr>
              <w:autoSpaceDE w:val="0"/>
              <w:autoSpaceDN w:val="0"/>
              <w:adjustRightInd w:val="0"/>
              <w:snapToGrid w:val="0"/>
              <w:jc w:val="left"/>
              <w:rPr>
                <w:rFonts w:ascii="宋体" w:hAnsi="宋体"/>
                <w:color w:val="auto"/>
                <w:kern w:val="0"/>
                <w:sz w:val="24"/>
              </w:rPr>
            </w:pPr>
          </w:p>
        </w:tc>
      </w:tr>
      <w:tr w14:paraId="6E0E3D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ACBEFB8">
            <w:pPr>
              <w:autoSpaceDE w:val="0"/>
              <w:autoSpaceDN w:val="0"/>
              <w:adjustRightInd w:val="0"/>
              <w:snapToGrid w:val="0"/>
              <w:jc w:val="left"/>
              <w:rPr>
                <w:rFonts w:ascii="宋体" w:hAnsi="宋体"/>
                <w:color w:val="auto"/>
                <w:kern w:val="0"/>
                <w:sz w:val="24"/>
              </w:rPr>
            </w:pPr>
          </w:p>
        </w:tc>
        <w:tc>
          <w:tcPr>
            <w:tcW w:w="1453" w:type="dxa"/>
          </w:tcPr>
          <w:p w14:paraId="10CAB0F2">
            <w:pPr>
              <w:autoSpaceDE w:val="0"/>
              <w:autoSpaceDN w:val="0"/>
              <w:adjustRightInd w:val="0"/>
              <w:snapToGrid w:val="0"/>
              <w:jc w:val="left"/>
              <w:rPr>
                <w:rFonts w:ascii="宋体" w:hAnsi="宋体"/>
                <w:color w:val="auto"/>
                <w:kern w:val="0"/>
                <w:sz w:val="24"/>
              </w:rPr>
            </w:pPr>
          </w:p>
        </w:tc>
        <w:tc>
          <w:tcPr>
            <w:tcW w:w="1186" w:type="dxa"/>
          </w:tcPr>
          <w:p w14:paraId="6E859E22">
            <w:pPr>
              <w:autoSpaceDE w:val="0"/>
              <w:autoSpaceDN w:val="0"/>
              <w:adjustRightInd w:val="0"/>
              <w:snapToGrid w:val="0"/>
              <w:jc w:val="left"/>
              <w:rPr>
                <w:rFonts w:ascii="宋体" w:hAnsi="宋体"/>
                <w:color w:val="auto"/>
                <w:kern w:val="0"/>
                <w:sz w:val="24"/>
              </w:rPr>
            </w:pPr>
          </w:p>
        </w:tc>
        <w:tc>
          <w:tcPr>
            <w:tcW w:w="1188" w:type="dxa"/>
          </w:tcPr>
          <w:p w14:paraId="7886D08D">
            <w:pPr>
              <w:autoSpaceDE w:val="0"/>
              <w:autoSpaceDN w:val="0"/>
              <w:adjustRightInd w:val="0"/>
              <w:snapToGrid w:val="0"/>
              <w:jc w:val="left"/>
              <w:rPr>
                <w:rFonts w:ascii="宋体" w:hAnsi="宋体"/>
                <w:color w:val="auto"/>
                <w:kern w:val="0"/>
                <w:sz w:val="24"/>
              </w:rPr>
            </w:pPr>
          </w:p>
        </w:tc>
        <w:tc>
          <w:tcPr>
            <w:tcW w:w="1186" w:type="dxa"/>
          </w:tcPr>
          <w:p w14:paraId="02C6A88E">
            <w:pPr>
              <w:autoSpaceDE w:val="0"/>
              <w:autoSpaceDN w:val="0"/>
              <w:adjustRightInd w:val="0"/>
              <w:snapToGrid w:val="0"/>
              <w:jc w:val="left"/>
              <w:rPr>
                <w:rFonts w:ascii="宋体" w:hAnsi="宋体"/>
                <w:color w:val="auto"/>
                <w:kern w:val="0"/>
                <w:sz w:val="24"/>
              </w:rPr>
            </w:pPr>
          </w:p>
        </w:tc>
        <w:tc>
          <w:tcPr>
            <w:tcW w:w="1188" w:type="dxa"/>
          </w:tcPr>
          <w:p w14:paraId="5FDE9275">
            <w:pPr>
              <w:autoSpaceDE w:val="0"/>
              <w:autoSpaceDN w:val="0"/>
              <w:adjustRightInd w:val="0"/>
              <w:snapToGrid w:val="0"/>
              <w:jc w:val="left"/>
              <w:rPr>
                <w:rFonts w:ascii="宋体" w:hAnsi="宋体"/>
                <w:color w:val="auto"/>
                <w:kern w:val="0"/>
                <w:sz w:val="24"/>
              </w:rPr>
            </w:pPr>
          </w:p>
        </w:tc>
        <w:tc>
          <w:tcPr>
            <w:tcW w:w="1186" w:type="dxa"/>
          </w:tcPr>
          <w:p w14:paraId="5082877B">
            <w:pPr>
              <w:autoSpaceDE w:val="0"/>
              <w:autoSpaceDN w:val="0"/>
              <w:adjustRightInd w:val="0"/>
              <w:snapToGrid w:val="0"/>
              <w:jc w:val="left"/>
              <w:rPr>
                <w:rFonts w:ascii="宋体" w:hAnsi="宋体"/>
                <w:color w:val="auto"/>
                <w:kern w:val="0"/>
                <w:sz w:val="24"/>
              </w:rPr>
            </w:pPr>
          </w:p>
        </w:tc>
        <w:tc>
          <w:tcPr>
            <w:tcW w:w="1187" w:type="dxa"/>
          </w:tcPr>
          <w:p w14:paraId="29AACB5F">
            <w:pPr>
              <w:autoSpaceDE w:val="0"/>
              <w:autoSpaceDN w:val="0"/>
              <w:adjustRightInd w:val="0"/>
              <w:snapToGrid w:val="0"/>
              <w:jc w:val="left"/>
              <w:rPr>
                <w:rFonts w:ascii="宋体" w:hAnsi="宋体"/>
                <w:color w:val="auto"/>
                <w:kern w:val="0"/>
                <w:sz w:val="24"/>
              </w:rPr>
            </w:pPr>
          </w:p>
        </w:tc>
      </w:tr>
      <w:tr w14:paraId="2A7C24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D2DA7DC">
            <w:pPr>
              <w:autoSpaceDE w:val="0"/>
              <w:autoSpaceDN w:val="0"/>
              <w:adjustRightInd w:val="0"/>
              <w:snapToGrid w:val="0"/>
              <w:jc w:val="left"/>
              <w:rPr>
                <w:rFonts w:ascii="宋体" w:hAnsi="宋体"/>
                <w:color w:val="auto"/>
                <w:kern w:val="0"/>
                <w:sz w:val="24"/>
              </w:rPr>
            </w:pPr>
          </w:p>
        </w:tc>
        <w:tc>
          <w:tcPr>
            <w:tcW w:w="1453" w:type="dxa"/>
          </w:tcPr>
          <w:p w14:paraId="22053108">
            <w:pPr>
              <w:autoSpaceDE w:val="0"/>
              <w:autoSpaceDN w:val="0"/>
              <w:adjustRightInd w:val="0"/>
              <w:snapToGrid w:val="0"/>
              <w:jc w:val="left"/>
              <w:rPr>
                <w:rFonts w:ascii="宋体" w:hAnsi="宋体"/>
                <w:color w:val="auto"/>
                <w:kern w:val="0"/>
                <w:sz w:val="24"/>
              </w:rPr>
            </w:pPr>
          </w:p>
        </w:tc>
        <w:tc>
          <w:tcPr>
            <w:tcW w:w="1186" w:type="dxa"/>
          </w:tcPr>
          <w:p w14:paraId="1573FFA7">
            <w:pPr>
              <w:autoSpaceDE w:val="0"/>
              <w:autoSpaceDN w:val="0"/>
              <w:adjustRightInd w:val="0"/>
              <w:snapToGrid w:val="0"/>
              <w:jc w:val="left"/>
              <w:rPr>
                <w:rFonts w:ascii="宋体" w:hAnsi="宋体"/>
                <w:color w:val="auto"/>
                <w:kern w:val="0"/>
                <w:sz w:val="24"/>
              </w:rPr>
            </w:pPr>
          </w:p>
        </w:tc>
        <w:tc>
          <w:tcPr>
            <w:tcW w:w="1188" w:type="dxa"/>
          </w:tcPr>
          <w:p w14:paraId="538865E4">
            <w:pPr>
              <w:autoSpaceDE w:val="0"/>
              <w:autoSpaceDN w:val="0"/>
              <w:adjustRightInd w:val="0"/>
              <w:snapToGrid w:val="0"/>
              <w:jc w:val="left"/>
              <w:rPr>
                <w:rFonts w:ascii="宋体" w:hAnsi="宋体"/>
                <w:color w:val="auto"/>
                <w:kern w:val="0"/>
                <w:sz w:val="24"/>
              </w:rPr>
            </w:pPr>
          </w:p>
        </w:tc>
        <w:tc>
          <w:tcPr>
            <w:tcW w:w="1186" w:type="dxa"/>
          </w:tcPr>
          <w:p w14:paraId="66675869">
            <w:pPr>
              <w:autoSpaceDE w:val="0"/>
              <w:autoSpaceDN w:val="0"/>
              <w:adjustRightInd w:val="0"/>
              <w:snapToGrid w:val="0"/>
              <w:jc w:val="left"/>
              <w:rPr>
                <w:rFonts w:ascii="宋体" w:hAnsi="宋体"/>
                <w:color w:val="auto"/>
                <w:kern w:val="0"/>
                <w:sz w:val="24"/>
              </w:rPr>
            </w:pPr>
          </w:p>
        </w:tc>
        <w:tc>
          <w:tcPr>
            <w:tcW w:w="1188" w:type="dxa"/>
          </w:tcPr>
          <w:p w14:paraId="1118BE3C">
            <w:pPr>
              <w:autoSpaceDE w:val="0"/>
              <w:autoSpaceDN w:val="0"/>
              <w:adjustRightInd w:val="0"/>
              <w:snapToGrid w:val="0"/>
              <w:jc w:val="left"/>
              <w:rPr>
                <w:rFonts w:ascii="宋体" w:hAnsi="宋体"/>
                <w:color w:val="auto"/>
                <w:kern w:val="0"/>
                <w:sz w:val="24"/>
              </w:rPr>
            </w:pPr>
          </w:p>
        </w:tc>
        <w:tc>
          <w:tcPr>
            <w:tcW w:w="1186" w:type="dxa"/>
          </w:tcPr>
          <w:p w14:paraId="4153AE87">
            <w:pPr>
              <w:autoSpaceDE w:val="0"/>
              <w:autoSpaceDN w:val="0"/>
              <w:adjustRightInd w:val="0"/>
              <w:snapToGrid w:val="0"/>
              <w:jc w:val="left"/>
              <w:rPr>
                <w:rFonts w:ascii="宋体" w:hAnsi="宋体"/>
                <w:color w:val="auto"/>
                <w:kern w:val="0"/>
                <w:sz w:val="24"/>
              </w:rPr>
            </w:pPr>
          </w:p>
        </w:tc>
        <w:tc>
          <w:tcPr>
            <w:tcW w:w="1187" w:type="dxa"/>
          </w:tcPr>
          <w:p w14:paraId="15546F28">
            <w:pPr>
              <w:autoSpaceDE w:val="0"/>
              <w:autoSpaceDN w:val="0"/>
              <w:adjustRightInd w:val="0"/>
              <w:snapToGrid w:val="0"/>
              <w:jc w:val="left"/>
              <w:rPr>
                <w:rFonts w:ascii="宋体" w:hAnsi="宋体"/>
                <w:color w:val="auto"/>
                <w:kern w:val="0"/>
                <w:sz w:val="24"/>
              </w:rPr>
            </w:pPr>
          </w:p>
        </w:tc>
      </w:tr>
      <w:tr w14:paraId="3FF714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46C2AA8">
            <w:pPr>
              <w:autoSpaceDE w:val="0"/>
              <w:autoSpaceDN w:val="0"/>
              <w:adjustRightInd w:val="0"/>
              <w:snapToGrid w:val="0"/>
              <w:jc w:val="left"/>
              <w:rPr>
                <w:rFonts w:ascii="宋体" w:hAnsi="宋体"/>
                <w:color w:val="auto"/>
                <w:kern w:val="0"/>
                <w:sz w:val="24"/>
              </w:rPr>
            </w:pPr>
          </w:p>
        </w:tc>
        <w:tc>
          <w:tcPr>
            <w:tcW w:w="1453" w:type="dxa"/>
          </w:tcPr>
          <w:p w14:paraId="557F7C86">
            <w:pPr>
              <w:autoSpaceDE w:val="0"/>
              <w:autoSpaceDN w:val="0"/>
              <w:adjustRightInd w:val="0"/>
              <w:snapToGrid w:val="0"/>
              <w:jc w:val="left"/>
              <w:rPr>
                <w:rFonts w:ascii="宋体" w:hAnsi="宋体"/>
                <w:color w:val="auto"/>
                <w:kern w:val="0"/>
                <w:sz w:val="24"/>
              </w:rPr>
            </w:pPr>
          </w:p>
        </w:tc>
        <w:tc>
          <w:tcPr>
            <w:tcW w:w="1186" w:type="dxa"/>
          </w:tcPr>
          <w:p w14:paraId="2A8D00D3">
            <w:pPr>
              <w:autoSpaceDE w:val="0"/>
              <w:autoSpaceDN w:val="0"/>
              <w:adjustRightInd w:val="0"/>
              <w:snapToGrid w:val="0"/>
              <w:jc w:val="left"/>
              <w:rPr>
                <w:rFonts w:ascii="宋体" w:hAnsi="宋体"/>
                <w:color w:val="auto"/>
                <w:kern w:val="0"/>
                <w:sz w:val="24"/>
              </w:rPr>
            </w:pPr>
          </w:p>
        </w:tc>
        <w:tc>
          <w:tcPr>
            <w:tcW w:w="1188" w:type="dxa"/>
          </w:tcPr>
          <w:p w14:paraId="6F33718F">
            <w:pPr>
              <w:autoSpaceDE w:val="0"/>
              <w:autoSpaceDN w:val="0"/>
              <w:adjustRightInd w:val="0"/>
              <w:snapToGrid w:val="0"/>
              <w:jc w:val="left"/>
              <w:rPr>
                <w:rFonts w:ascii="宋体" w:hAnsi="宋体"/>
                <w:color w:val="auto"/>
                <w:kern w:val="0"/>
                <w:sz w:val="24"/>
              </w:rPr>
            </w:pPr>
          </w:p>
        </w:tc>
        <w:tc>
          <w:tcPr>
            <w:tcW w:w="1186" w:type="dxa"/>
          </w:tcPr>
          <w:p w14:paraId="7D0BAC94">
            <w:pPr>
              <w:autoSpaceDE w:val="0"/>
              <w:autoSpaceDN w:val="0"/>
              <w:adjustRightInd w:val="0"/>
              <w:snapToGrid w:val="0"/>
              <w:jc w:val="left"/>
              <w:rPr>
                <w:rFonts w:ascii="宋体" w:hAnsi="宋体"/>
                <w:color w:val="auto"/>
                <w:kern w:val="0"/>
                <w:sz w:val="24"/>
              </w:rPr>
            </w:pPr>
          </w:p>
        </w:tc>
        <w:tc>
          <w:tcPr>
            <w:tcW w:w="1188" w:type="dxa"/>
          </w:tcPr>
          <w:p w14:paraId="713BE7C1">
            <w:pPr>
              <w:autoSpaceDE w:val="0"/>
              <w:autoSpaceDN w:val="0"/>
              <w:adjustRightInd w:val="0"/>
              <w:snapToGrid w:val="0"/>
              <w:jc w:val="left"/>
              <w:rPr>
                <w:rFonts w:ascii="宋体" w:hAnsi="宋体"/>
                <w:color w:val="auto"/>
                <w:kern w:val="0"/>
                <w:sz w:val="24"/>
              </w:rPr>
            </w:pPr>
          </w:p>
        </w:tc>
        <w:tc>
          <w:tcPr>
            <w:tcW w:w="1186" w:type="dxa"/>
          </w:tcPr>
          <w:p w14:paraId="747F4439">
            <w:pPr>
              <w:autoSpaceDE w:val="0"/>
              <w:autoSpaceDN w:val="0"/>
              <w:adjustRightInd w:val="0"/>
              <w:snapToGrid w:val="0"/>
              <w:jc w:val="left"/>
              <w:rPr>
                <w:rFonts w:ascii="宋体" w:hAnsi="宋体"/>
                <w:color w:val="auto"/>
                <w:kern w:val="0"/>
                <w:sz w:val="24"/>
              </w:rPr>
            </w:pPr>
          </w:p>
        </w:tc>
        <w:tc>
          <w:tcPr>
            <w:tcW w:w="1187" w:type="dxa"/>
          </w:tcPr>
          <w:p w14:paraId="76FF4EDA">
            <w:pPr>
              <w:autoSpaceDE w:val="0"/>
              <w:autoSpaceDN w:val="0"/>
              <w:adjustRightInd w:val="0"/>
              <w:snapToGrid w:val="0"/>
              <w:jc w:val="left"/>
              <w:rPr>
                <w:rFonts w:ascii="宋体" w:hAnsi="宋体"/>
                <w:color w:val="auto"/>
                <w:kern w:val="0"/>
                <w:sz w:val="24"/>
              </w:rPr>
            </w:pPr>
          </w:p>
        </w:tc>
      </w:tr>
      <w:tr w14:paraId="12F5F4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A1CF33D">
            <w:pPr>
              <w:autoSpaceDE w:val="0"/>
              <w:autoSpaceDN w:val="0"/>
              <w:adjustRightInd w:val="0"/>
              <w:snapToGrid w:val="0"/>
              <w:jc w:val="left"/>
              <w:rPr>
                <w:rFonts w:ascii="宋体" w:hAnsi="宋体"/>
                <w:color w:val="auto"/>
                <w:kern w:val="0"/>
                <w:sz w:val="24"/>
              </w:rPr>
            </w:pPr>
          </w:p>
        </w:tc>
        <w:tc>
          <w:tcPr>
            <w:tcW w:w="1453" w:type="dxa"/>
          </w:tcPr>
          <w:p w14:paraId="026A7BBA">
            <w:pPr>
              <w:autoSpaceDE w:val="0"/>
              <w:autoSpaceDN w:val="0"/>
              <w:adjustRightInd w:val="0"/>
              <w:snapToGrid w:val="0"/>
              <w:jc w:val="left"/>
              <w:rPr>
                <w:rFonts w:ascii="宋体" w:hAnsi="宋体"/>
                <w:color w:val="auto"/>
                <w:kern w:val="0"/>
                <w:sz w:val="24"/>
              </w:rPr>
            </w:pPr>
          </w:p>
        </w:tc>
        <w:tc>
          <w:tcPr>
            <w:tcW w:w="1186" w:type="dxa"/>
          </w:tcPr>
          <w:p w14:paraId="4C7B6912">
            <w:pPr>
              <w:autoSpaceDE w:val="0"/>
              <w:autoSpaceDN w:val="0"/>
              <w:adjustRightInd w:val="0"/>
              <w:snapToGrid w:val="0"/>
              <w:jc w:val="left"/>
              <w:rPr>
                <w:rFonts w:ascii="宋体" w:hAnsi="宋体"/>
                <w:color w:val="auto"/>
                <w:kern w:val="0"/>
                <w:sz w:val="24"/>
              </w:rPr>
            </w:pPr>
          </w:p>
        </w:tc>
        <w:tc>
          <w:tcPr>
            <w:tcW w:w="1188" w:type="dxa"/>
          </w:tcPr>
          <w:p w14:paraId="6E8687C9">
            <w:pPr>
              <w:autoSpaceDE w:val="0"/>
              <w:autoSpaceDN w:val="0"/>
              <w:adjustRightInd w:val="0"/>
              <w:snapToGrid w:val="0"/>
              <w:jc w:val="left"/>
              <w:rPr>
                <w:rFonts w:ascii="宋体" w:hAnsi="宋体"/>
                <w:color w:val="auto"/>
                <w:kern w:val="0"/>
                <w:sz w:val="24"/>
              </w:rPr>
            </w:pPr>
          </w:p>
        </w:tc>
        <w:tc>
          <w:tcPr>
            <w:tcW w:w="1186" w:type="dxa"/>
          </w:tcPr>
          <w:p w14:paraId="45964813">
            <w:pPr>
              <w:autoSpaceDE w:val="0"/>
              <w:autoSpaceDN w:val="0"/>
              <w:adjustRightInd w:val="0"/>
              <w:snapToGrid w:val="0"/>
              <w:jc w:val="left"/>
              <w:rPr>
                <w:rFonts w:ascii="宋体" w:hAnsi="宋体"/>
                <w:color w:val="auto"/>
                <w:kern w:val="0"/>
                <w:sz w:val="24"/>
              </w:rPr>
            </w:pPr>
          </w:p>
        </w:tc>
        <w:tc>
          <w:tcPr>
            <w:tcW w:w="1188" w:type="dxa"/>
          </w:tcPr>
          <w:p w14:paraId="41ED3D59">
            <w:pPr>
              <w:autoSpaceDE w:val="0"/>
              <w:autoSpaceDN w:val="0"/>
              <w:adjustRightInd w:val="0"/>
              <w:snapToGrid w:val="0"/>
              <w:jc w:val="left"/>
              <w:rPr>
                <w:rFonts w:ascii="宋体" w:hAnsi="宋体"/>
                <w:color w:val="auto"/>
                <w:kern w:val="0"/>
                <w:sz w:val="24"/>
              </w:rPr>
            </w:pPr>
          </w:p>
        </w:tc>
        <w:tc>
          <w:tcPr>
            <w:tcW w:w="1186" w:type="dxa"/>
          </w:tcPr>
          <w:p w14:paraId="467A03FD">
            <w:pPr>
              <w:autoSpaceDE w:val="0"/>
              <w:autoSpaceDN w:val="0"/>
              <w:adjustRightInd w:val="0"/>
              <w:snapToGrid w:val="0"/>
              <w:jc w:val="left"/>
              <w:rPr>
                <w:rFonts w:ascii="宋体" w:hAnsi="宋体"/>
                <w:color w:val="auto"/>
                <w:kern w:val="0"/>
                <w:sz w:val="24"/>
              </w:rPr>
            </w:pPr>
          </w:p>
        </w:tc>
        <w:tc>
          <w:tcPr>
            <w:tcW w:w="1187" w:type="dxa"/>
          </w:tcPr>
          <w:p w14:paraId="421CFC39">
            <w:pPr>
              <w:autoSpaceDE w:val="0"/>
              <w:autoSpaceDN w:val="0"/>
              <w:adjustRightInd w:val="0"/>
              <w:snapToGrid w:val="0"/>
              <w:jc w:val="left"/>
              <w:rPr>
                <w:rFonts w:ascii="宋体" w:hAnsi="宋体"/>
                <w:color w:val="auto"/>
                <w:kern w:val="0"/>
                <w:sz w:val="24"/>
              </w:rPr>
            </w:pPr>
          </w:p>
        </w:tc>
      </w:tr>
      <w:tr w14:paraId="59B672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0425E1C">
            <w:pPr>
              <w:autoSpaceDE w:val="0"/>
              <w:autoSpaceDN w:val="0"/>
              <w:adjustRightInd w:val="0"/>
              <w:snapToGrid w:val="0"/>
              <w:jc w:val="left"/>
              <w:rPr>
                <w:rFonts w:ascii="宋体" w:hAnsi="宋体"/>
                <w:color w:val="auto"/>
                <w:kern w:val="0"/>
                <w:sz w:val="24"/>
              </w:rPr>
            </w:pPr>
          </w:p>
        </w:tc>
        <w:tc>
          <w:tcPr>
            <w:tcW w:w="1453" w:type="dxa"/>
          </w:tcPr>
          <w:p w14:paraId="31F9CEA7">
            <w:pPr>
              <w:autoSpaceDE w:val="0"/>
              <w:autoSpaceDN w:val="0"/>
              <w:adjustRightInd w:val="0"/>
              <w:snapToGrid w:val="0"/>
              <w:jc w:val="left"/>
              <w:rPr>
                <w:rFonts w:ascii="宋体" w:hAnsi="宋体"/>
                <w:color w:val="auto"/>
                <w:kern w:val="0"/>
                <w:sz w:val="24"/>
              </w:rPr>
            </w:pPr>
          </w:p>
        </w:tc>
        <w:tc>
          <w:tcPr>
            <w:tcW w:w="1186" w:type="dxa"/>
          </w:tcPr>
          <w:p w14:paraId="29B62147">
            <w:pPr>
              <w:autoSpaceDE w:val="0"/>
              <w:autoSpaceDN w:val="0"/>
              <w:adjustRightInd w:val="0"/>
              <w:snapToGrid w:val="0"/>
              <w:jc w:val="left"/>
              <w:rPr>
                <w:rFonts w:ascii="宋体" w:hAnsi="宋体"/>
                <w:color w:val="auto"/>
                <w:kern w:val="0"/>
                <w:sz w:val="24"/>
              </w:rPr>
            </w:pPr>
          </w:p>
        </w:tc>
        <w:tc>
          <w:tcPr>
            <w:tcW w:w="1188" w:type="dxa"/>
          </w:tcPr>
          <w:p w14:paraId="4E2F180A">
            <w:pPr>
              <w:autoSpaceDE w:val="0"/>
              <w:autoSpaceDN w:val="0"/>
              <w:adjustRightInd w:val="0"/>
              <w:snapToGrid w:val="0"/>
              <w:jc w:val="left"/>
              <w:rPr>
                <w:rFonts w:ascii="宋体" w:hAnsi="宋体"/>
                <w:color w:val="auto"/>
                <w:kern w:val="0"/>
                <w:sz w:val="24"/>
              </w:rPr>
            </w:pPr>
          </w:p>
        </w:tc>
        <w:tc>
          <w:tcPr>
            <w:tcW w:w="1186" w:type="dxa"/>
          </w:tcPr>
          <w:p w14:paraId="3E3819EC">
            <w:pPr>
              <w:autoSpaceDE w:val="0"/>
              <w:autoSpaceDN w:val="0"/>
              <w:adjustRightInd w:val="0"/>
              <w:snapToGrid w:val="0"/>
              <w:jc w:val="left"/>
              <w:rPr>
                <w:rFonts w:ascii="宋体" w:hAnsi="宋体"/>
                <w:color w:val="auto"/>
                <w:kern w:val="0"/>
                <w:sz w:val="24"/>
              </w:rPr>
            </w:pPr>
          </w:p>
        </w:tc>
        <w:tc>
          <w:tcPr>
            <w:tcW w:w="1188" w:type="dxa"/>
          </w:tcPr>
          <w:p w14:paraId="1ECBD748">
            <w:pPr>
              <w:autoSpaceDE w:val="0"/>
              <w:autoSpaceDN w:val="0"/>
              <w:adjustRightInd w:val="0"/>
              <w:snapToGrid w:val="0"/>
              <w:jc w:val="left"/>
              <w:rPr>
                <w:rFonts w:ascii="宋体" w:hAnsi="宋体"/>
                <w:color w:val="auto"/>
                <w:kern w:val="0"/>
                <w:sz w:val="24"/>
              </w:rPr>
            </w:pPr>
          </w:p>
        </w:tc>
        <w:tc>
          <w:tcPr>
            <w:tcW w:w="1186" w:type="dxa"/>
          </w:tcPr>
          <w:p w14:paraId="1926F1B5">
            <w:pPr>
              <w:autoSpaceDE w:val="0"/>
              <w:autoSpaceDN w:val="0"/>
              <w:adjustRightInd w:val="0"/>
              <w:snapToGrid w:val="0"/>
              <w:jc w:val="left"/>
              <w:rPr>
                <w:rFonts w:ascii="宋体" w:hAnsi="宋体"/>
                <w:color w:val="auto"/>
                <w:kern w:val="0"/>
                <w:sz w:val="24"/>
              </w:rPr>
            </w:pPr>
          </w:p>
        </w:tc>
        <w:tc>
          <w:tcPr>
            <w:tcW w:w="1187" w:type="dxa"/>
          </w:tcPr>
          <w:p w14:paraId="722C874F">
            <w:pPr>
              <w:autoSpaceDE w:val="0"/>
              <w:autoSpaceDN w:val="0"/>
              <w:adjustRightInd w:val="0"/>
              <w:snapToGrid w:val="0"/>
              <w:jc w:val="left"/>
              <w:rPr>
                <w:rFonts w:ascii="宋体" w:hAnsi="宋体"/>
                <w:color w:val="auto"/>
                <w:kern w:val="0"/>
                <w:sz w:val="24"/>
              </w:rPr>
            </w:pPr>
          </w:p>
        </w:tc>
      </w:tr>
      <w:tr w14:paraId="777794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68FE2B8">
            <w:pPr>
              <w:autoSpaceDE w:val="0"/>
              <w:autoSpaceDN w:val="0"/>
              <w:adjustRightInd w:val="0"/>
              <w:snapToGrid w:val="0"/>
              <w:jc w:val="left"/>
              <w:rPr>
                <w:rFonts w:ascii="宋体" w:hAnsi="宋体"/>
                <w:color w:val="auto"/>
                <w:kern w:val="0"/>
                <w:sz w:val="24"/>
              </w:rPr>
            </w:pPr>
          </w:p>
        </w:tc>
        <w:tc>
          <w:tcPr>
            <w:tcW w:w="1453" w:type="dxa"/>
          </w:tcPr>
          <w:p w14:paraId="3C3C41BE">
            <w:pPr>
              <w:autoSpaceDE w:val="0"/>
              <w:autoSpaceDN w:val="0"/>
              <w:adjustRightInd w:val="0"/>
              <w:snapToGrid w:val="0"/>
              <w:jc w:val="left"/>
              <w:rPr>
                <w:rFonts w:ascii="宋体" w:hAnsi="宋体"/>
                <w:color w:val="auto"/>
                <w:kern w:val="0"/>
                <w:sz w:val="24"/>
              </w:rPr>
            </w:pPr>
          </w:p>
        </w:tc>
        <w:tc>
          <w:tcPr>
            <w:tcW w:w="1186" w:type="dxa"/>
          </w:tcPr>
          <w:p w14:paraId="2C84585C">
            <w:pPr>
              <w:autoSpaceDE w:val="0"/>
              <w:autoSpaceDN w:val="0"/>
              <w:adjustRightInd w:val="0"/>
              <w:snapToGrid w:val="0"/>
              <w:jc w:val="left"/>
              <w:rPr>
                <w:rFonts w:ascii="宋体" w:hAnsi="宋体"/>
                <w:color w:val="auto"/>
                <w:kern w:val="0"/>
                <w:sz w:val="24"/>
              </w:rPr>
            </w:pPr>
          </w:p>
        </w:tc>
        <w:tc>
          <w:tcPr>
            <w:tcW w:w="1188" w:type="dxa"/>
          </w:tcPr>
          <w:p w14:paraId="123ADEED">
            <w:pPr>
              <w:autoSpaceDE w:val="0"/>
              <w:autoSpaceDN w:val="0"/>
              <w:adjustRightInd w:val="0"/>
              <w:snapToGrid w:val="0"/>
              <w:jc w:val="left"/>
              <w:rPr>
                <w:rFonts w:ascii="宋体" w:hAnsi="宋体"/>
                <w:color w:val="auto"/>
                <w:kern w:val="0"/>
                <w:sz w:val="24"/>
              </w:rPr>
            </w:pPr>
          </w:p>
        </w:tc>
        <w:tc>
          <w:tcPr>
            <w:tcW w:w="1186" w:type="dxa"/>
          </w:tcPr>
          <w:p w14:paraId="1021CF2A">
            <w:pPr>
              <w:autoSpaceDE w:val="0"/>
              <w:autoSpaceDN w:val="0"/>
              <w:adjustRightInd w:val="0"/>
              <w:snapToGrid w:val="0"/>
              <w:jc w:val="left"/>
              <w:rPr>
                <w:rFonts w:ascii="宋体" w:hAnsi="宋体"/>
                <w:color w:val="auto"/>
                <w:kern w:val="0"/>
                <w:sz w:val="24"/>
              </w:rPr>
            </w:pPr>
          </w:p>
        </w:tc>
        <w:tc>
          <w:tcPr>
            <w:tcW w:w="1188" w:type="dxa"/>
          </w:tcPr>
          <w:p w14:paraId="79E9D0C7">
            <w:pPr>
              <w:autoSpaceDE w:val="0"/>
              <w:autoSpaceDN w:val="0"/>
              <w:adjustRightInd w:val="0"/>
              <w:snapToGrid w:val="0"/>
              <w:jc w:val="left"/>
              <w:rPr>
                <w:rFonts w:ascii="宋体" w:hAnsi="宋体"/>
                <w:color w:val="auto"/>
                <w:kern w:val="0"/>
                <w:sz w:val="24"/>
              </w:rPr>
            </w:pPr>
          </w:p>
        </w:tc>
        <w:tc>
          <w:tcPr>
            <w:tcW w:w="1186" w:type="dxa"/>
          </w:tcPr>
          <w:p w14:paraId="1E700EE9">
            <w:pPr>
              <w:autoSpaceDE w:val="0"/>
              <w:autoSpaceDN w:val="0"/>
              <w:adjustRightInd w:val="0"/>
              <w:snapToGrid w:val="0"/>
              <w:jc w:val="left"/>
              <w:rPr>
                <w:rFonts w:ascii="宋体" w:hAnsi="宋体"/>
                <w:color w:val="auto"/>
                <w:kern w:val="0"/>
                <w:sz w:val="24"/>
              </w:rPr>
            </w:pPr>
          </w:p>
        </w:tc>
        <w:tc>
          <w:tcPr>
            <w:tcW w:w="1187" w:type="dxa"/>
          </w:tcPr>
          <w:p w14:paraId="4CAD049A">
            <w:pPr>
              <w:autoSpaceDE w:val="0"/>
              <w:autoSpaceDN w:val="0"/>
              <w:adjustRightInd w:val="0"/>
              <w:snapToGrid w:val="0"/>
              <w:jc w:val="left"/>
              <w:rPr>
                <w:rFonts w:ascii="宋体" w:hAnsi="宋体"/>
                <w:color w:val="auto"/>
                <w:kern w:val="0"/>
                <w:sz w:val="24"/>
              </w:rPr>
            </w:pPr>
          </w:p>
        </w:tc>
      </w:tr>
      <w:tr w14:paraId="7D8B84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D147DFF">
            <w:pPr>
              <w:autoSpaceDE w:val="0"/>
              <w:autoSpaceDN w:val="0"/>
              <w:adjustRightInd w:val="0"/>
              <w:snapToGrid w:val="0"/>
              <w:jc w:val="left"/>
              <w:rPr>
                <w:rFonts w:ascii="宋体" w:hAnsi="宋体"/>
                <w:color w:val="auto"/>
                <w:kern w:val="0"/>
                <w:sz w:val="24"/>
              </w:rPr>
            </w:pPr>
          </w:p>
        </w:tc>
        <w:tc>
          <w:tcPr>
            <w:tcW w:w="1453" w:type="dxa"/>
          </w:tcPr>
          <w:p w14:paraId="685436C0">
            <w:pPr>
              <w:autoSpaceDE w:val="0"/>
              <w:autoSpaceDN w:val="0"/>
              <w:adjustRightInd w:val="0"/>
              <w:snapToGrid w:val="0"/>
              <w:jc w:val="left"/>
              <w:rPr>
                <w:rFonts w:ascii="宋体" w:hAnsi="宋体"/>
                <w:color w:val="auto"/>
                <w:kern w:val="0"/>
                <w:sz w:val="24"/>
              </w:rPr>
            </w:pPr>
          </w:p>
        </w:tc>
        <w:tc>
          <w:tcPr>
            <w:tcW w:w="1186" w:type="dxa"/>
          </w:tcPr>
          <w:p w14:paraId="73371828">
            <w:pPr>
              <w:autoSpaceDE w:val="0"/>
              <w:autoSpaceDN w:val="0"/>
              <w:adjustRightInd w:val="0"/>
              <w:snapToGrid w:val="0"/>
              <w:jc w:val="left"/>
              <w:rPr>
                <w:rFonts w:ascii="宋体" w:hAnsi="宋体"/>
                <w:color w:val="auto"/>
                <w:kern w:val="0"/>
                <w:sz w:val="24"/>
              </w:rPr>
            </w:pPr>
          </w:p>
        </w:tc>
        <w:tc>
          <w:tcPr>
            <w:tcW w:w="1188" w:type="dxa"/>
          </w:tcPr>
          <w:p w14:paraId="2E9BBA84">
            <w:pPr>
              <w:autoSpaceDE w:val="0"/>
              <w:autoSpaceDN w:val="0"/>
              <w:adjustRightInd w:val="0"/>
              <w:snapToGrid w:val="0"/>
              <w:jc w:val="left"/>
              <w:rPr>
                <w:rFonts w:ascii="宋体" w:hAnsi="宋体"/>
                <w:color w:val="auto"/>
                <w:kern w:val="0"/>
                <w:sz w:val="24"/>
              </w:rPr>
            </w:pPr>
          </w:p>
        </w:tc>
        <w:tc>
          <w:tcPr>
            <w:tcW w:w="1186" w:type="dxa"/>
          </w:tcPr>
          <w:p w14:paraId="0D4F9302">
            <w:pPr>
              <w:autoSpaceDE w:val="0"/>
              <w:autoSpaceDN w:val="0"/>
              <w:adjustRightInd w:val="0"/>
              <w:snapToGrid w:val="0"/>
              <w:jc w:val="left"/>
              <w:rPr>
                <w:rFonts w:ascii="宋体" w:hAnsi="宋体"/>
                <w:color w:val="auto"/>
                <w:kern w:val="0"/>
                <w:sz w:val="24"/>
              </w:rPr>
            </w:pPr>
          </w:p>
        </w:tc>
        <w:tc>
          <w:tcPr>
            <w:tcW w:w="1188" w:type="dxa"/>
          </w:tcPr>
          <w:p w14:paraId="469454E9">
            <w:pPr>
              <w:autoSpaceDE w:val="0"/>
              <w:autoSpaceDN w:val="0"/>
              <w:adjustRightInd w:val="0"/>
              <w:snapToGrid w:val="0"/>
              <w:jc w:val="left"/>
              <w:rPr>
                <w:rFonts w:ascii="宋体" w:hAnsi="宋体"/>
                <w:color w:val="auto"/>
                <w:kern w:val="0"/>
                <w:sz w:val="24"/>
              </w:rPr>
            </w:pPr>
          </w:p>
        </w:tc>
        <w:tc>
          <w:tcPr>
            <w:tcW w:w="1186" w:type="dxa"/>
          </w:tcPr>
          <w:p w14:paraId="5828A22C">
            <w:pPr>
              <w:autoSpaceDE w:val="0"/>
              <w:autoSpaceDN w:val="0"/>
              <w:adjustRightInd w:val="0"/>
              <w:snapToGrid w:val="0"/>
              <w:jc w:val="left"/>
              <w:rPr>
                <w:rFonts w:ascii="宋体" w:hAnsi="宋体"/>
                <w:color w:val="auto"/>
                <w:kern w:val="0"/>
                <w:sz w:val="24"/>
              </w:rPr>
            </w:pPr>
          </w:p>
        </w:tc>
        <w:tc>
          <w:tcPr>
            <w:tcW w:w="1187" w:type="dxa"/>
          </w:tcPr>
          <w:p w14:paraId="5F5837B9">
            <w:pPr>
              <w:autoSpaceDE w:val="0"/>
              <w:autoSpaceDN w:val="0"/>
              <w:adjustRightInd w:val="0"/>
              <w:snapToGrid w:val="0"/>
              <w:jc w:val="left"/>
              <w:rPr>
                <w:rFonts w:ascii="宋体" w:hAnsi="宋体"/>
                <w:color w:val="auto"/>
                <w:kern w:val="0"/>
                <w:sz w:val="24"/>
              </w:rPr>
            </w:pPr>
          </w:p>
        </w:tc>
      </w:tr>
      <w:tr w14:paraId="4F98A6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572A149">
            <w:pPr>
              <w:autoSpaceDE w:val="0"/>
              <w:autoSpaceDN w:val="0"/>
              <w:adjustRightInd w:val="0"/>
              <w:snapToGrid w:val="0"/>
              <w:jc w:val="left"/>
              <w:rPr>
                <w:rFonts w:ascii="宋体" w:hAnsi="宋体"/>
                <w:color w:val="auto"/>
                <w:kern w:val="0"/>
                <w:sz w:val="24"/>
              </w:rPr>
            </w:pPr>
          </w:p>
        </w:tc>
        <w:tc>
          <w:tcPr>
            <w:tcW w:w="1453" w:type="dxa"/>
          </w:tcPr>
          <w:p w14:paraId="4BB92AF3">
            <w:pPr>
              <w:autoSpaceDE w:val="0"/>
              <w:autoSpaceDN w:val="0"/>
              <w:adjustRightInd w:val="0"/>
              <w:snapToGrid w:val="0"/>
              <w:jc w:val="left"/>
              <w:rPr>
                <w:rFonts w:ascii="宋体" w:hAnsi="宋体"/>
                <w:color w:val="auto"/>
                <w:kern w:val="0"/>
                <w:sz w:val="24"/>
              </w:rPr>
            </w:pPr>
          </w:p>
        </w:tc>
        <w:tc>
          <w:tcPr>
            <w:tcW w:w="1186" w:type="dxa"/>
          </w:tcPr>
          <w:p w14:paraId="4A01E9E3">
            <w:pPr>
              <w:autoSpaceDE w:val="0"/>
              <w:autoSpaceDN w:val="0"/>
              <w:adjustRightInd w:val="0"/>
              <w:snapToGrid w:val="0"/>
              <w:jc w:val="left"/>
              <w:rPr>
                <w:rFonts w:ascii="宋体" w:hAnsi="宋体"/>
                <w:color w:val="auto"/>
                <w:kern w:val="0"/>
                <w:sz w:val="24"/>
              </w:rPr>
            </w:pPr>
          </w:p>
        </w:tc>
        <w:tc>
          <w:tcPr>
            <w:tcW w:w="1188" w:type="dxa"/>
          </w:tcPr>
          <w:p w14:paraId="74DE59E8">
            <w:pPr>
              <w:autoSpaceDE w:val="0"/>
              <w:autoSpaceDN w:val="0"/>
              <w:adjustRightInd w:val="0"/>
              <w:snapToGrid w:val="0"/>
              <w:jc w:val="left"/>
              <w:rPr>
                <w:rFonts w:ascii="宋体" w:hAnsi="宋体"/>
                <w:color w:val="auto"/>
                <w:kern w:val="0"/>
                <w:sz w:val="24"/>
              </w:rPr>
            </w:pPr>
          </w:p>
        </w:tc>
        <w:tc>
          <w:tcPr>
            <w:tcW w:w="1186" w:type="dxa"/>
          </w:tcPr>
          <w:p w14:paraId="64CF9F81">
            <w:pPr>
              <w:autoSpaceDE w:val="0"/>
              <w:autoSpaceDN w:val="0"/>
              <w:adjustRightInd w:val="0"/>
              <w:snapToGrid w:val="0"/>
              <w:jc w:val="left"/>
              <w:rPr>
                <w:rFonts w:ascii="宋体" w:hAnsi="宋体"/>
                <w:color w:val="auto"/>
                <w:kern w:val="0"/>
                <w:sz w:val="24"/>
              </w:rPr>
            </w:pPr>
          </w:p>
        </w:tc>
        <w:tc>
          <w:tcPr>
            <w:tcW w:w="1188" w:type="dxa"/>
          </w:tcPr>
          <w:p w14:paraId="1700C6C3">
            <w:pPr>
              <w:autoSpaceDE w:val="0"/>
              <w:autoSpaceDN w:val="0"/>
              <w:adjustRightInd w:val="0"/>
              <w:snapToGrid w:val="0"/>
              <w:jc w:val="left"/>
              <w:rPr>
                <w:rFonts w:ascii="宋体" w:hAnsi="宋体"/>
                <w:color w:val="auto"/>
                <w:kern w:val="0"/>
                <w:sz w:val="24"/>
              </w:rPr>
            </w:pPr>
          </w:p>
        </w:tc>
        <w:tc>
          <w:tcPr>
            <w:tcW w:w="1186" w:type="dxa"/>
          </w:tcPr>
          <w:p w14:paraId="638F67DA">
            <w:pPr>
              <w:autoSpaceDE w:val="0"/>
              <w:autoSpaceDN w:val="0"/>
              <w:adjustRightInd w:val="0"/>
              <w:snapToGrid w:val="0"/>
              <w:jc w:val="left"/>
              <w:rPr>
                <w:rFonts w:ascii="宋体" w:hAnsi="宋体"/>
                <w:color w:val="auto"/>
                <w:kern w:val="0"/>
                <w:sz w:val="24"/>
              </w:rPr>
            </w:pPr>
          </w:p>
        </w:tc>
        <w:tc>
          <w:tcPr>
            <w:tcW w:w="1187" w:type="dxa"/>
          </w:tcPr>
          <w:p w14:paraId="7498B622">
            <w:pPr>
              <w:autoSpaceDE w:val="0"/>
              <w:autoSpaceDN w:val="0"/>
              <w:adjustRightInd w:val="0"/>
              <w:snapToGrid w:val="0"/>
              <w:jc w:val="left"/>
              <w:rPr>
                <w:rFonts w:ascii="宋体" w:hAnsi="宋体"/>
                <w:color w:val="auto"/>
                <w:kern w:val="0"/>
                <w:sz w:val="24"/>
              </w:rPr>
            </w:pPr>
          </w:p>
        </w:tc>
      </w:tr>
      <w:tr w14:paraId="17F3A0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1B53F11">
            <w:pPr>
              <w:autoSpaceDE w:val="0"/>
              <w:autoSpaceDN w:val="0"/>
              <w:adjustRightInd w:val="0"/>
              <w:snapToGrid w:val="0"/>
              <w:jc w:val="left"/>
              <w:rPr>
                <w:rFonts w:ascii="宋体" w:hAnsi="宋体"/>
                <w:color w:val="auto"/>
                <w:kern w:val="0"/>
                <w:sz w:val="24"/>
              </w:rPr>
            </w:pPr>
          </w:p>
        </w:tc>
        <w:tc>
          <w:tcPr>
            <w:tcW w:w="1453" w:type="dxa"/>
          </w:tcPr>
          <w:p w14:paraId="41DFF3A9">
            <w:pPr>
              <w:autoSpaceDE w:val="0"/>
              <w:autoSpaceDN w:val="0"/>
              <w:adjustRightInd w:val="0"/>
              <w:snapToGrid w:val="0"/>
              <w:jc w:val="left"/>
              <w:rPr>
                <w:rFonts w:ascii="宋体" w:hAnsi="宋体"/>
                <w:color w:val="auto"/>
                <w:kern w:val="0"/>
                <w:sz w:val="24"/>
              </w:rPr>
            </w:pPr>
          </w:p>
        </w:tc>
        <w:tc>
          <w:tcPr>
            <w:tcW w:w="1186" w:type="dxa"/>
          </w:tcPr>
          <w:p w14:paraId="6F6B5208">
            <w:pPr>
              <w:autoSpaceDE w:val="0"/>
              <w:autoSpaceDN w:val="0"/>
              <w:adjustRightInd w:val="0"/>
              <w:snapToGrid w:val="0"/>
              <w:jc w:val="left"/>
              <w:rPr>
                <w:rFonts w:ascii="宋体" w:hAnsi="宋体"/>
                <w:color w:val="auto"/>
                <w:kern w:val="0"/>
                <w:sz w:val="24"/>
              </w:rPr>
            </w:pPr>
          </w:p>
        </w:tc>
        <w:tc>
          <w:tcPr>
            <w:tcW w:w="1188" w:type="dxa"/>
          </w:tcPr>
          <w:p w14:paraId="451753E5">
            <w:pPr>
              <w:autoSpaceDE w:val="0"/>
              <w:autoSpaceDN w:val="0"/>
              <w:adjustRightInd w:val="0"/>
              <w:snapToGrid w:val="0"/>
              <w:jc w:val="left"/>
              <w:rPr>
                <w:rFonts w:ascii="宋体" w:hAnsi="宋体"/>
                <w:color w:val="auto"/>
                <w:kern w:val="0"/>
                <w:sz w:val="24"/>
              </w:rPr>
            </w:pPr>
          </w:p>
        </w:tc>
        <w:tc>
          <w:tcPr>
            <w:tcW w:w="1186" w:type="dxa"/>
          </w:tcPr>
          <w:p w14:paraId="676CA685">
            <w:pPr>
              <w:autoSpaceDE w:val="0"/>
              <w:autoSpaceDN w:val="0"/>
              <w:adjustRightInd w:val="0"/>
              <w:snapToGrid w:val="0"/>
              <w:jc w:val="left"/>
              <w:rPr>
                <w:rFonts w:ascii="宋体" w:hAnsi="宋体"/>
                <w:color w:val="auto"/>
                <w:kern w:val="0"/>
                <w:sz w:val="24"/>
              </w:rPr>
            </w:pPr>
          </w:p>
        </w:tc>
        <w:tc>
          <w:tcPr>
            <w:tcW w:w="1188" w:type="dxa"/>
          </w:tcPr>
          <w:p w14:paraId="469FE214">
            <w:pPr>
              <w:autoSpaceDE w:val="0"/>
              <w:autoSpaceDN w:val="0"/>
              <w:adjustRightInd w:val="0"/>
              <w:snapToGrid w:val="0"/>
              <w:jc w:val="left"/>
              <w:rPr>
                <w:rFonts w:ascii="宋体" w:hAnsi="宋体"/>
                <w:color w:val="auto"/>
                <w:kern w:val="0"/>
                <w:sz w:val="24"/>
              </w:rPr>
            </w:pPr>
          </w:p>
        </w:tc>
        <w:tc>
          <w:tcPr>
            <w:tcW w:w="1186" w:type="dxa"/>
          </w:tcPr>
          <w:p w14:paraId="10E177D0">
            <w:pPr>
              <w:autoSpaceDE w:val="0"/>
              <w:autoSpaceDN w:val="0"/>
              <w:adjustRightInd w:val="0"/>
              <w:snapToGrid w:val="0"/>
              <w:jc w:val="left"/>
              <w:rPr>
                <w:rFonts w:ascii="宋体" w:hAnsi="宋体"/>
                <w:color w:val="auto"/>
                <w:kern w:val="0"/>
                <w:sz w:val="24"/>
              </w:rPr>
            </w:pPr>
          </w:p>
        </w:tc>
        <w:tc>
          <w:tcPr>
            <w:tcW w:w="1187" w:type="dxa"/>
          </w:tcPr>
          <w:p w14:paraId="480AEE70">
            <w:pPr>
              <w:autoSpaceDE w:val="0"/>
              <w:autoSpaceDN w:val="0"/>
              <w:adjustRightInd w:val="0"/>
              <w:snapToGrid w:val="0"/>
              <w:jc w:val="left"/>
              <w:rPr>
                <w:rFonts w:ascii="宋体" w:hAnsi="宋体"/>
                <w:color w:val="auto"/>
                <w:kern w:val="0"/>
                <w:sz w:val="24"/>
              </w:rPr>
            </w:pPr>
          </w:p>
        </w:tc>
      </w:tr>
      <w:tr w14:paraId="767FAD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899007E">
            <w:pPr>
              <w:autoSpaceDE w:val="0"/>
              <w:autoSpaceDN w:val="0"/>
              <w:adjustRightInd w:val="0"/>
              <w:snapToGrid w:val="0"/>
              <w:jc w:val="left"/>
              <w:rPr>
                <w:rFonts w:ascii="宋体" w:hAnsi="宋体"/>
                <w:color w:val="auto"/>
                <w:kern w:val="0"/>
                <w:sz w:val="24"/>
              </w:rPr>
            </w:pPr>
          </w:p>
        </w:tc>
        <w:tc>
          <w:tcPr>
            <w:tcW w:w="1453" w:type="dxa"/>
          </w:tcPr>
          <w:p w14:paraId="0BCFA00F">
            <w:pPr>
              <w:autoSpaceDE w:val="0"/>
              <w:autoSpaceDN w:val="0"/>
              <w:adjustRightInd w:val="0"/>
              <w:snapToGrid w:val="0"/>
              <w:jc w:val="left"/>
              <w:rPr>
                <w:rFonts w:ascii="宋体" w:hAnsi="宋体"/>
                <w:color w:val="auto"/>
                <w:kern w:val="0"/>
                <w:sz w:val="24"/>
              </w:rPr>
            </w:pPr>
          </w:p>
        </w:tc>
        <w:tc>
          <w:tcPr>
            <w:tcW w:w="1186" w:type="dxa"/>
          </w:tcPr>
          <w:p w14:paraId="2F5DF25A">
            <w:pPr>
              <w:autoSpaceDE w:val="0"/>
              <w:autoSpaceDN w:val="0"/>
              <w:adjustRightInd w:val="0"/>
              <w:snapToGrid w:val="0"/>
              <w:jc w:val="left"/>
              <w:rPr>
                <w:rFonts w:ascii="宋体" w:hAnsi="宋体"/>
                <w:color w:val="auto"/>
                <w:kern w:val="0"/>
                <w:sz w:val="24"/>
              </w:rPr>
            </w:pPr>
          </w:p>
        </w:tc>
        <w:tc>
          <w:tcPr>
            <w:tcW w:w="1188" w:type="dxa"/>
          </w:tcPr>
          <w:p w14:paraId="644A497D">
            <w:pPr>
              <w:autoSpaceDE w:val="0"/>
              <w:autoSpaceDN w:val="0"/>
              <w:adjustRightInd w:val="0"/>
              <w:snapToGrid w:val="0"/>
              <w:jc w:val="left"/>
              <w:rPr>
                <w:rFonts w:ascii="宋体" w:hAnsi="宋体"/>
                <w:color w:val="auto"/>
                <w:kern w:val="0"/>
                <w:sz w:val="24"/>
              </w:rPr>
            </w:pPr>
          </w:p>
        </w:tc>
        <w:tc>
          <w:tcPr>
            <w:tcW w:w="1186" w:type="dxa"/>
          </w:tcPr>
          <w:p w14:paraId="1011DCC7">
            <w:pPr>
              <w:autoSpaceDE w:val="0"/>
              <w:autoSpaceDN w:val="0"/>
              <w:adjustRightInd w:val="0"/>
              <w:snapToGrid w:val="0"/>
              <w:jc w:val="left"/>
              <w:rPr>
                <w:rFonts w:ascii="宋体" w:hAnsi="宋体"/>
                <w:color w:val="auto"/>
                <w:kern w:val="0"/>
                <w:sz w:val="24"/>
              </w:rPr>
            </w:pPr>
          </w:p>
        </w:tc>
        <w:tc>
          <w:tcPr>
            <w:tcW w:w="1188" w:type="dxa"/>
          </w:tcPr>
          <w:p w14:paraId="50ECAB3B">
            <w:pPr>
              <w:autoSpaceDE w:val="0"/>
              <w:autoSpaceDN w:val="0"/>
              <w:adjustRightInd w:val="0"/>
              <w:snapToGrid w:val="0"/>
              <w:jc w:val="left"/>
              <w:rPr>
                <w:rFonts w:ascii="宋体" w:hAnsi="宋体"/>
                <w:color w:val="auto"/>
                <w:kern w:val="0"/>
                <w:sz w:val="24"/>
              </w:rPr>
            </w:pPr>
          </w:p>
        </w:tc>
        <w:tc>
          <w:tcPr>
            <w:tcW w:w="1186" w:type="dxa"/>
          </w:tcPr>
          <w:p w14:paraId="1C73B37C">
            <w:pPr>
              <w:autoSpaceDE w:val="0"/>
              <w:autoSpaceDN w:val="0"/>
              <w:adjustRightInd w:val="0"/>
              <w:snapToGrid w:val="0"/>
              <w:jc w:val="left"/>
              <w:rPr>
                <w:rFonts w:ascii="宋体" w:hAnsi="宋体"/>
                <w:color w:val="auto"/>
                <w:kern w:val="0"/>
                <w:sz w:val="24"/>
              </w:rPr>
            </w:pPr>
          </w:p>
        </w:tc>
        <w:tc>
          <w:tcPr>
            <w:tcW w:w="1187" w:type="dxa"/>
          </w:tcPr>
          <w:p w14:paraId="4AEBAAB7">
            <w:pPr>
              <w:autoSpaceDE w:val="0"/>
              <w:autoSpaceDN w:val="0"/>
              <w:adjustRightInd w:val="0"/>
              <w:snapToGrid w:val="0"/>
              <w:jc w:val="left"/>
              <w:rPr>
                <w:rFonts w:ascii="宋体" w:hAnsi="宋体"/>
                <w:color w:val="auto"/>
                <w:kern w:val="0"/>
                <w:sz w:val="24"/>
              </w:rPr>
            </w:pPr>
          </w:p>
        </w:tc>
      </w:tr>
      <w:tr w14:paraId="67FF65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74E3C37">
            <w:pPr>
              <w:autoSpaceDE w:val="0"/>
              <w:autoSpaceDN w:val="0"/>
              <w:adjustRightInd w:val="0"/>
              <w:snapToGrid w:val="0"/>
              <w:jc w:val="left"/>
              <w:rPr>
                <w:rFonts w:ascii="宋体" w:hAnsi="宋体"/>
                <w:color w:val="auto"/>
                <w:kern w:val="0"/>
                <w:sz w:val="24"/>
              </w:rPr>
            </w:pPr>
          </w:p>
        </w:tc>
        <w:tc>
          <w:tcPr>
            <w:tcW w:w="1453" w:type="dxa"/>
          </w:tcPr>
          <w:p w14:paraId="3B3AC40D">
            <w:pPr>
              <w:autoSpaceDE w:val="0"/>
              <w:autoSpaceDN w:val="0"/>
              <w:adjustRightInd w:val="0"/>
              <w:snapToGrid w:val="0"/>
              <w:jc w:val="left"/>
              <w:rPr>
                <w:rFonts w:ascii="宋体" w:hAnsi="宋体"/>
                <w:color w:val="auto"/>
                <w:kern w:val="0"/>
                <w:sz w:val="24"/>
              </w:rPr>
            </w:pPr>
          </w:p>
        </w:tc>
        <w:tc>
          <w:tcPr>
            <w:tcW w:w="1186" w:type="dxa"/>
          </w:tcPr>
          <w:p w14:paraId="08350AF7">
            <w:pPr>
              <w:autoSpaceDE w:val="0"/>
              <w:autoSpaceDN w:val="0"/>
              <w:adjustRightInd w:val="0"/>
              <w:snapToGrid w:val="0"/>
              <w:jc w:val="left"/>
              <w:rPr>
                <w:rFonts w:ascii="宋体" w:hAnsi="宋体"/>
                <w:color w:val="auto"/>
                <w:kern w:val="0"/>
                <w:sz w:val="24"/>
              </w:rPr>
            </w:pPr>
          </w:p>
        </w:tc>
        <w:tc>
          <w:tcPr>
            <w:tcW w:w="1188" w:type="dxa"/>
          </w:tcPr>
          <w:p w14:paraId="248D58FA">
            <w:pPr>
              <w:autoSpaceDE w:val="0"/>
              <w:autoSpaceDN w:val="0"/>
              <w:adjustRightInd w:val="0"/>
              <w:snapToGrid w:val="0"/>
              <w:jc w:val="left"/>
              <w:rPr>
                <w:rFonts w:ascii="宋体" w:hAnsi="宋体"/>
                <w:color w:val="auto"/>
                <w:kern w:val="0"/>
                <w:sz w:val="24"/>
              </w:rPr>
            </w:pPr>
          </w:p>
        </w:tc>
        <w:tc>
          <w:tcPr>
            <w:tcW w:w="1186" w:type="dxa"/>
          </w:tcPr>
          <w:p w14:paraId="704672D3">
            <w:pPr>
              <w:autoSpaceDE w:val="0"/>
              <w:autoSpaceDN w:val="0"/>
              <w:adjustRightInd w:val="0"/>
              <w:snapToGrid w:val="0"/>
              <w:jc w:val="left"/>
              <w:rPr>
                <w:rFonts w:ascii="宋体" w:hAnsi="宋体"/>
                <w:color w:val="auto"/>
                <w:kern w:val="0"/>
                <w:sz w:val="24"/>
              </w:rPr>
            </w:pPr>
          </w:p>
        </w:tc>
        <w:tc>
          <w:tcPr>
            <w:tcW w:w="1188" w:type="dxa"/>
          </w:tcPr>
          <w:p w14:paraId="7094E2B6">
            <w:pPr>
              <w:autoSpaceDE w:val="0"/>
              <w:autoSpaceDN w:val="0"/>
              <w:adjustRightInd w:val="0"/>
              <w:snapToGrid w:val="0"/>
              <w:jc w:val="left"/>
              <w:rPr>
                <w:rFonts w:ascii="宋体" w:hAnsi="宋体"/>
                <w:color w:val="auto"/>
                <w:kern w:val="0"/>
                <w:sz w:val="24"/>
              </w:rPr>
            </w:pPr>
          </w:p>
        </w:tc>
        <w:tc>
          <w:tcPr>
            <w:tcW w:w="1186" w:type="dxa"/>
          </w:tcPr>
          <w:p w14:paraId="3BF5804D">
            <w:pPr>
              <w:autoSpaceDE w:val="0"/>
              <w:autoSpaceDN w:val="0"/>
              <w:adjustRightInd w:val="0"/>
              <w:snapToGrid w:val="0"/>
              <w:jc w:val="left"/>
              <w:rPr>
                <w:rFonts w:ascii="宋体" w:hAnsi="宋体"/>
                <w:color w:val="auto"/>
                <w:kern w:val="0"/>
                <w:sz w:val="24"/>
              </w:rPr>
            </w:pPr>
          </w:p>
        </w:tc>
        <w:tc>
          <w:tcPr>
            <w:tcW w:w="1187" w:type="dxa"/>
          </w:tcPr>
          <w:p w14:paraId="42043703">
            <w:pPr>
              <w:autoSpaceDE w:val="0"/>
              <w:autoSpaceDN w:val="0"/>
              <w:adjustRightInd w:val="0"/>
              <w:snapToGrid w:val="0"/>
              <w:jc w:val="left"/>
              <w:rPr>
                <w:rFonts w:ascii="宋体" w:hAnsi="宋体"/>
                <w:color w:val="auto"/>
                <w:kern w:val="0"/>
                <w:sz w:val="24"/>
              </w:rPr>
            </w:pPr>
          </w:p>
        </w:tc>
      </w:tr>
      <w:tr w14:paraId="2B2DC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EE8645B">
            <w:pPr>
              <w:autoSpaceDE w:val="0"/>
              <w:autoSpaceDN w:val="0"/>
              <w:adjustRightInd w:val="0"/>
              <w:snapToGrid w:val="0"/>
              <w:jc w:val="left"/>
              <w:rPr>
                <w:rFonts w:ascii="宋体" w:hAnsi="宋体"/>
                <w:color w:val="auto"/>
                <w:kern w:val="0"/>
                <w:sz w:val="24"/>
              </w:rPr>
            </w:pPr>
          </w:p>
        </w:tc>
        <w:tc>
          <w:tcPr>
            <w:tcW w:w="1453" w:type="dxa"/>
          </w:tcPr>
          <w:p w14:paraId="5E49E2CD">
            <w:pPr>
              <w:autoSpaceDE w:val="0"/>
              <w:autoSpaceDN w:val="0"/>
              <w:adjustRightInd w:val="0"/>
              <w:snapToGrid w:val="0"/>
              <w:jc w:val="left"/>
              <w:rPr>
                <w:rFonts w:ascii="宋体" w:hAnsi="宋体"/>
                <w:color w:val="auto"/>
                <w:kern w:val="0"/>
                <w:sz w:val="24"/>
              </w:rPr>
            </w:pPr>
          </w:p>
        </w:tc>
        <w:tc>
          <w:tcPr>
            <w:tcW w:w="1186" w:type="dxa"/>
          </w:tcPr>
          <w:p w14:paraId="72693581">
            <w:pPr>
              <w:autoSpaceDE w:val="0"/>
              <w:autoSpaceDN w:val="0"/>
              <w:adjustRightInd w:val="0"/>
              <w:snapToGrid w:val="0"/>
              <w:jc w:val="left"/>
              <w:rPr>
                <w:rFonts w:ascii="宋体" w:hAnsi="宋体"/>
                <w:color w:val="auto"/>
                <w:kern w:val="0"/>
                <w:sz w:val="24"/>
              </w:rPr>
            </w:pPr>
          </w:p>
        </w:tc>
        <w:tc>
          <w:tcPr>
            <w:tcW w:w="1188" w:type="dxa"/>
          </w:tcPr>
          <w:p w14:paraId="5A4BFB26">
            <w:pPr>
              <w:autoSpaceDE w:val="0"/>
              <w:autoSpaceDN w:val="0"/>
              <w:adjustRightInd w:val="0"/>
              <w:snapToGrid w:val="0"/>
              <w:jc w:val="left"/>
              <w:rPr>
                <w:rFonts w:ascii="宋体" w:hAnsi="宋体"/>
                <w:color w:val="auto"/>
                <w:kern w:val="0"/>
                <w:sz w:val="24"/>
              </w:rPr>
            </w:pPr>
          </w:p>
        </w:tc>
        <w:tc>
          <w:tcPr>
            <w:tcW w:w="1186" w:type="dxa"/>
          </w:tcPr>
          <w:p w14:paraId="08E0276C">
            <w:pPr>
              <w:autoSpaceDE w:val="0"/>
              <w:autoSpaceDN w:val="0"/>
              <w:adjustRightInd w:val="0"/>
              <w:snapToGrid w:val="0"/>
              <w:jc w:val="left"/>
              <w:rPr>
                <w:rFonts w:ascii="宋体" w:hAnsi="宋体"/>
                <w:color w:val="auto"/>
                <w:kern w:val="0"/>
                <w:sz w:val="24"/>
              </w:rPr>
            </w:pPr>
          </w:p>
        </w:tc>
        <w:tc>
          <w:tcPr>
            <w:tcW w:w="1188" w:type="dxa"/>
          </w:tcPr>
          <w:p w14:paraId="24DB0BE5">
            <w:pPr>
              <w:autoSpaceDE w:val="0"/>
              <w:autoSpaceDN w:val="0"/>
              <w:adjustRightInd w:val="0"/>
              <w:snapToGrid w:val="0"/>
              <w:jc w:val="left"/>
              <w:rPr>
                <w:rFonts w:ascii="宋体" w:hAnsi="宋体"/>
                <w:color w:val="auto"/>
                <w:kern w:val="0"/>
                <w:sz w:val="24"/>
              </w:rPr>
            </w:pPr>
          </w:p>
        </w:tc>
        <w:tc>
          <w:tcPr>
            <w:tcW w:w="1186" w:type="dxa"/>
          </w:tcPr>
          <w:p w14:paraId="324A612F">
            <w:pPr>
              <w:autoSpaceDE w:val="0"/>
              <w:autoSpaceDN w:val="0"/>
              <w:adjustRightInd w:val="0"/>
              <w:snapToGrid w:val="0"/>
              <w:jc w:val="left"/>
              <w:rPr>
                <w:rFonts w:ascii="宋体" w:hAnsi="宋体"/>
                <w:color w:val="auto"/>
                <w:kern w:val="0"/>
                <w:sz w:val="24"/>
              </w:rPr>
            </w:pPr>
          </w:p>
        </w:tc>
        <w:tc>
          <w:tcPr>
            <w:tcW w:w="1187" w:type="dxa"/>
          </w:tcPr>
          <w:p w14:paraId="54914BA7">
            <w:pPr>
              <w:autoSpaceDE w:val="0"/>
              <w:autoSpaceDN w:val="0"/>
              <w:adjustRightInd w:val="0"/>
              <w:snapToGrid w:val="0"/>
              <w:jc w:val="left"/>
              <w:rPr>
                <w:rFonts w:ascii="宋体" w:hAnsi="宋体"/>
                <w:color w:val="auto"/>
                <w:kern w:val="0"/>
                <w:sz w:val="24"/>
              </w:rPr>
            </w:pPr>
          </w:p>
        </w:tc>
      </w:tr>
      <w:tr w14:paraId="0A86FA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A9448C5">
            <w:pPr>
              <w:autoSpaceDE w:val="0"/>
              <w:autoSpaceDN w:val="0"/>
              <w:adjustRightInd w:val="0"/>
              <w:snapToGrid w:val="0"/>
              <w:jc w:val="left"/>
              <w:rPr>
                <w:rFonts w:ascii="宋体" w:hAnsi="宋体"/>
                <w:color w:val="auto"/>
                <w:kern w:val="0"/>
                <w:sz w:val="24"/>
              </w:rPr>
            </w:pPr>
          </w:p>
        </w:tc>
        <w:tc>
          <w:tcPr>
            <w:tcW w:w="1453" w:type="dxa"/>
          </w:tcPr>
          <w:p w14:paraId="70E0EAF6">
            <w:pPr>
              <w:autoSpaceDE w:val="0"/>
              <w:autoSpaceDN w:val="0"/>
              <w:adjustRightInd w:val="0"/>
              <w:snapToGrid w:val="0"/>
              <w:jc w:val="left"/>
              <w:rPr>
                <w:rFonts w:ascii="宋体" w:hAnsi="宋体"/>
                <w:color w:val="auto"/>
                <w:kern w:val="0"/>
                <w:sz w:val="24"/>
              </w:rPr>
            </w:pPr>
          </w:p>
        </w:tc>
        <w:tc>
          <w:tcPr>
            <w:tcW w:w="1186" w:type="dxa"/>
          </w:tcPr>
          <w:p w14:paraId="2DBA517D">
            <w:pPr>
              <w:autoSpaceDE w:val="0"/>
              <w:autoSpaceDN w:val="0"/>
              <w:adjustRightInd w:val="0"/>
              <w:snapToGrid w:val="0"/>
              <w:jc w:val="left"/>
              <w:rPr>
                <w:rFonts w:ascii="宋体" w:hAnsi="宋体"/>
                <w:color w:val="auto"/>
                <w:kern w:val="0"/>
                <w:sz w:val="24"/>
              </w:rPr>
            </w:pPr>
          </w:p>
        </w:tc>
        <w:tc>
          <w:tcPr>
            <w:tcW w:w="1188" w:type="dxa"/>
          </w:tcPr>
          <w:p w14:paraId="523FF2B8">
            <w:pPr>
              <w:autoSpaceDE w:val="0"/>
              <w:autoSpaceDN w:val="0"/>
              <w:adjustRightInd w:val="0"/>
              <w:snapToGrid w:val="0"/>
              <w:jc w:val="left"/>
              <w:rPr>
                <w:rFonts w:ascii="宋体" w:hAnsi="宋体"/>
                <w:color w:val="auto"/>
                <w:kern w:val="0"/>
                <w:sz w:val="24"/>
              </w:rPr>
            </w:pPr>
          </w:p>
        </w:tc>
        <w:tc>
          <w:tcPr>
            <w:tcW w:w="1186" w:type="dxa"/>
          </w:tcPr>
          <w:p w14:paraId="3DB20369">
            <w:pPr>
              <w:autoSpaceDE w:val="0"/>
              <w:autoSpaceDN w:val="0"/>
              <w:adjustRightInd w:val="0"/>
              <w:snapToGrid w:val="0"/>
              <w:jc w:val="left"/>
              <w:rPr>
                <w:rFonts w:ascii="宋体" w:hAnsi="宋体"/>
                <w:color w:val="auto"/>
                <w:kern w:val="0"/>
                <w:sz w:val="24"/>
              </w:rPr>
            </w:pPr>
          </w:p>
        </w:tc>
        <w:tc>
          <w:tcPr>
            <w:tcW w:w="1188" w:type="dxa"/>
          </w:tcPr>
          <w:p w14:paraId="667CC5D9">
            <w:pPr>
              <w:autoSpaceDE w:val="0"/>
              <w:autoSpaceDN w:val="0"/>
              <w:adjustRightInd w:val="0"/>
              <w:snapToGrid w:val="0"/>
              <w:jc w:val="left"/>
              <w:rPr>
                <w:rFonts w:ascii="宋体" w:hAnsi="宋体"/>
                <w:color w:val="auto"/>
                <w:kern w:val="0"/>
                <w:sz w:val="24"/>
              </w:rPr>
            </w:pPr>
          </w:p>
        </w:tc>
        <w:tc>
          <w:tcPr>
            <w:tcW w:w="1186" w:type="dxa"/>
          </w:tcPr>
          <w:p w14:paraId="12B39E0D">
            <w:pPr>
              <w:autoSpaceDE w:val="0"/>
              <w:autoSpaceDN w:val="0"/>
              <w:adjustRightInd w:val="0"/>
              <w:snapToGrid w:val="0"/>
              <w:jc w:val="left"/>
              <w:rPr>
                <w:rFonts w:ascii="宋体" w:hAnsi="宋体"/>
                <w:color w:val="auto"/>
                <w:kern w:val="0"/>
                <w:sz w:val="24"/>
              </w:rPr>
            </w:pPr>
          </w:p>
        </w:tc>
        <w:tc>
          <w:tcPr>
            <w:tcW w:w="1187" w:type="dxa"/>
          </w:tcPr>
          <w:p w14:paraId="4D5AB536">
            <w:pPr>
              <w:autoSpaceDE w:val="0"/>
              <w:autoSpaceDN w:val="0"/>
              <w:adjustRightInd w:val="0"/>
              <w:snapToGrid w:val="0"/>
              <w:jc w:val="left"/>
              <w:rPr>
                <w:rFonts w:ascii="宋体" w:hAnsi="宋体"/>
                <w:color w:val="auto"/>
                <w:kern w:val="0"/>
                <w:sz w:val="24"/>
              </w:rPr>
            </w:pPr>
          </w:p>
        </w:tc>
      </w:tr>
      <w:tr w14:paraId="26CE48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EE6A33E">
            <w:pPr>
              <w:autoSpaceDE w:val="0"/>
              <w:autoSpaceDN w:val="0"/>
              <w:adjustRightInd w:val="0"/>
              <w:snapToGrid w:val="0"/>
              <w:jc w:val="left"/>
              <w:rPr>
                <w:rFonts w:ascii="宋体" w:hAnsi="宋体"/>
                <w:color w:val="auto"/>
                <w:kern w:val="0"/>
                <w:sz w:val="24"/>
              </w:rPr>
            </w:pPr>
          </w:p>
        </w:tc>
        <w:tc>
          <w:tcPr>
            <w:tcW w:w="1453" w:type="dxa"/>
          </w:tcPr>
          <w:p w14:paraId="439FA880">
            <w:pPr>
              <w:autoSpaceDE w:val="0"/>
              <w:autoSpaceDN w:val="0"/>
              <w:adjustRightInd w:val="0"/>
              <w:snapToGrid w:val="0"/>
              <w:jc w:val="left"/>
              <w:rPr>
                <w:rFonts w:ascii="宋体" w:hAnsi="宋体"/>
                <w:color w:val="auto"/>
                <w:kern w:val="0"/>
                <w:sz w:val="24"/>
              </w:rPr>
            </w:pPr>
          </w:p>
        </w:tc>
        <w:tc>
          <w:tcPr>
            <w:tcW w:w="1186" w:type="dxa"/>
          </w:tcPr>
          <w:p w14:paraId="2CCF0938">
            <w:pPr>
              <w:autoSpaceDE w:val="0"/>
              <w:autoSpaceDN w:val="0"/>
              <w:adjustRightInd w:val="0"/>
              <w:snapToGrid w:val="0"/>
              <w:jc w:val="left"/>
              <w:rPr>
                <w:rFonts w:ascii="宋体" w:hAnsi="宋体"/>
                <w:color w:val="auto"/>
                <w:kern w:val="0"/>
                <w:sz w:val="24"/>
              </w:rPr>
            </w:pPr>
          </w:p>
        </w:tc>
        <w:tc>
          <w:tcPr>
            <w:tcW w:w="1188" w:type="dxa"/>
          </w:tcPr>
          <w:p w14:paraId="2FD59B59">
            <w:pPr>
              <w:autoSpaceDE w:val="0"/>
              <w:autoSpaceDN w:val="0"/>
              <w:adjustRightInd w:val="0"/>
              <w:snapToGrid w:val="0"/>
              <w:jc w:val="left"/>
              <w:rPr>
                <w:rFonts w:ascii="宋体" w:hAnsi="宋体"/>
                <w:color w:val="auto"/>
                <w:kern w:val="0"/>
                <w:sz w:val="24"/>
              </w:rPr>
            </w:pPr>
          </w:p>
        </w:tc>
        <w:tc>
          <w:tcPr>
            <w:tcW w:w="1186" w:type="dxa"/>
          </w:tcPr>
          <w:p w14:paraId="0B1433F6">
            <w:pPr>
              <w:autoSpaceDE w:val="0"/>
              <w:autoSpaceDN w:val="0"/>
              <w:adjustRightInd w:val="0"/>
              <w:snapToGrid w:val="0"/>
              <w:jc w:val="left"/>
              <w:rPr>
                <w:rFonts w:ascii="宋体" w:hAnsi="宋体"/>
                <w:color w:val="auto"/>
                <w:kern w:val="0"/>
                <w:sz w:val="24"/>
              </w:rPr>
            </w:pPr>
          </w:p>
        </w:tc>
        <w:tc>
          <w:tcPr>
            <w:tcW w:w="1188" w:type="dxa"/>
          </w:tcPr>
          <w:p w14:paraId="21FBCF2A">
            <w:pPr>
              <w:autoSpaceDE w:val="0"/>
              <w:autoSpaceDN w:val="0"/>
              <w:adjustRightInd w:val="0"/>
              <w:snapToGrid w:val="0"/>
              <w:jc w:val="left"/>
              <w:rPr>
                <w:rFonts w:ascii="宋体" w:hAnsi="宋体"/>
                <w:color w:val="auto"/>
                <w:kern w:val="0"/>
                <w:sz w:val="24"/>
              </w:rPr>
            </w:pPr>
          </w:p>
        </w:tc>
        <w:tc>
          <w:tcPr>
            <w:tcW w:w="1186" w:type="dxa"/>
          </w:tcPr>
          <w:p w14:paraId="524FC544">
            <w:pPr>
              <w:autoSpaceDE w:val="0"/>
              <w:autoSpaceDN w:val="0"/>
              <w:adjustRightInd w:val="0"/>
              <w:snapToGrid w:val="0"/>
              <w:jc w:val="left"/>
              <w:rPr>
                <w:rFonts w:ascii="宋体" w:hAnsi="宋体"/>
                <w:color w:val="auto"/>
                <w:kern w:val="0"/>
                <w:sz w:val="24"/>
              </w:rPr>
            </w:pPr>
          </w:p>
        </w:tc>
        <w:tc>
          <w:tcPr>
            <w:tcW w:w="1187" w:type="dxa"/>
          </w:tcPr>
          <w:p w14:paraId="25ADB406">
            <w:pPr>
              <w:autoSpaceDE w:val="0"/>
              <w:autoSpaceDN w:val="0"/>
              <w:adjustRightInd w:val="0"/>
              <w:snapToGrid w:val="0"/>
              <w:jc w:val="left"/>
              <w:rPr>
                <w:rFonts w:ascii="宋体" w:hAnsi="宋体"/>
                <w:color w:val="auto"/>
                <w:kern w:val="0"/>
                <w:sz w:val="24"/>
              </w:rPr>
            </w:pPr>
          </w:p>
        </w:tc>
      </w:tr>
      <w:tr w14:paraId="414D43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21E43CE">
            <w:pPr>
              <w:autoSpaceDE w:val="0"/>
              <w:autoSpaceDN w:val="0"/>
              <w:adjustRightInd w:val="0"/>
              <w:snapToGrid w:val="0"/>
              <w:jc w:val="left"/>
              <w:rPr>
                <w:rFonts w:ascii="宋体" w:hAnsi="宋体"/>
                <w:color w:val="auto"/>
                <w:kern w:val="0"/>
                <w:sz w:val="24"/>
              </w:rPr>
            </w:pPr>
          </w:p>
        </w:tc>
        <w:tc>
          <w:tcPr>
            <w:tcW w:w="1453" w:type="dxa"/>
          </w:tcPr>
          <w:p w14:paraId="4A77B851">
            <w:pPr>
              <w:autoSpaceDE w:val="0"/>
              <w:autoSpaceDN w:val="0"/>
              <w:adjustRightInd w:val="0"/>
              <w:snapToGrid w:val="0"/>
              <w:jc w:val="left"/>
              <w:rPr>
                <w:rFonts w:ascii="宋体" w:hAnsi="宋体"/>
                <w:color w:val="auto"/>
                <w:kern w:val="0"/>
                <w:sz w:val="24"/>
              </w:rPr>
            </w:pPr>
          </w:p>
        </w:tc>
        <w:tc>
          <w:tcPr>
            <w:tcW w:w="1186" w:type="dxa"/>
          </w:tcPr>
          <w:p w14:paraId="47E4A0E0">
            <w:pPr>
              <w:autoSpaceDE w:val="0"/>
              <w:autoSpaceDN w:val="0"/>
              <w:adjustRightInd w:val="0"/>
              <w:snapToGrid w:val="0"/>
              <w:jc w:val="left"/>
              <w:rPr>
                <w:rFonts w:ascii="宋体" w:hAnsi="宋体"/>
                <w:color w:val="auto"/>
                <w:kern w:val="0"/>
                <w:sz w:val="24"/>
              </w:rPr>
            </w:pPr>
          </w:p>
        </w:tc>
        <w:tc>
          <w:tcPr>
            <w:tcW w:w="1188" w:type="dxa"/>
          </w:tcPr>
          <w:p w14:paraId="209A4FF9">
            <w:pPr>
              <w:autoSpaceDE w:val="0"/>
              <w:autoSpaceDN w:val="0"/>
              <w:adjustRightInd w:val="0"/>
              <w:snapToGrid w:val="0"/>
              <w:jc w:val="left"/>
              <w:rPr>
                <w:rFonts w:ascii="宋体" w:hAnsi="宋体"/>
                <w:color w:val="auto"/>
                <w:kern w:val="0"/>
                <w:sz w:val="24"/>
              </w:rPr>
            </w:pPr>
          </w:p>
        </w:tc>
        <w:tc>
          <w:tcPr>
            <w:tcW w:w="1186" w:type="dxa"/>
          </w:tcPr>
          <w:p w14:paraId="6B0CDEB3">
            <w:pPr>
              <w:autoSpaceDE w:val="0"/>
              <w:autoSpaceDN w:val="0"/>
              <w:adjustRightInd w:val="0"/>
              <w:snapToGrid w:val="0"/>
              <w:jc w:val="left"/>
              <w:rPr>
                <w:rFonts w:ascii="宋体" w:hAnsi="宋体"/>
                <w:color w:val="auto"/>
                <w:kern w:val="0"/>
                <w:sz w:val="24"/>
              </w:rPr>
            </w:pPr>
          </w:p>
        </w:tc>
        <w:tc>
          <w:tcPr>
            <w:tcW w:w="1188" w:type="dxa"/>
          </w:tcPr>
          <w:p w14:paraId="51851541">
            <w:pPr>
              <w:autoSpaceDE w:val="0"/>
              <w:autoSpaceDN w:val="0"/>
              <w:adjustRightInd w:val="0"/>
              <w:snapToGrid w:val="0"/>
              <w:jc w:val="left"/>
              <w:rPr>
                <w:rFonts w:ascii="宋体" w:hAnsi="宋体"/>
                <w:color w:val="auto"/>
                <w:kern w:val="0"/>
                <w:sz w:val="24"/>
              </w:rPr>
            </w:pPr>
          </w:p>
        </w:tc>
        <w:tc>
          <w:tcPr>
            <w:tcW w:w="1186" w:type="dxa"/>
          </w:tcPr>
          <w:p w14:paraId="6249EDFD">
            <w:pPr>
              <w:autoSpaceDE w:val="0"/>
              <w:autoSpaceDN w:val="0"/>
              <w:adjustRightInd w:val="0"/>
              <w:snapToGrid w:val="0"/>
              <w:jc w:val="left"/>
              <w:rPr>
                <w:rFonts w:ascii="宋体" w:hAnsi="宋体"/>
                <w:color w:val="auto"/>
                <w:kern w:val="0"/>
                <w:sz w:val="24"/>
              </w:rPr>
            </w:pPr>
          </w:p>
        </w:tc>
        <w:tc>
          <w:tcPr>
            <w:tcW w:w="1187" w:type="dxa"/>
          </w:tcPr>
          <w:p w14:paraId="560F554E">
            <w:pPr>
              <w:autoSpaceDE w:val="0"/>
              <w:autoSpaceDN w:val="0"/>
              <w:adjustRightInd w:val="0"/>
              <w:snapToGrid w:val="0"/>
              <w:jc w:val="left"/>
              <w:rPr>
                <w:rFonts w:ascii="宋体" w:hAnsi="宋体"/>
                <w:color w:val="auto"/>
                <w:kern w:val="0"/>
                <w:sz w:val="24"/>
              </w:rPr>
            </w:pPr>
          </w:p>
        </w:tc>
      </w:tr>
      <w:tr w14:paraId="684572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8B7D021">
            <w:pPr>
              <w:autoSpaceDE w:val="0"/>
              <w:autoSpaceDN w:val="0"/>
              <w:adjustRightInd w:val="0"/>
              <w:snapToGrid w:val="0"/>
              <w:jc w:val="left"/>
              <w:rPr>
                <w:rFonts w:ascii="宋体" w:hAnsi="宋体"/>
                <w:color w:val="auto"/>
                <w:kern w:val="0"/>
                <w:sz w:val="24"/>
              </w:rPr>
            </w:pPr>
          </w:p>
        </w:tc>
        <w:tc>
          <w:tcPr>
            <w:tcW w:w="1453" w:type="dxa"/>
          </w:tcPr>
          <w:p w14:paraId="7616703B">
            <w:pPr>
              <w:autoSpaceDE w:val="0"/>
              <w:autoSpaceDN w:val="0"/>
              <w:adjustRightInd w:val="0"/>
              <w:snapToGrid w:val="0"/>
              <w:jc w:val="left"/>
              <w:rPr>
                <w:rFonts w:ascii="宋体" w:hAnsi="宋体"/>
                <w:color w:val="auto"/>
                <w:kern w:val="0"/>
                <w:sz w:val="24"/>
              </w:rPr>
            </w:pPr>
          </w:p>
        </w:tc>
        <w:tc>
          <w:tcPr>
            <w:tcW w:w="1186" w:type="dxa"/>
          </w:tcPr>
          <w:p w14:paraId="4DF0CA52">
            <w:pPr>
              <w:autoSpaceDE w:val="0"/>
              <w:autoSpaceDN w:val="0"/>
              <w:adjustRightInd w:val="0"/>
              <w:snapToGrid w:val="0"/>
              <w:jc w:val="left"/>
              <w:rPr>
                <w:rFonts w:ascii="宋体" w:hAnsi="宋体"/>
                <w:color w:val="auto"/>
                <w:kern w:val="0"/>
                <w:sz w:val="24"/>
              </w:rPr>
            </w:pPr>
          </w:p>
        </w:tc>
        <w:tc>
          <w:tcPr>
            <w:tcW w:w="1188" w:type="dxa"/>
          </w:tcPr>
          <w:p w14:paraId="525B99D8">
            <w:pPr>
              <w:autoSpaceDE w:val="0"/>
              <w:autoSpaceDN w:val="0"/>
              <w:adjustRightInd w:val="0"/>
              <w:snapToGrid w:val="0"/>
              <w:jc w:val="left"/>
              <w:rPr>
                <w:rFonts w:ascii="宋体" w:hAnsi="宋体"/>
                <w:color w:val="auto"/>
                <w:kern w:val="0"/>
                <w:sz w:val="24"/>
              </w:rPr>
            </w:pPr>
          </w:p>
        </w:tc>
        <w:tc>
          <w:tcPr>
            <w:tcW w:w="1186" w:type="dxa"/>
          </w:tcPr>
          <w:p w14:paraId="015C1CD2">
            <w:pPr>
              <w:autoSpaceDE w:val="0"/>
              <w:autoSpaceDN w:val="0"/>
              <w:adjustRightInd w:val="0"/>
              <w:snapToGrid w:val="0"/>
              <w:jc w:val="left"/>
              <w:rPr>
                <w:rFonts w:ascii="宋体" w:hAnsi="宋体"/>
                <w:color w:val="auto"/>
                <w:kern w:val="0"/>
                <w:sz w:val="24"/>
              </w:rPr>
            </w:pPr>
          </w:p>
        </w:tc>
        <w:tc>
          <w:tcPr>
            <w:tcW w:w="1188" w:type="dxa"/>
          </w:tcPr>
          <w:p w14:paraId="778A8A1F">
            <w:pPr>
              <w:autoSpaceDE w:val="0"/>
              <w:autoSpaceDN w:val="0"/>
              <w:adjustRightInd w:val="0"/>
              <w:snapToGrid w:val="0"/>
              <w:jc w:val="left"/>
              <w:rPr>
                <w:rFonts w:ascii="宋体" w:hAnsi="宋体"/>
                <w:color w:val="auto"/>
                <w:kern w:val="0"/>
                <w:sz w:val="24"/>
              </w:rPr>
            </w:pPr>
          </w:p>
        </w:tc>
        <w:tc>
          <w:tcPr>
            <w:tcW w:w="1186" w:type="dxa"/>
          </w:tcPr>
          <w:p w14:paraId="2BE05596">
            <w:pPr>
              <w:autoSpaceDE w:val="0"/>
              <w:autoSpaceDN w:val="0"/>
              <w:adjustRightInd w:val="0"/>
              <w:snapToGrid w:val="0"/>
              <w:jc w:val="left"/>
              <w:rPr>
                <w:rFonts w:ascii="宋体" w:hAnsi="宋体"/>
                <w:color w:val="auto"/>
                <w:kern w:val="0"/>
                <w:sz w:val="24"/>
              </w:rPr>
            </w:pPr>
          </w:p>
        </w:tc>
        <w:tc>
          <w:tcPr>
            <w:tcW w:w="1187" w:type="dxa"/>
          </w:tcPr>
          <w:p w14:paraId="1A3E2E0B">
            <w:pPr>
              <w:autoSpaceDE w:val="0"/>
              <w:autoSpaceDN w:val="0"/>
              <w:adjustRightInd w:val="0"/>
              <w:snapToGrid w:val="0"/>
              <w:jc w:val="left"/>
              <w:rPr>
                <w:rFonts w:ascii="宋体" w:hAnsi="宋体"/>
                <w:color w:val="auto"/>
                <w:kern w:val="0"/>
                <w:sz w:val="24"/>
              </w:rPr>
            </w:pPr>
          </w:p>
        </w:tc>
      </w:tr>
      <w:tr w14:paraId="5DA7DB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80FB020">
            <w:pPr>
              <w:autoSpaceDE w:val="0"/>
              <w:autoSpaceDN w:val="0"/>
              <w:adjustRightInd w:val="0"/>
              <w:snapToGrid w:val="0"/>
              <w:jc w:val="left"/>
              <w:rPr>
                <w:rFonts w:ascii="宋体" w:hAnsi="宋体"/>
                <w:color w:val="auto"/>
                <w:kern w:val="0"/>
                <w:sz w:val="24"/>
              </w:rPr>
            </w:pPr>
          </w:p>
        </w:tc>
        <w:tc>
          <w:tcPr>
            <w:tcW w:w="1453" w:type="dxa"/>
          </w:tcPr>
          <w:p w14:paraId="0DB22456">
            <w:pPr>
              <w:autoSpaceDE w:val="0"/>
              <w:autoSpaceDN w:val="0"/>
              <w:adjustRightInd w:val="0"/>
              <w:snapToGrid w:val="0"/>
              <w:jc w:val="left"/>
              <w:rPr>
                <w:rFonts w:ascii="宋体" w:hAnsi="宋体"/>
                <w:color w:val="auto"/>
                <w:kern w:val="0"/>
                <w:sz w:val="24"/>
              </w:rPr>
            </w:pPr>
          </w:p>
        </w:tc>
        <w:tc>
          <w:tcPr>
            <w:tcW w:w="1186" w:type="dxa"/>
          </w:tcPr>
          <w:p w14:paraId="1D0C7EE0">
            <w:pPr>
              <w:autoSpaceDE w:val="0"/>
              <w:autoSpaceDN w:val="0"/>
              <w:adjustRightInd w:val="0"/>
              <w:snapToGrid w:val="0"/>
              <w:jc w:val="left"/>
              <w:rPr>
                <w:rFonts w:ascii="宋体" w:hAnsi="宋体"/>
                <w:color w:val="auto"/>
                <w:kern w:val="0"/>
                <w:sz w:val="24"/>
              </w:rPr>
            </w:pPr>
          </w:p>
        </w:tc>
        <w:tc>
          <w:tcPr>
            <w:tcW w:w="1188" w:type="dxa"/>
          </w:tcPr>
          <w:p w14:paraId="01B7180B">
            <w:pPr>
              <w:autoSpaceDE w:val="0"/>
              <w:autoSpaceDN w:val="0"/>
              <w:adjustRightInd w:val="0"/>
              <w:snapToGrid w:val="0"/>
              <w:jc w:val="left"/>
              <w:rPr>
                <w:rFonts w:ascii="宋体" w:hAnsi="宋体"/>
                <w:color w:val="auto"/>
                <w:kern w:val="0"/>
                <w:sz w:val="24"/>
              </w:rPr>
            </w:pPr>
          </w:p>
        </w:tc>
        <w:tc>
          <w:tcPr>
            <w:tcW w:w="1186" w:type="dxa"/>
          </w:tcPr>
          <w:p w14:paraId="5E2E0AAB">
            <w:pPr>
              <w:autoSpaceDE w:val="0"/>
              <w:autoSpaceDN w:val="0"/>
              <w:adjustRightInd w:val="0"/>
              <w:snapToGrid w:val="0"/>
              <w:jc w:val="left"/>
              <w:rPr>
                <w:rFonts w:ascii="宋体" w:hAnsi="宋体"/>
                <w:color w:val="auto"/>
                <w:kern w:val="0"/>
                <w:sz w:val="24"/>
              </w:rPr>
            </w:pPr>
          </w:p>
        </w:tc>
        <w:tc>
          <w:tcPr>
            <w:tcW w:w="1188" w:type="dxa"/>
          </w:tcPr>
          <w:p w14:paraId="25000CFA">
            <w:pPr>
              <w:autoSpaceDE w:val="0"/>
              <w:autoSpaceDN w:val="0"/>
              <w:adjustRightInd w:val="0"/>
              <w:snapToGrid w:val="0"/>
              <w:jc w:val="left"/>
              <w:rPr>
                <w:rFonts w:ascii="宋体" w:hAnsi="宋体"/>
                <w:color w:val="auto"/>
                <w:kern w:val="0"/>
                <w:sz w:val="24"/>
              </w:rPr>
            </w:pPr>
          </w:p>
        </w:tc>
        <w:tc>
          <w:tcPr>
            <w:tcW w:w="1186" w:type="dxa"/>
          </w:tcPr>
          <w:p w14:paraId="10BB1FF5">
            <w:pPr>
              <w:autoSpaceDE w:val="0"/>
              <w:autoSpaceDN w:val="0"/>
              <w:adjustRightInd w:val="0"/>
              <w:snapToGrid w:val="0"/>
              <w:jc w:val="left"/>
              <w:rPr>
                <w:rFonts w:ascii="宋体" w:hAnsi="宋体"/>
                <w:color w:val="auto"/>
                <w:kern w:val="0"/>
                <w:sz w:val="24"/>
              </w:rPr>
            </w:pPr>
          </w:p>
        </w:tc>
        <w:tc>
          <w:tcPr>
            <w:tcW w:w="1187" w:type="dxa"/>
          </w:tcPr>
          <w:p w14:paraId="74CC8A87">
            <w:pPr>
              <w:autoSpaceDE w:val="0"/>
              <w:autoSpaceDN w:val="0"/>
              <w:adjustRightInd w:val="0"/>
              <w:snapToGrid w:val="0"/>
              <w:jc w:val="left"/>
              <w:rPr>
                <w:rFonts w:ascii="宋体" w:hAnsi="宋体"/>
                <w:color w:val="auto"/>
                <w:kern w:val="0"/>
                <w:sz w:val="24"/>
              </w:rPr>
            </w:pPr>
          </w:p>
        </w:tc>
      </w:tr>
      <w:tr w14:paraId="1C71C8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CDDDC18">
            <w:pPr>
              <w:autoSpaceDE w:val="0"/>
              <w:autoSpaceDN w:val="0"/>
              <w:adjustRightInd w:val="0"/>
              <w:snapToGrid w:val="0"/>
              <w:jc w:val="left"/>
              <w:rPr>
                <w:rFonts w:ascii="宋体" w:hAnsi="宋体"/>
                <w:color w:val="auto"/>
                <w:kern w:val="0"/>
                <w:sz w:val="24"/>
              </w:rPr>
            </w:pPr>
          </w:p>
        </w:tc>
        <w:tc>
          <w:tcPr>
            <w:tcW w:w="1453" w:type="dxa"/>
          </w:tcPr>
          <w:p w14:paraId="20262E2D">
            <w:pPr>
              <w:autoSpaceDE w:val="0"/>
              <w:autoSpaceDN w:val="0"/>
              <w:adjustRightInd w:val="0"/>
              <w:snapToGrid w:val="0"/>
              <w:jc w:val="left"/>
              <w:rPr>
                <w:rFonts w:ascii="宋体" w:hAnsi="宋体"/>
                <w:color w:val="auto"/>
                <w:kern w:val="0"/>
                <w:sz w:val="24"/>
              </w:rPr>
            </w:pPr>
          </w:p>
        </w:tc>
        <w:tc>
          <w:tcPr>
            <w:tcW w:w="1186" w:type="dxa"/>
          </w:tcPr>
          <w:p w14:paraId="10448A8E">
            <w:pPr>
              <w:autoSpaceDE w:val="0"/>
              <w:autoSpaceDN w:val="0"/>
              <w:adjustRightInd w:val="0"/>
              <w:snapToGrid w:val="0"/>
              <w:jc w:val="left"/>
              <w:rPr>
                <w:rFonts w:ascii="宋体" w:hAnsi="宋体"/>
                <w:color w:val="auto"/>
                <w:kern w:val="0"/>
                <w:sz w:val="24"/>
              </w:rPr>
            </w:pPr>
          </w:p>
        </w:tc>
        <w:tc>
          <w:tcPr>
            <w:tcW w:w="1188" w:type="dxa"/>
          </w:tcPr>
          <w:p w14:paraId="664BF7F5">
            <w:pPr>
              <w:autoSpaceDE w:val="0"/>
              <w:autoSpaceDN w:val="0"/>
              <w:adjustRightInd w:val="0"/>
              <w:snapToGrid w:val="0"/>
              <w:jc w:val="left"/>
              <w:rPr>
                <w:rFonts w:ascii="宋体" w:hAnsi="宋体"/>
                <w:color w:val="auto"/>
                <w:kern w:val="0"/>
                <w:sz w:val="24"/>
              </w:rPr>
            </w:pPr>
          </w:p>
        </w:tc>
        <w:tc>
          <w:tcPr>
            <w:tcW w:w="1186" w:type="dxa"/>
          </w:tcPr>
          <w:p w14:paraId="3EDC4510">
            <w:pPr>
              <w:autoSpaceDE w:val="0"/>
              <w:autoSpaceDN w:val="0"/>
              <w:adjustRightInd w:val="0"/>
              <w:snapToGrid w:val="0"/>
              <w:jc w:val="left"/>
              <w:rPr>
                <w:rFonts w:ascii="宋体" w:hAnsi="宋体"/>
                <w:color w:val="auto"/>
                <w:kern w:val="0"/>
                <w:sz w:val="24"/>
              </w:rPr>
            </w:pPr>
          </w:p>
        </w:tc>
        <w:tc>
          <w:tcPr>
            <w:tcW w:w="1188" w:type="dxa"/>
          </w:tcPr>
          <w:p w14:paraId="2127B859">
            <w:pPr>
              <w:autoSpaceDE w:val="0"/>
              <w:autoSpaceDN w:val="0"/>
              <w:adjustRightInd w:val="0"/>
              <w:snapToGrid w:val="0"/>
              <w:jc w:val="left"/>
              <w:rPr>
                <w:rFonts w:ascii="宋体" w:hAnsi="宋体"/>
                <w:color w:val="auto"/>
                <w:kern w:val="0"/>
                <w:sz w:val="24"/>
              </w:rPr>
            </w:pPr>
          </w:p>
        </w:tc>
        <w:tc>
          <w:tcPr>
            <w:tcW w:w="1186" w:type="dxa"/>
          </w:tcPr>
          <w:p w14:paraId="2A18A45C">
            <w:pPr>
              <w:autoSpaceDE w:val="0"/>
              <w:autoSpaceDN w:val="0"/>
              <w:adjustRightInd w:val="0"/>
              <w:snapToGrid w:val="0"/>
              <w:jc w:val="left"/>
              <w:rPr>
                <w:rFonts w:ascii="宋体" w:hAnsi="宋体"/>
                <w:color w:val="auto"/>
                <w:kern w:val="0"/>
                <w:sz w:val="24"/>
              </w:rPr>
            </w:pPr>
          </w:p>
        </w:tc>
        <w:tc>
          <w:tcPr>
            <w:tcW w:w="1187" w:type="dxa"/>
          </w:tcPr>
          <w:p w14:paraId="52C80C96">
            <w:pPr>
              <w:autoSpaceDE w:val="0"/>
              <w:autoSpaceDN w:val="0"/>
              <w:adjustRightInd w:val="0"/>
              <w:snapToGrid w:val="0"/>
              <w:jc w:val="left"/>
              <w:rPr>
                <w:rFonts w:ascii="宋体" w:hAnsi="宋体"/>
                <w:color w:val="auto"/>
                <w:kern w:val="0"/>
                <w:sz w:val="24"/>
              </w:rPr>
            </w:pPr>
          </w:p>
        </w:tc>
      </w:tr>
      <w:tr w14:paraId="6A82D6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423774E">
            <w:pPr>
              <w:autoSpaceDE w:val="0"/>
              <w:autoSpaceDN w:val="0"/>
              <w:adjustRightInd w:val="0"/>
              <w:snapToGrid w:val="0"/>
              <w:jc w:val="left"/>
              <w:rPr>
                <w:rFonts w:ascii="宋体" w:hAnsi="宋体"/>
                <w:color w:val="auto"/>
                <w:kern w:val="0"/>
                <w:sz w:val="24"/>
              </w:rPr>
            </w:pPr>
          </w:p>
        </w:tc>
        <w:tc>
          <w:tcPr>
            <w:tcW w:w="1453" w:type="dxa"/>
          </w:tcPr>
          <w:p w14:paraId="09925C6A">
            <w:pPr>
              <w:autoSpaceDE w:val="0"/>
              <w:autoSpaceDN w:val="0"/>
              <w:adjustRightInd w:val="0"/>
              <w:snapToGrid w:val="0"/>
              <w:jc w:val="left"/>
              <w:rPr>
                <w:rFonts w:ascii="宋体" w:hAnsi="宋体"/>
                <w:color w:val="auto"/>
                <w:kern w:val="0"/>
                <w:sz w:val="24"/>
              </w:rPr>
            </w:pPr>
          </w:p>
        </w:tc>
        <w:tc>
          <w:tcPr>
            <w:tcW w:w="1186" w:type="dxa"/>
          </w:tcPr>
          <w:p w14:paraId="3CCB9C4E">
            <w:pPr>
              <w:autoSpaceDE w:val="0"/>
              <w:autoSpaceDN w:val="0"/>
              <w:adjustRightInd w:val="0"/>
              <w:snapToGrid w:val="0"/>
              <w:jc w:val="left"/>
              <w:rPr>
                <w:rFonts w:ascii="宋体" w:hAnsi="宋体"/>
                <w:color w:val="auto"/>
                <w:kern w:val="0"/>
                <w:sz w:val="24"/>
              </w:rPr>
            </w:pPr>
          </w:p>
        </w:tc>
        <w:tc>
          <w:tcPr>
            <w:tcW w:w="1188" w:type="dxa"/>
          </w:tcPr>
          <w:p w14:paraId="45D76EA6">
            <w:pPr>
              <w:autoSpaceDE w:val="0"/>
              <w:autoSpaceDN w:val="0"/>
              <w:adjustRightInd w:val="0"/>
              <w:snapToGrid w:val="0"/>
              <w:jc w:val="left"/>
              <w:rPr>
                <w:rFonts w:ascii="宋体" w:hAnsi="宋体"/>
                <w:color w:val="auto"/>
                <w:kern w:val="0"/>
                <w:sz w:val="24"/>
              </w:rPr>
            </w:pPr>
          </w:p>
        </w:tc>
        <w:tc>
          <w:tcPr>
            <w:tcW w:w="1186" w:type="dxa"/>
          </w:tcPr>
          <w:p w14:paraId="3A40F38D">
            <w:pPr>
              <w:autoSpaceDE w:val="0"/>
              <w:autoSpaceDN w:val="0"/>
              <w:adjustRightInd w:val="0"/>
              <w:snapToGrid w:val="0"/>
              <w:jc w:val="left"/>
              <w:rPr>
                <w:rFonts w:ascii="宋体" w:hAnsi="宋体"/>
                <w:color w:val="auto"/>
                <w:kern w:val="0"/>
                <w:sz w:val="24"/>
              </w:rPr>
            </w:pPr>
          </w:p>
        </w:tc>
        <w:tc>
          <w:tcPr>
            <w:tcW w:w="1188" w:type="dxa"/>
          </w:tcPr>
          <w:p w14:paraId="1799F347">
            <w:pPr>
              <w:autoSpaceDE w:val="0"/>
              <w:autoSpaceDN w:val="0"/>
              <w:adjustRightInd w:val="0"/>
              <w:snapToGrid w:val="0"/>
              <w:jc w:val="left"/>
              <w:rPr>
                <w:rFonts w:ascii="宋体" w:hAnsi="宋体"/>
                <w:color w:val="auto"/>
                <w:kern w:val="0"/>
                <w:sz w:val="24"/>
              </w:rPr>
            </w:pPr>
          </w:p>
        </w:tc>
        <w:tc>
          <w:tcPr>
            <w:tcW w:w="1186" w:type="dxa"/>
          </w:tcPr>
          <w:p w14:paraId="32102BFF">
            <w:pPr>
              <w:autoSpaceDE w:val="0"/>
              <w:autoSpaceDN w:val="0"/>
              <w:adjustRightInd w:val="0"/>
              <w:snapToGrid w:val="0"/>
              <w:jc w:val="left"/>
              <w:rPr>
                <w:rFonts w:ascii="宋体" w:hAnsi="宋体"/>
                <w:color w:val="auto"/>
                <w:kern w:val="0"/>
                <w:sz w:val="24"/>
              </w:rPr>
            </w:pPr>
          </w:p>
        </w:tc>
        <w:tc>
          <w:tcPr>
            <w:tcW w:w="1187" w:type="dxa"/>
          </w:tcPr>
          <w:p w14:paraId="7DB40E97">
            <w:pPr>
              <w:autoSpaceDE w:val="0"/>
              <w:autoSpaceDN w:val="0"/>
              <w:adjustRightInd w:val="0"/>
              <w:snapToGrid w:val="0"/>
              <w:jc w:val="left"/>
              <w:rPr>
                <w:rFonts w:ascii="宋体" w:hAnsi="宋体"/>
                <w:color w:val="auto"/>
                <w:kern w:val="0"/>
                <w:sz w:val="24"/>
              </w:rPr>
            </w:pPr>
          </w:p>
        </w:tc>
      </w:tr>
    </w:tbl>
    <w:p w14:paraId="41C00F08">
      <w:pPr>
        <w:autoSpaceDE w:val="0"/>
        <w:autoSpaceDN w:val="0"/>
        <w:adjustRightInd w:val="0"/>
        <w:snapToGrid w:val="0"/>
        <w:spacing w:line="20" w:lineRule="exact"/>
        <w:jc w:val="left"/>
        <w:rPr>
          <w:rFonts w:ascii="宋体" w:hAnsi="宋体"/>
          <w:color w:val="auto"/>
          <w:kern w:val="0"/>
        </w:rPr>
      </w:pPr>
    </w:p>
    <w:p w14:paraId="403799FD">
      <w:pPr>
        <w:jc w:val="center"/>
        <w:rPr>
          <w:rFonts w:ascii="宋体" w:hAnsi="宋体"/>
          <w:b/>
          <w:color w:val="auto"/>
        </w:rPr>
      </w:pPr>
      <w:bookmarkStart w:id="2318" w:name="_Toc430530542"/>
      <w:r>
        <w:rPr>
          <w:rFonts w:ascii="宋体" w:hAnsi="宋体"/>
          <w:color w:val="auto"/>
          <w:sz w:val="28"/>
        </w:rPr>
        <w:br w:type="page"/>
      </w:r>
      <w:bookmarkStart w:id="2319" w:name="_Toc509218860"/>
      <w:bookmarkStart w:id="2320" w:name="_Toc534185837"/>
      <w:r>
        <w:rPr>
          <w:color w:val="auto"/>
          <w:sz w:val="32"/>
          <w:szCs w:val="32"/>
        </w:rPr>
        <w:t>附表四：计划开、竣工日期和施工进度网络图</w:t>
      </w:r>
      <w:bookmarkEnd w:id="2300"/>
      <w:bookmarkEnd w:id="2301"/>
      <w:bookmarkEnd w:id="2302"/>
      <w:bookmarkEnd w:id="2303"/>
      <w:bookmarkEnd w:id="2318"/>
      <w:bookmarkEnd w:id="2319"/>
      <w:bookmarkEnd w:id="2320"/>
    </w:p>
    <w:p w14:paraId="0F17D413">
      <w:pPr>
        <w:autoSpaceDE w:val="0"/>
        <w:autoSpaceDN w:val="0"/>
        <w:adjustRightInd w:val="0"/>
        <w:snapToGrid w:val="0"/>
        <w:spacing w:line="360" w:lineRule="auto"/>
        <w:jc w:val="left"/>
        <w:rPr>
          <w:rFonts w:ascii="宋体" w:hAnsi="宋体"/>
          <w:color w:val="auto"/>
          <w:kern w:val="0"/>
          <w:sz w:val="20"/>
          <w:szCs w:val="20"/>
        </w:rPr>
      </w:pPr>
    </w:p>
    <w:p w14:paraId="120BE164">
      <w:pPr>
        <w:autoSpaceDE w:val="0"/>
        <w:autoSpaceDN w:val="0"/>
        <w:adjustRightInd w:val="0"/>
        <w:snapToGrid w:val="0"/>
        <w:spacing w:line="360" w:lineRule="auto"/>
        <w:ind w:firstLine="420"/>
        <w:jc w:val="left"/>
        <w:rPr>
          <w:rFonts w:ascii="宋体" w:hAnsi="宋体"/>
          <w:color w:val="auto"/>
          <w:kern w:val="0"/>
          <w:szCs w:val="21"/>
        </w:rPr>
      </w:pPr>
      <w:r>
        <w:rPr>
          <w:rFonts w:ascii="宋体" w:hAnsi="宋体"/>
          <w:color w:val="auto"/>
          <w:kern w:val="0"/>
          <w:szCs w:val="21"/>
        </w:rPr>
        <w:t xml:space="preserve">1. </w:t>
      </w:r>
      <w:r>
        <w:rPr>
          <w:rFonts w:ascii="宋体" w:hAnsi="宋体"/>
          <w:color w:val="auto"/>
          <w:spacing w:val="1"/>
          <w:kern w:val="0"/>
          <w:szCs w:val="21"/>
        </w:rPr>
        <w:t>投标人</w:t>
      </w:r>
      <w:r>
        <w:rPr>
          <w:rFonts w:ascii="宋体" w:hAnsi="宋体"/>
          <w:color w:val="auto"/>
          <w:spacing w:val="2"/>
          <w:kern w:val="0"/>
          <w:szCs w:val="21"/>
        </w:rPr>
        <w:t>应</w:t>
      </w:r>
      <w:r>
        <w:rPr>
          <w:rFonts w:ascii="宋体" w:hAnsi="宋体"/>
          <w:color w:val="auto"/>
          <w:spacing w:val="1"/>
          <w:kern w:val="0"/>
          <w:szCs w:val="21"/>
        </w:rPr>
        <w:t>递交</w:t>
      </w:r>
      <w:r>
        <w:rPr>
          <w:rFonts w:ascii="宋体" w:hAnsi="宋体"/>
          <w:color w:val="auto"/>
          <w:spacing w:val="2"/>
          <w:kern w:val="0"/>
          <w:szCs w:val="21"/>
        </w:rPr>
        <w:t>施</w:t>
      </w:r>
      <w:r>
        <w:rPr>
          <w:rFonts w:ascii="宋体" w:hAnsi="宋体"/>
          <w:color w:val="auto"/>
          <w:spacing w:val="1"/>
          <w:kern w:val="0"/>
          <w:szCs w:val="21"/>
        </w:rPr>
        <w:t>工</w:t>
      </w:r>
      <w:r>
        <w:rPr>
          <w:rFonts w:ascii="宋体" w:hAnsi="宋体"/>
          <w:color w:val="auto"/>
          <w:spacing w:val="2"/>
          <w:kern w:val="0"/>
          <w:szCs w:val="21"/>
        </w:rPr>
        <w:t>进</w:t>
      </w:r>
      <w:r>
        <w:rPr>
          <w:rFonts w:ascii="宋体" w:hAnsi="宋体"/>
          <w:color w:val="auto"/>
          <w:spacing w:val="1"/>
          <w:kern w:val="0"/>
          <w:szCs w:val="21"/>
        </w:rPr>
        <w:t>度网</w:t>
      </w:r>
      <w:r>
        <w:rPr>
          <w:rFonts w:ascii="宋体" w:hAnsi="宋体"/>
          <w:color w:val="auto"/>
          <w:spacing w:val="2"/>
          <w:kern w:val="0"/>
          <w:szCs w:val="21"/>
        </w:rPr>
        <w:t>络</w:t>
      </w:r>
      <w:r>
        <w:rPr>
          <w:rFonts w:ascii="宋体" w:hAnsi="宋体"/>
          <w:color w:val="auto"/>
          <w:spacing w:val="1"/>
          <w:kern w:val="0"/>
          <w:szCs w:val="21"/>
        </w:rPr>
        <w:t>图</w:t>
      </w:r>
      <w:r>
        <w:rPr>
          <w:rFonts w:ascii="宋体" w:hAnsi="宋体"/>
          <w:color w:val="auto"/>
          <w:spacing w:val="2"/>
          <w:kern w:val="0"/>
          <w:szCs w:val="21"/>
        </w:rPr>
        <w:t>或</w:t>
      </w:r>
      <w:r>
        <w:rPr>
          <w:rFonts w:ascii="宋体" w:hAnsi="宋体"/>
          <w:color w:val="auto"/>
          <w:spacing w:val="1"/>
          <w:kern w:val="0"/>
          <w:szCs w:val="21"/>
        </w:rPr>
        <w:t>施工</w:t>
      </w:r>
      <w:r>
        <w:rPr>
          <w:rFonts w:ascii="宋体" w:hAnsi="宋体"/>
          <w:color w:val="auto"/>
          <w:spacing w:val="2"/>
          <w:kern w:val="0"/>
          <w:szCs w:val="21"/>
        </w:rPr>
        <w:t>进</w:t>
      </w:r>
      <w:r>
        <w:rPr>
          <w:rFonts w:ascii="宋体" w:hAnsi="宋体"/>
          <w:color w:val="auto"/>
          <w:spacing w:val="1"/>
          <w:kern w:val="0"/>
          <w:szCs w:val="21"/>
        </w:rPr>
        <w:t>度</w:t>
      </w:r>
      <w:r>
        <w:rPr>
          <w:rFonts w:ascii="宋体" w:hAnsi="宋体"/>
          <w:color w:val="auto"/>
          <w:spacing w:val="2"/>
          <w:kern w:val="0"/>
          <w:szCs w:val="21"/>
        </w:rPr>
        <w:t>表</w:t>
      </w:r>
      <w:r>
        <w:rPr>
          <w:rFonts w:ascii="宋体" w:hAnsi="宋体"/>
          <w:color w:val="auto"/>
          <w:spacing w:val="1"/>
          <w:kern w:val="0"/>
          <w:szCs w:val="21"/>
        </w:rPr>
        <w:t>，说</w:t>
      </w:r>
      <w:r>
        <w:rPr>
          <w:rFonts w:ascii="宋体" w:hAnsi="宋体"/>
          <w:color w:val="auto"/>
          <w:spacing w:val="2"/>
          <w:kern w:val="0"/>
          <w:szCs w:val="21"/>
        </w:rPr>
        <w:t>明</w:t>
      </w:r>
      <w:r>
        <w:rPr>
          <w:rFonts w:ascii="宋体" w:hAnsi="宋体"/>
          <w:color w:val="auto"/>
          <w:spacing w:val="1"/>
          <w:kern w:val="0"/>
          <w:szCs w:val="21"/>
        </w:rPr>
        <w:t>按</w:t>
      </w:r>
      <w:r>
        <w:rPr>
          <w:rFonts w:hint="eastAsia" w:ascii="宋体" w:hAnsi="宋体"/>
          <w:color w:val="auto"/>
          <w:spacing w:val="2"/>
          <w:kern w:val="0"/>
          <w:szCs w:val="21"/>
        </w:rPr>
        <w:t>采购</w:t>
      </w:r>
      <w:r>
        <w:rPr>
          <w:rFonts w:ascii="宋体" w:hAnsi="宋体"/>
          <w:color w:val="auto"/>
          <w:spacing w:val="1"/>
          <w:kern w:val="0"/>
          <w:szCs w:val="21"/>
        </w:rPr>
        <w:t>文</w:t>
      </w:r>
      <w:r>
        <w:rPr>
          <w:rFonts w:ascii="宋体" w:hAnsi="宋体"/>
          <w:color w:val="auto"/>
          <w:spacing w:val="2"/>
          <w:kern w:val="0"/>
          <w:szCs w:val="21"/>
        </w:rPr>
        <w:t>件</w:t>
      </w:r>
      <w:r>
        <w:rPr>
          <w:rFonts w:ascii="宋体" w:hAnsi="宋体"/>
          <w:color w:val="auto"/>
          <w:spacing w:val="1"/>
          <w:kern w:val="0"/>
          <w:szCs w:val="21"/>
        </w:rPr>
        <w:t>要</w:t>
      </w:r>
      <w:r>
        <w:rPr>
          <w:rFonts w:ascii="宋体" w:hAnsi="宋体"/>
          <w:color w:val="auto"/>
          <w:spacing w:val="2"/>
          <w:kern w:val="0"/>
          <w:szCs w:val="21"/>
        </w:rPr>
        <w:t>求</w:t>
      </w:r>
      <w:r>
        <w:rPr>
          <w:rFonts w:ascii="宋体" w:hAnsi="宋体"/>
          <w:color w:val="auto"/>
          <w:spacing w:val="1"/>
          <w:kern w:val="0"/>
          <w:szCs w:val="21"/>
        </w:rPr>
        <w:t>的计</w:t>
      </w:r>
      <w:r>
        <w:rPr>
          <w:rFonts w:ascii="宋体" w:hAnsi="宋体"/>
          <w:color w:val="auto"/>
          <w:spacing w:val="2"/>
          <w:kern w:val="0"/>
          <w:szCs w:val="21"/>
        </w:rPr>
        <w:t>划</w:t>
      </w:r>
      <w:r>
        <w:rPr>
          <w:rFonts w:ascii="宋体" w:hAnsi="宋体"/>
          <w:color w:val="auto"/>
          <w:spacing w:val="1"/>
          <w:kern w:val="0"/>
          <w:szCs w:val="21"/>
        </w:rPr>
        <w:t>工</w:t>
      </w:r>
      <w:r>
        <w:rPr>
          <w:rFonts w:ascii="宋体" w:hAnsi="宋体"/>
          <w:color w:val="auto"/>
          <w:spacing w:val="4"/>
          <w:kern w:val="0"/>
          <w:szCs w:val="21"/>
        </w:rPr>
        <w:t>期</w:t>
      </w:r>
      <w:r>
        <w:rPr>
          <w:rFonts w:ascii="宋体" w:hAnsi="宋体"/>
          <w:color w:val="auto"/>
          <w:spacing w:val="2"/>
          <w:kern w:val="0"/>
          <w:szCs w:val="21"/>
        </w:rPr>
        <w:t>进</w:t>
      </w:r>
      <w:r>
        <w:rPr>
          <w:rFonts w:ascii="宋体" w:hAnsi="宋体"/>
          <w:color w:val="auto"/>
          <w:spacing w:val="1"/>
          <w:kern w:val="0"/>
          <w:szCs w:val="21"/>
        </w:rPr>
        <w:t>行</w:t>
      </w:r>
      <w:r>
        <w:rPr>
          <w:rFonts w:ascii="宋体" w:hAnsi="宋体"/>
          <w:color w:val="auto"/>
          <w:kern w:val="0"/>
          <w:szCs w:val="21"/>
        </w:rPr>
        <w:t>施工的各个关键日期。</w:t>
      </w:r>
    </w:p>
    <w:p w14:paraId="084D5EC4">
      <w:pPr>
        <w:autoSpaceDE w:val="0"/>
        <w:autoSpaceDN w:val="0"/>
        <w:adjustRightInd w:val="0"/>
        <w:snapToGrid w:val="0"/>
        <w:spacing w:line="360" w:lineRule="auto"/>
        <w:ind w:firstLine="424" w:firstLineChars="202"/>
        <w:jc w:val="left"/>
        <w:rPr>
          <w:rFonts w:ascii="宋体" w:hAnsi="宋体"/>
          <w:color w:val="auto"/>
          <w:kern w:val="0"/>
          <w:szCs w:val="21"/>
        </w:rPr>
      </w:pPr>
      <w:r>
        <w:rPr>
          <w:rFonts w:ascii="宋体" w:hAnsi="宋体"/>
          <w:color w:val="auto"/>
          <w:kern w:val="0"/>
          <w:szCs w:val="21"/>
        </w:rPr>
        <w:t>2.施工进</w:t>
      </w:r>
      <w:r>
        <w:rPr>
          <w:rFonts w:ascii="宋体" w:hAnsi="宋体"/>
          <w:color w:val="auto"/>
          <w:spacing w:val="-1"/>
          <w:kern w:val="0"/>
          <w:szCs w:val="21"/>
        </w:rPr>
        <w:t>度</w:t>
      </w:r>
      <w:r>
        <w:rPr>
          <w:rFonts w:ascii="宋体" w:hAnsi="宋体"/>
          <w:color w:val="auto"/>
          <w:kern w:val="0"/>
          <w:szCs w:val="21"/>
        </w:rPr>
        <w:t>表可采用网络图（或横道图）表示。</w:t>
      </w:r>
    </w:p>
    <w:p w14:paraId="20F4E202">
      <w:pPr>
        <w:jc w:val="center"/>
        <w:rPr>
          <w:rFonts w:ascii="宋体" w:hAnsi="宋体"/>
          <w:color w:val="auto"/>
          <w:sz w:val="28"/>
        </w:rPr>
      </w:pPr>
      <w:bookmarkStart w:id="2321" w:name="_Toc287607880"/>
      <w:bookmarkStart w:id="2322" w:name="_Toc224103508"/>
      <w:bookmarkStart w:id="2323" w:name="_Toc430530543"/>
      <w:bookmarkStart w:id="2324" w:name="_Toc287620827"/>
      <w:bookmarkStart w:id="2325" w:name="_Toc534185838"/>
      <w:bookmarkStart w:id="2326" w:name="_Toc509218861"/>
      <w:bookmarkStart w:id="2327" w:name="_Toc277082654"/>
      <w:r>
        <w:rPr>
          <w:rFonts w:ascii="宋体" w:hAnsi="宋体"/>
          <w:color w:val="auto"/>
          <w:kern w:val="0"/>
          <w:sz w:val="24"/>
        </w:rPr>
        <w:br w:type="page"/>
      </w:r>
      <w:r>
        <w:rPr>
          <w:color w:val="auto"/>
          <w:sz w:val="32"/>
          <w:szCs w:val="32"/>
        </w:rPr>
        <w:t>附表五：施工总平面图</w:t>
      </w:r>
      <w:bookmarkEnd w:id="2321"/>
      <w:bookmarkEnd w:id="2322"/>
      <w:bookmarkEnd w:id="2323"/>
      <w:bookmarkEnd w:id="2324"/>
      <w:bookmarkEnd w:id="2325"/>
      <w:bookmarkEnd w:id="2326"/>
      <w:bookmarkEnd w:id="2327"/>
    </w:p>
    <w:p w14:paraId="04ACCC36">
      <w:pPr>
        <w:autoSpaceDE w:val="0"/>
        <w:autoSpaceDN w:val="0"/>
        <w:adjustRightInd w:val="0"/>
        <w:snapToGrid w:val="0"/>
        <w:spacing w:line="360" w:lineRule="auto"/>
        <w:jc w:val="left"/>
        <w:rPr>
          <w:rFonts w:ascii="宋体" w:hAnsi="宋体"/>
          <w:color w:val="auto"/>
          <w:kern w:val="0"/>
          <w:sz w:val="20"/>
          <w:szCs w:val="20"/>
        </w:rPr>
      </w:pPr>
    </w:p>
    <w:p w14:paraId="1D71A694">
      <w:pPr>
        <w:autoSpaceDE w:val="0"/>
        <w:autoSpaceDN w:val="0"/>
        <w:adjustRightInd w:val="0"/>
        <w:snapToGrid w:val="0"/>
        <w:spacing w:line="360" w:lineRule="auto"/>
        <w:ind w:firstLine="424" w:firstLineChars="202"/>
        <w:jc w:val="left"/>
        <w:rPr>
          <w:rFonts w:ascii="宋体" w:hAnsi="宋体"/>
          <w:color w:val="auto"/>
          <w:kern w:val="0"/>
          <w:szCs w:val="21"/>
        </w:rPr>
      </w:pPr>
      <w:r>
        <w:rPr>
          <w:rFonts w:ascii="宋体" w:hAnsi="宋体"/>
          <w:color w:val="auto"/>
          <w:kern w:val="0"/>
          <w:szCs w:val="21"/>
        </w:rPr>
        <w:t>投标人应递交一份施工总平面图</w:t>
      </w:r>
      <w:r>
        <w:rPr>
          <w:rFonts w:ascii="宋体" w:hAnsi="宋体"/>
          <w:color w:val="auto"/>
          <w:spacing w:val="-47"/>
          <w:kern w:val="0"/>
          <w:szCs w:val="21"/>
        </w:rPr>
        <w:t>，</w:t>
      </w:r>
      <w:r>
        <w:rPr>
          <w:rFonts w:ascii="宋体" w:hAnsi="宋体"/>
          <w:color w:val="auto"/>
          <w:kern w:val="0"/>
          <w:szCs w:val="21"/>
        </w:rPr>
        <w:t>绘出现场临时设施布置图表并附文字说明</w:t>
      </w:r>
      <w:r>
        <w:rPr>
          <w:rFonts w:ascii="宋体" w:hAnsi="宋体"/>
          <w:color w:val="auto"/>
          <w:spacing w:val="-47"/>
          <w:kern w:val="0"/>
          <w:szCs w:val="21"/>
        </w:rPr>
        <w:t>，</w:t>
      </w:r>
      <w:r>
        <w:rPr>
          <w:rFonts w:ascii="宋体" w:hAnsi="宋体"/>
          <w:color w:val="auto"/>
          <w:kern w:val="0"/>
          <w:szCs w:val="21"/>
        </w:rPr>
        <w:t>说明临时 设施</w:t>
      </w:r>
      <w:r>
        <w:rPr>
          <w:rFonts w:ascii="宋体" w:hAnsi="宋体"/>
          <w:color w:val="auto"/>
          <w:spacing w:val="-11"/>
          <w:kern w:val="0"/>
          <w:szCs w:val="21"/>
        </w:rPr>
        <w:t>、</w:t>
      </w:r>
      <w:r>
        <w:rPr>
          <w:rFonts w:ascii="宋体" w:hAnsi="宋体"/>
          <w:color w:val="auto"/>
          <w:kern w:val="0"/>
          <w:szCs w:val="21"/>
        </w:rPr>
        <w:t>加工车间</w:t>
      </w:r>
      <w:r>
        <w:rPr>
          <w:rFonts w:ascii="宋体" w:hAnsi="宋体"/>
          <w:color w:val="auto"/>
          <w:spacing w:val="-11"/>
          <w:kern w:val="0"/>
          <w:szCs w:val="21"/>
        </w:rPr>
        <w:t>、</w:t>
      </w:r>
      <w:r>
        <w:rPr>
          <w:rFonts w:ascii="宋体" w:hAnsi="宋体"/>
          <w:color w:val="auto"/>
          <w:kern w:val="0"/>
          <w:szCs w:val="21"/>
        </w:rPr>
        <w:t>现场办公</w:t>
      </w:r>
      <w:r>
        <w:rPr>
          <w:rFonts w:ascii="宋体" w:hAnsi="宋体"/>
          <w:color w:val="auto"/>
          <w:spacing w:val="-11"/>
          <w:kern w:val="0"/>
          <w:szCs w:val="21"/>
        </w:rPr>
        <w:t>、</w:t>
      </w:r>
      <w:r>
        <w:rPr>
          <w:rFonts w:ascii="宋体" w:hAnsi="宋体"/>
          <w:color w:val="auto"/>
          <w:kern w:val="0"/>
          <w:szCs w:val="21"/>
        </w:rPr>
        <w:t>设备及仓储</w:t>
      </w:r>
      <w:r>
        <w:rPr>
          <w:rFonts w:ascii="宋体" w:hAnsi="宋体"/>
          <w:color w:val="auto"/>
          <w:spacing w:val="-11"/>
          <w:kern w:val="0"/>
          <w:szCs w:val="21"/>
        </w:rPr>
        <w:t>、</w:t>
      </w:r>
      <w:r>
        <w:rPr>
          <w:rFonts w:ascii="宋体" w:hAnsi="宋体"/>
          <w:color w:val="auto"/>
          <w:kern w:val="0"/>
          <w:szCs w:val="21"/>
        </w:rPr>
        <w:t>供电</w:t>
      </w:r>
      <w:r>
        <w:rPr>
          <w:rFonts w:ascii="宋体" w:hAnsi="宋体"/>
          <w:color w:val="auto"/>
          <w:spacing w:val="-11"/>
          <w:kern w:val="0"/>
          <w:szCs w:val="21"/>
        </w:rPr>
        <w:t>、</w:t>
      </w:r>
      <w:r>
        <w:rPr>
          <w:rFonts w:ascii="宋体" w:hAnsi="宋体"/>
          <w:color w:val="auto"/>
          <w:kern w:val="0"/>
          <w:szCs w:val="21"/>
        </w:rPr>
        <w:t>供水</w:t>
      </w:r>
      <w:r>
        <w:rPr>
          <w:rFonts w:ascii="宋体" w:hAnsi="宋体"/>
          <w:color w:val="auto"/>
          <w:spacing w:val="-10"/>
          <w:kern w:val="0"/>
          <w:szCs w:val="21"/>
        </w:rPr>
        <w:t>、</w:t>
      </w:r>
      <w:r>
        <w:rPr>
          <w:rFonts w:ascii="宋体" w:hAnsi="宋体"/>
          <w:color w:val="auto"/>
          <w:kern w:val="0"/>
          <w:szCs w:val="21"/>
        </w:rPr>
        <w:t>卫生</w:t>
      </w:r>
      <w:r>
        <w:rPr>
          <w:rFonts w:ascii="宋体" w:hAnsi="宋体"/>
          <w:color w:val="auto"/>
          <w:spacing w:val="-11"/>
          <w:kern w:val="0"/>
          <w:szCs w:val="21"/>
        </w:rPr>
        <w:t>、</w:t>
      </w:r>
      <w:r>
        <w:rPr>
          <w:rFonts w:ascii="宋体" w:hAnsi="宋体"/>
          <w:color w:val="auto"/>
          <w:kern w:val="0"/>
          <w:szCs w:val="21"/>
        </w:rPr>
        <w:t>生活</w:t>
      </w:r>
      <w:r>
        <w:rPr>
          <w:rFonts w:ascii="宋体" w:hAnsi="宋体"/>
          <w:color w:val="auto"/>
          <w:spacing w:val="-11"/>
          <w:kern w:val="0"/>
          <w:szCs w:val="21"/>
        </w:rPr>
        <w:t>、</w:t>
      </w:r>
      <w:r>
        <w:rPr>
          <w:rFonts w:ascii="宋体" w:hAnsi="宋体"/>
          <w:color w:val="auto"/>
          <w:kern w:val="0"/>
          <w:szCs w:val="21"/>
        </w:rPr>
        <w:t>道路</w:t>
      </w:r>
      <w:r>
        <w:rPr>
          <w:rFonts w:ascii="宋体" w:hAnsi="宋体"/>
          <w:color w:val="auto"/>
          <w:spacing w:val="-11"/>
          <w:kern w:val="0"/>
          <w:szCs w:val="21"/>
        </w:rPr>
        <w:t>、</w:t>
      </w:r>
      <w:r>
        <w:rPr>
          <w:rFonts w:ascii="宋体" w:hAnsi="宋体"/>
          <w:color w:val="auto"/>
          <w:spacing w:val="1"/>
          <w:kern w:val="0"/>
          <w:szCs w:val="21"/>
        </w:rPr>
        <w:t>消</w:t>
      </w:r>
      <w:r>
        <w:rPr>
          <w:rFonts w:ascii="宋体" w:hAnsi="宋体"/>
          <w:color w:val="auto"/>
          <w:kern w:val="0"/>
          <w:szCs w:val="21"/>
        </w:rPr>
        <w:t>防等设施的情况和布置。</w:t>
      </w:r>
    </w:p>
    <w:p w14:paraId="757969CD">
      <w:pPr>
        <w:autoSpaceDE w:val="0"/>
        <w:autoSpaceDN w:val="0"/>
        <w:adjustRightInd w:val="0"/>
        <w:snapToGrid w:val="0"/>
        <w:spacing w:line="360" w:lineRule="auto"/>
        <w:jc w:val="left"/>
        <w:rPr>
          <w:rFonts w:ascii="宋体" w:hAnsi="宋体"/>
          <w:color w:val="auto"/>
          <w:kern w:val="0"/>
          <w:szCs w:val="21"/>
        </w:rPr>
      </w:pPr>
      <w:r>
        <w:rPr>
          <w:rFonts w:ascii="宋体" w:hAnsi="宋体"/>
          <w:color w:val="auto"/>
          <w:kern w:val="0"/>
          <w:szCs w:val="21"/>
        </w:rPr>
        <w:br w:type="page"/>
      </w:r>
    </w:p>
    <w:p w14:paraId="1D55CC3D">
      <w:pPr>
        <w:jc w:val="center"/>
        <w:rPr>
          <w:color w:val="auto"/>
          <w:sz w:val="32"/>
          <w:szCs w:val="32"/>
        </w:rPr>
      </w:pPr>
      <w:bookmarkStart w:id="2328" w:name="_Toc287620828"/>
      <w:bookmarkStart w:id="2329" w:name="_Toc224103509"/>
      <w:bookmarkStart w:id="2330" w:name="_Toc509218862"/>
      <w:bookmarkStart w:id="2331" w:name="_Toc534185839"/>
      <w:bookmarkStart w:id="2332" w:name="_Toc287607881"/>
      <w:bookmarkStart w:id="2333" w:name="_Toc277082655"/>
      <w:bookmarkStart w:id="2334" w:name="_Toc430530544"/>
      <w:r>
        <w:rPr>
          <w:rFonts w:hint="eastAsia"/>
          <w:color w:val="auto"/>
          <w:sz w:val="32"/>
          <w:szCs w:val="32"/>
        </w:rPr>
        <w:t>附表六：临时用地表</w:t>
      </w:r>
      <w:bookmarkEnd w:id="2328"/>
      <w:bookmarkEnd w:id="2329"/>
      <w:bookmarkEnd w:id="2330"/>
      <w:bookmarkEnd w:id="2331"/>
      <w:bookmarkEnd w:id="2332"/>
      <w:bookmarkEnd w:id="2333"/>
      <w:bookmarkEnd w:id="2334"/>
    </w:p>
    <w:tbl>
      <w:tblPr>
        <w:tblStyle w:val="45"/>
        <w:tblW w:w="952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076045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vAlign w:val="center"/>
          </w:tcPr>
          <w:p w14:paraId="16E7C1AB">
            <w:pPr>
              <w:autoSpaceDE w:val="0"/>
              <w:autoSpaceDN w:val="0"/>
              <w:adjustRightInd w:val="0"/>
              <w:snapToGrid w:val="0"/>
              <w:jc w:val="center"/>
              <w:rPr>
                <w:rFonts w:ascii="宋体" w:hAnsi="宋体"/>
                <w:color w:val="auto"/>
                <w:kern w:val="0"/>
                <w:sz w:val="24"/>
              </w:rPr>
            </w:pPr>
            <w:r>
              <w:rPr>
                <w:rFonts w:ascii="宋体" w:hAnsi="宋体"/>
                <w:color w:val="auto"/>
                <w:kern w:val="0"/>
                <w:szCs w:val="21"/>
              </w:rPr>
              <w:t>用 途</w:t>
            </w:r>
          </w:p>
        </w:tc>
        <w:tc>
          <w:tcPr>
            <w:tcW w:w="2381" w:type="dxa"/>
            <w:vAlign w:val="center"/>
          </w:tcPr>
          <w:p w14:paraId="1507DC51">
            <w:pPr>
              <w:autoSpaceDE w:val="0"/>
              <w:autoSpaceDN w:val="0"/>
              <w:adjustRightInd w:val="0"/>
              <w:snapToGrid w:val="0"/>
              <w:jc w:val="center"/>
              <w:rPr>
                <w:rFonts w:ascii="宋体" w:hAnsi="宋体"/>
                <w:color w:val="auto"/>
                <w:kern w:val="0"/>
                <w:sz w:val="24"/>
              </w:rPr>
            </w:pPr>
            <w:r>
              <w:rPr>
                <w:rFonts w:ascii="宋体" w:hAnsi="宋体"/>
                <w:color w:val="auto"/>
                <w:kern w:val="0"/>
                <w:szCs w:val="21"/>
              </w:rPr>
              <w:t>面 积（平</w:t>
            </w:r>
            <w:r>
              <w:rPr>
                <w:rFonts w:ascii="宋体" w:hAnsi="宋体"/>
                <w:color w:val="auto"/>
                <w:spacing w:val="-1"/>
                <w:kern w:val="0"/>
                <w:szCs w:val="21"/>
              </w:rPr>
              <w:t>方</w:t>
            </w:r>
            <w:r>
              <w:rPr>
                <w:rFonts w:ascii="宋体" w:hAnsi="宋体"/>
                <w:color w:val="auto"/>
                <w:kern w:val="0"/>
                <w:szCs w:val="21"/>
              </w:rPr>
              <w:t>米）</w:t>
            </w:r>
          </w:p>
        </w:tc>
        <w:tc>
          <w:tcPr>
            <w:tcW w:w="2383" w:type="dxa"/>
            <w:vAlign w:val="center"/>
          </w:tcPr>
          <w:p w14:paraId="7DF56A2A">
            <w:pPr>
              <w:autoSpaceDE w:val="0"/>
              <w:autoSpaceDN w:val="0"/>
              <w:adjustRightInd w:val="0"/>
              <w:snapToGrid w:val="0"/>
              <w:jc w:val="center"/>
              <w:rPr>
                <w:rFonts w:ascii="宋体" w:hAnsi="宋体"/>
                <w:color w:val="auto"/>
                <w:kern w:val="0"/>
                <w:sz w:val="24"/>
              </w:rPr>
            </w:pPr>
            <w:r>
              <w:rPr>
                <w:rFonts w:ascii="宋体" w:hAnsi="宋体"/>
                <w:color w:val="auto"/>
                <w:kern w:val="0"/>
                <w:szCs w:val="21"/>
              </w:rPr>
              <w:t>位 置</w:t>
            </w:r>
          </w:p>
        </w:tc>
        <w:tc>
          <w:tcPr>
            <w:tcW w:w="2384" w:type="dxa"/>
            <w:vAlign w:val="center"/>
          </w:tcPr>
          <w:p w14:paraId="54A8CD20">
            <w:pPr>
              <w:autoSpaceDE w:val="0"/>
              <w:autoSpaceDN w:val="0"/>
              <w:adjustRightInd w:val="0"/>
              <w:snapToGrid w:val="0"/>
              <w:jc w:val="center"/>
              <w:rPr>
                <w:rFonts w:ascii="宋体" w:hAnsi="宋体"/>
                <w:color w:val="auto"/>
                <w:kern w:val="0"/>
                <w:sz w:val="24"/>
              </w:rPr>
            </w:pPr>
            <w:r>
              <w:rPr>
                <w:rFonts w:ascii="宋体" w:hAnsi="宋体"/>
                <w:color w:val="auto"/>
                <w:kern w:val="0"/>
                <w:szCs w:val="21"/>
              </w:rPr>
              <w:t>需用时间</w:t>
            </w:r>
          </w:p>
        </w:tc>
      </w:tr>
      <w:tr w14:paraId="48E12C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86EA575">
            <w:pPr>
              <w:autoSpaceDE w:val="0"/>
              <w:autoSpaceDN w:val="0"/>
              <w:adjustRightInd w:val="0"/>
              <w:snapToGrid w:val="0"/>
              <w:jc w:val="left"/>
              <w:rPr>
                <w:rFonts w:ascii="宋体" w:hAnsi="宋体"/>
                <w:color w:val="auto"/>
                <w:kern w:val="0"/>
                <w:sz w:val="24"/>
              </w:rPr>
            </w:pPr>
          </w:p>
        </w:tc>
        <w:tc>
          <w:tcPr>
            <w:tcW w:w="2381" w:type="dxa"/>
          </w:tcPr>
          <w:p w14:paraId="6F1DD029">
            <w:pPr>
              <w:autoSpaceDE w:val="0"/>
              <w:autoSpaceDN w:val="0"/>
              <w:adjustRightInd w:val="0"/>
              <w:snapToGrid w:val="0"/>
              <w:jc w:val="left"/>
              <w:rPr>
                <w:rFonts w:ascii="宋体" w:hAnsi="宋体"/>
                <w:color w:val="auto"/>
                <w:kern w:val="0"/>
                <w:sz w:val="24"/>
              </w:rPr>
            </w:pPr>
          </w:p>
        </w:tc>
        <w:tc>
          <w:tcPr>
            <w:tcW w:w="2383" w:type="dxa"/>
          </w:tcPr>
          <w:p w14:paraId="47515F45">
            <w:pPr>
              <w:autoSpaceDE w:val="0"/>
              <w:autoSpaceDN w:val="0"/>
              <w:adjustRightInd w:val="0"/>
              <w:snapToGrid w:val="0"/>
              <w:jc w:val="left"/>
              <w:rPr>
                <w:rFonts w:ascii="宋体" w:hAnsi="宋体"/>
                <w:color w:val="auto"/>
                <w:kern w:val="0"/>
                <w:sz w:val="24"/>
              </w:rPr>
            </w:pPr>
          </w:p>
        </w:tc>
        <w:tc>
          <w:tcPr>
            <w:tcW w:w="2384" w:type="dxa"/>
          </w:tcPr>
          <w:p w14:paraId="2631A657">
            <w:pPr>
              <w:autoSpaceDE w:val="0"/>
              <w:autoSpaceDN w:val="0"/>
              <w:adjustRightInd w:val="0"/>
              <w:snapToGrid w:val="0"/>
              <w:jc w:val="left"/>
              <w:rPr>
                <w:rFonts w:ascii="宋体" w:hAnsi="宋体"/>
                <w:color w:val="auto"/>
                <w:kern w:val="0"/>
                <w:sz w:val="24"/>
              </w:rPr>
            </w:pPr>
          </w:p>
        </w:tc>
      </w:tr>
      <w:tr w14:paraId="1BDE12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0E7A181">
            <w:pPr>
              <w:autoSpaceDE w:val="0"/>
              <w:autoSpaceDN w:val="0"/>
              <w:adjustRightInd w:val="0"/>
              <w:snapToGrid w:val="0"/>
              <w:jc w:val="left"/>
              <w:rPr>
                <w:rFonts w:ascii="宋体" w:hAnsi="宋体"/>
                <w:color w:val="auto"/>
                <w:kern w:val="0"/>
                <w:sz w:val="24"/>
              </w:rPr>
            </w:pPr>
          </w:p>
        </w:tc>
        <w:tc>
          <w:tcPr>
            <w:tcW w:w="2381" w:type="dxa"/>
          </w:tcPr>
          <w:p w14:paraId="3C72A45E">
            <w:pPr>
              <w:autoSpaceDE w:val="0"/>
              <w:autoSpaceDN w:val="0"/>
              <w:adjustRightInd w:val="0"/>
              <w:snapToGrid w:val="0"/>
              <w:jc w:val="left"/>
              <w:rPr>
                <w:rFonts w:ascii="宋体" w:hAnsi="宋体"/>
                <w:color w:val="auto"/>
                <w:kern w:val="0"/>
                <w:sz w:val="24"/>
              </w:rPr>
            </w:pPr>
          </w:p>
        </w:tc>
        <w:tc>
          <w:tcPr>
            <w:tcW w:w="2383" w:type="dxa"/>
          </w:tcPr>
          <w:p w14:paraId="2E804E3E">
            <w:pPr>
              <w:autoSpaceDE w:val="0"/>
              <w:autoSpaceDN w:val="0"/>
              <w:adjustRightInd w:val="0"/>
              <w:snapToGrid w:val="0"/>
              <w:jc w:val="left"/>
              <w:rPr>
                <w:rFonts w:ascii="宋体" w:hAnsi="宋体"/>
                <w:color w:val="auto"/>
                <w:kern w:val="0"/>
                <w:sz w:val="24"/>
              </w:rPr>
            </w:pPr>
          </w:p>
        </w:tc>
        <w:tc>
          <w:tcPr>
            <w:tcW w:w="2384" w:type="dxa"/>
          </w:tcPr>
          <w:p w14:paraId="0B289699">
            <w:pPr>
              <w:autoSpaceDE w:val="0"/>
              <w:autoSpaceDN w:val="0"/>
              <w:adjustRightInd w:val="0"/>
              <w:snapToGrid w:val="0"/>
              <w:jc w:val="left"/>
              <w:rPr>
                <w:rFonts w:ascii="宋体" w:hAnsi="宋体"/>
                <w:color w:val="auto"/>
                <w:kern w:val="0"/>
                <w:sz w:val="24"/>
              </w:rPr>
            </w:pPr>
          </w:p>
        </w:tc>
      </w:tr>
      <w:tr w14:paraId="55EB4B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EE81BDE">
            <w:pPr>
              <w:autoSpaceDE w:val="0"/>
              <w:autoSpaceDN w:val="0"/>
              <w:adjustRightInd w:val="0"/>
              <w:snapToGrid w:val="0"/>
              <w:jc w:val="left"/>
              <w:rPr>
                <w:rFonts w:ascii="宋体" w:hAnsi="宋体"/>
                <w:color w:val="auto"/>
                <w:kern w:val="0"/>
                <w:sz w:val="24"/>
              </w:rPr>
            </w:pPr>
          </w:p>
        </w:tc>
        <w:tc>
          <w:tcPr>
            <w:tcW w:w="2381" w:type="dxa"/>
          </w:tcPr>
          <w:p w14:paraId="2EB082D6">
            <w:pPr>
              <w:autoSpaceDE w:val="0"/>
              <w:autoSpaceDN w:val="0"/>
              <w:adjustRightInd w:val="0"/>
              <w:snapToGrid w:val="0"/>
              <w:jc w:val="left"/>
              <w:rPr>
                <w:rFonts w:ascii="宋体" w:hAnsi="宋体"/>
                <w:color w:val="auto"/>
                <w:kern w:val="0"/>
                <w:sz w:val="24"/>
              </w:rPr>
            </w:pPr>
          </w:p>
        </w:tc>
        <w:tc>
          <w:tcPr>
            <w:tcW w:w="2383" w:type="dxa"/>
          </w:tcPr>
          <w:p w14:paraId="4A9022CC">
            <w:pPr>
              <w:autoSpaceDE w:val="0"/>
              <w:autoSpaceDN w:val="0"/>
              <w:adjustRightInd w:val="0"/>
              <w:snapToGrid w:val="0"/>
              <w:jc w:val="left"/>
              <w:rPr>
                <w:rFonts w:ascii="宋体" w:hAnsi="宋体"/>
                <w:color w:val="auto"/>
                <w:kern w:val="0"/>
                <w:sz w:val="24"/>
              </w:rPr>
            </w:pPr>
          </w:p>
        </w:tc>
        <w:tc>
          <w:tcPr>
            <w:tcW w:w="2384" w:type="dxa"/>
          </w:tcPr>
          <w:p w14:paraId="00084A3E">
            <w:pPr>
              <w:autoSpaceDE w:val="0"/>
              <w:autoSpaceDN w:val="0"/>
              <w:adjustRightInd w:val="0"/>
              <w:snapToGrid w:val="0"/>
              <w:jc w:val="left"/>
              <w:rPr>
                <w:rFonts w:ascii="宋体" w:hAnsi="宋体"/>
                <w:color w:val="auto"/>
                <w:kern w:val="0"/>
                <w:sz w:val="24"/>
              </w:rPr>
            </w:pPr>
          </w:p>
        </w:tc>
      </w:tr>
      <w:tr w14:paraId="497709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A9D7077">
            <w:pPr>
              <w:autoSpaceDE w:val="0"/>
              <w:autoSpaceDN w:val="0"/>
              <w:adjustRightInd w:val="0"/>
              <w:snapToGrid w:val="0"/>
              <w:jc w:val="left"/>
              <w:rPr>
                <w:rFonts w:ascii="宋体" w:hAnsi="宋体"/>
                <w:color w:val="auto"/>
                <w:kern w:val="0"/>
                <w:sz w:val="24"/>
              </w:rPr>
            </w:pPr>
          </w:p>
        </w:tc>
        <w:tc>
          <w:tcPr>
            <w:tcW w:w="2381" w:type="dxa"/>
          </w:tcPr>
          <w:p w14:paraId="77546A4C">
            <w:pPr>
              <w:autoSpaceDE w:val="0"/>
              <w:autoSpaceDN w:val="0"/>
              <w:adjustRightInd w:val="0"/>
              <w:snapToGrid w:val="0"/>
              <w:jc w:val="left"/>
              <w:rPr>
                <w:rFonts w:ascii="宋体" w:hAnsi="宋体"/>
                <w:color w:val="auto"/>
                <w:kern w:val="0"/>
                <w:sz w:val="24"/>
              </w:rPr>
            </w:pPr>
          </w:p>
        </w:tc>
        <w:tc>
          <w:tcPr>
            <w:tcW w:w="2383" w:type="dxa"/>
          </w:tcPr>
          <w:p w14:paraId="26FC7491">
            <w:pPr>
              <w:autoSpaceDE w:val="0"/>
              <w:autoSpaceDN w:val="0"/>
              <w:adjustRightInd w:val="0"/>
              <w:snapToGrid w:val="0"/>
              <w:jc w:val="left"/>
              <w:rPr>
                <w:rFonts w:ascii="宋体" w:hAnsi="宋体"/>
                <w:color w:val="auto"/>
                <w:kern w:val="0"/>
                <w:sz w:val="24"/>
              </w:rPr>
            </w:pPr>
          </w:p>
        </w:tc>
        <w:tc>
          <w:tcPr>
            <w:tcW w:w="2384" w:type="dxa"/>
          </w:tcPr>
          <w:p w14:paraId="1C01718A">
            <w:pPr>
              <w:autoSpaceDE w:val="0"/>
              <w:autoSpaceDN w:val="0"/>
              <w:adjustRightInd w:val="0"/>
              <w:snapToGrid w:val="0"/>
              <w:jc w:val="left"/>
              <w:rPr>
                <w:rFonts w:ascii="宋体" w:hAnsi="宋体"/>
                <w:color w:val="auto"/>
                <w:kern w:val="0"/>
                <w:sz w:val="24"/>
              </w:rPr>
            </w:pPr>
          </w:p>
        </w:tc>
      </w:tr>
      <w:tr w14:paraId="1232FD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4F0A1D5">
            <w:pPr>
              <w:autoSpaceDE w:val="0"/>
              <w:autoSpaceDN w:val="0"/>
              <w:adjustRightInd w:val="0"/>
              <w:snapToGrid w:val="0"/>
              <w:jc w:val="left"/>
              <w:rPr>
                <w:rFonts w:ascii="宋体" w:hAnsi="宋体"/>
                <w:color w:val="auto"/>
                <w:kern w:val="0"/>
                <w:sz w:val="24"/>
              </w:rPr>
            </w:pPr>
          </w:p>
        </w:tc>
        <w:tc>
          <w:tcPr>
            <w:tcW w:w="2381" w:type="dxa"/>
          </w:tcPr>
          <w:p w14:paraId="333D3BB1">
            <w:pPr>
              <w:autoSpaceDE w:val="0"/>
              <w:autoSpaceDN w:val="0"/>
              <w:adjustRightInd w:val="0"/>
              <w:snapToGrid w:val="0"/>
              <w:jc w:val="left"/>
              <w:rPr>
                <w:rFonts w:ascii="宋体" w:hAnsi="宋体"/>
                <w:color w:val="auto"/>
                <w:kern w:val="0"/>
                <w:sz w:val="24"/>
              </w:rPr>
            </w:pPr>
          </w:p>
        </w:tc>
        <w:tc>
          <w:tcPr>
            <w:tcW w:w="2383" w:type="dxa"/>
          </w:tcPr>
          <w:p w14:paraId="0D00D187">
            <w:pPr>
              <w:autoSpaceDE w:val="0"/>
              <w:autoSpaceDN w:val="0"/>
              <w:adjustRightInd w:val="0"/>
              <w:snapToGrid w:val="0"/>
              <w:jc w:val="left"/>
              <w:rPr>
                <w:rFonts w:ascii="宋体" w:hAnsi="宋体"/>
                <w:color w:val="auto"/>
                <w:kern w:val="0"/>
                <w:sz w:val="24"/>
              </w:rPr>
            </w:pPr>
          </w:p>
        </w:tc>
        <w:tc>
          <w:tcPr>
            <w:tcW w:w="2384" w:type="dxa"/>
          </w:tcPr>
          <w:p w14:paraId="3F567214">
            <w:pPr>
              <w:autoSpaceDE w:val="0"/>
              <w:autoSpaceDN w:val="0"/>
              <w:adjustRightInd w:val="0"/>
              <w:snapToGrid w:val="0"/>
              <w:jc w:val="left"/>
              <w:rPr>
                <w:rFonts w:ascii="宋体" w:hAnsi="宋体"/>
                <w:color w:val="auto"/>
                <w:kern w:val="0"/>
                <w:sz w:val="24"/>
              </w:rPr>
            </w:pPr>
          </w:p>
        </w:tc>
      </w:tr>
      <w:tr w14:paraId="433370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956AF60">
            <w:pPr>
              <w:autoSpaceDE w:val="0"/>
              <w:autoSpaceDN w:val="0"/>
              <w:adjustRightInd w:val="0"/>
              <w:snapToGrid w:val="0"/>
              <w:jc w:val="left"/>
              <w:rPr>
                <w:rFonts w:ascii="宋体" w:hAnsi="宋体"/>
                <w:color w:val="auto"/>
                <w:kern w:val="0"/>
                <w:sz w:val="24"/>
              </w:rPr>
            </w:pPr>
          </w:p>
        </w:tc>
        <w:tc>
          <w:tcPr>
            <w:tcW w:w="2381" w:type="dxa"/>
          </w:tcPr>
          <w:p w14:paraId="63BF35C3">
            <w:pPr>
              <w:autoSpaceDE w:val="0"/>
              <w:autoSpaceDN w:val="0"/>
              <w:adjustRightInd w:val="0"/>
              <w:snapToGrid w:val="0"/>
              <w:jc w:val="left"/>
              <w:rPr>
                <w:rFonts w:ascii="宋体" w:hAnsi="宋体"/>
                <w:color w:val="auto"/>
                <w:kern w:val="0"/>
                <w:sz w:val="24"/>
              </w:rPr>
            </w:pPr>
          </w:p>
        </w:tc>
        <w:tc>
          <w:tcPr>
            <w:tcW w:w="2383" w:type="dxa"/>
          </w:tcPr>
          <w:p w14:paraId="744B9D45">
            <w:pPr>
              <w:autoSpaceDE w:val="0"/>
              <w:autoSpaceDN w:val="0"/>
              <w:adjustRightInd w:val="0"/>
              <w:snapToGrid w:val="0"/>
              <w:jc w:val="left"/>
              <w:rPr>
                <w:rFonts w:ascii="宋体" w:hAnsi="宋体"/>
                <w:color w:val="auto"/>
                <w:kern w:val="0"/>
                <w:sz w:val="24"/>
              </w:rPr>
            </w:pPr>
          </w:p>
        </w:tc>
        <w:tc>
          <w:tcPr>
            <w:tcW w:w="2384" w:type="dxa"/>
          </w:tcPr>
          <w:p w14:paraId="03E18412">
            <w:pPr>
              <w:autoSpaceDE w:val="0"/>
              <w:autoSpaceDN w:val="0"/>
              <w:adjustRightInd w:val="0"/>
              <w:snapToGrid w:val="0"/>
              <w:jc w:val="left"/>
              <w:rPr>
                <w:rFonts w:ascii="宋体" w:hAnsi="宋体"/>
                <w:color w:val="auto"/>
                <w:kern w:val="0"/>
                <w:sz w:val="24"/>
              </w:rPr>
            </w:pPr>
          </w:p>
        </w:tc>
      </w:tr>
      <w:tr w14:paraId="038A57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2EC208D">
            <w:pPr>
              <w:autoSpaceDE w:val="0"/>
              <w:autoSpaceDN w:val="0"/>
              <w:adjustRightInd w:val="0"/>
              <w:snapToGrid w:val="0"/>
              <w:jc w:val="left"/>
              <w:rPr>
                <w:rFonts w:ascii="宋体" w:hAnsi="宋体"/>
                <w:color w:val="auto"/>
                <w:kern w:val="0"/>
                <w:sz w:val="24"/>
              </w:rPr>
            </w:pPr>
          </w:p>
        </w:tc>
        <w:tc>
          <w:tcPr>
            <w:tcW w:w="2381" w:type="dxa"/>
          </w:tcPr>
          <w:p w14:paraId="62AB0D96">
            <w:pPr>
              <w:autoSpaceDE w:val="0"/>
              <w:autoSpaceDN w:val="0"/>
              <w:adjustRightInd w:val="0"/>
              <w:snapToGrid w:val="0"/>
              <w:jc w:val="left"/>
              <w:rPr>
                <w:rFonts w:ascii="宋体" w:hAnsi="宋体"/>
                <w:color w:val="auto"/>
                <w:kern w:val="0"/>
                <w:sz w:val="24"/>
              </w:rPr>
            </w:pPr>
          </w:p>
        </w:tc>
        <w:tc>
          <w:tcPr>
            <w:tcW w:w="2383" w:type="dxa"/>
          </w:tcPr>
          <w:p w14:paraId="32EDC2B7">
            <w:pPr>
              <w:autoSpaceDE w:val="0"/>
              <w:autoSpaceDN w:val="0"/>
              <w:adjustRightInd w:val="0"/>
              <w:snapToGrid w:val="0"/>
              <w:jc w:val="left"/>
              <w:rPr>
                <w:rFonts w:ascii="宋体" w:hAnsi="宋体"/>
                <w:color w:val="auto"/>
                <w:kern w:val="0"/>
                <w:sz w:val="24"/>
              </w:rPr>
            </w:pPr>
          </w:p>
        </w:tc>
        <w:tc>
          <w:tcPr>
            <w:tcW w:w="2384" w:type="dxa"/>
          </w:tcPr>
          <w:p w14:paraId="12748FCF">
            <w:pPr>
              <w:autoSpaceDE w:val="0"/>
              <w:autoSpaceDN w:val="0"/>
              <w:adjustRightInd w:val="0"/>
              <w:snapToGrid w:val="0"/>
              <w:jc w:val="left"/>
              <w:rPr>
                <w:rFonts w:ascii="宋体" w:hAnsi="宋体"/>
                <w:color w:val="auto"/>
                <w:kern w:val="0"/>
                <w:sz w:val="24"/>
              </w:rPr>
            </w:pPr>
          </w:p>
        </w:tc>
      </w:tr>
      <w:tr w14:paraId="155882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1522A4F">
            <w:pPr>
              <w:autoSpaceDE w:val="0"/>
              <w:autoSpaceDN w:val="0"/>
              <w:adjustRightInd w:val="0"/>
              <w:snapToGrid w:val="0"/>
              <w:jc w:val="left"/>
              <w:rPr>
                <w:rFonts w:ascii="宋体" w:hAnsi="宋体"/>
                <w:color w:val="auto"/>
                <w:kern w:val="0"/>
                <w:sz w:val="24"/>
              </w:rPr>
            </w:pPr>
          </w:p>
        </w:tc>
        <w:tc>
          <w:tcPr>
            <w:tcW w:w="2381" w:type="dxa"/>
          </w:tcPr>
          <w:p w14:paraId="2720A53D">
            <w:pPr>
              <w:autoSpaceDE w:val="0"/>
              <w:autoSpaceDN w:val="0"/>
              <w:adjustRightInd w:val="0"/>
              <w:snapToGrid w:val="0"/>
              <w:jc w:val="left"/>
              <w:rPr>
                <w:rFonts w:ascii="宋体" w:hAnsi="宋体"/>
                <w:color w:val="auto"/>
                <w:kern w:val="0"/>
                <w:sz w:val="24"/>
              </w:rPr>
            </w:pPr>
          </w:p>
        </w:tc>
        <w:tc>
          <w:tcPr>
            <w:tcW w:w="2383" w:type="dxa"/>
          </w:tcPr>
          <w:p w14:paraId="6C073330">
            <w:pPr>
              <w:autoSpaceDE w:val="0"/>
              <w:autoSpaceDN w:val="0"/>
              <w:adjustRightInd w:val="0"/>
              <w:snapToGrid w:val="0"/>
              <w:jc w:val="left"/>
              <w:rPr>
                <w:rFonts w:ascii="宋体" w:hAnsi="宋体"/>
                <w:color w:val="auto"/>
                <w:kern w:val="0"/>
                <w:sz w:val="24"/>
              </w:rPr>
            </w:pPr>
          </w:p>
        </w:tc>
        <w:tc>
          <w:tcPr>
            <w:tcW w:w="2384" w:type="dxa"/>
          </w:tcPr>
          <w:p w14:paraId="2AB7AADC">
            <w:pPr>
              <w:autoSpaceDE w:val="0"/>
              <w:autoSpaceDN w:val="0"/>
              <w:adjustRightInd w:val="0"/>
              <w:snapToGrid w:val="0"/>
              <w:jc w:val="left"/>
              <w:rPr>
                <w:rFonts w:ascii="宋体" w:hAnsi="宋体"/>
                <w:color w:val="auto"/>
                <w:kern w:val="0"/>
                <w:sz w:val="24"/>
              </w:rPr>
            </w:pPr>
          </w:p>
        </w:tc>
      </w:tr>
      <w:tr w14:paraId="156584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1A31A25">
            <w:pPr>
              <w:autoSpaceDE w:val="0"/>
              <w:autoSpaceDN w:val="0"/>
              <w:adjustRightInd w:val="0"/>
              <w:snapToGrid w:val="0"/>
              <w:jc w:val="left"/>
              <w:rPr>
                <w:rFonts w:ascii="宋体" w:hAnsi="宋体"/>
                <w:color w:val="auto"/>
                <w:kern w:val="0"/>
                <w:sz w:val="24"/>
              </w:rPr>
            </w:pPr>
          </w:p>
        </w:tc>
        <w:tc>
          <w:tcPr>
            <w:tcW w:w="2381" w:type="dxa"/>
          </w:tcPr>
          <w:p w14:paraId="765F270C">
            <w:pPr>
              <w:autoSpaceDE w:val="0"/>
              <w:autoSpaceDN w:val="0"/>
              <w:adjustRightInd w:val="0"/>
              <w:snapToGrid w:val="0"/>
              <w:jc w:val="left"/>
              <w:rPr>
                <w:rFonts w:ascii="宋体" w:hAnsi="宋体"/>
                <w:color w:val="auto"/>
                <w:kern w:val="0"/>
                <w:sz w:val="24"/>
              </w:rPr>
            </w:pPr>
          </w:p>
        </w:tc>
        <w:tc>
          <w:tcPr>
            <w:tcW w:w="2383" w:type="dxa"/>
          </w:tcPr>
          <w:p w14:paraId="6A16B4C8">
            <w:pPr>
              <w:autoSpaceDE w:val="0"/>
              <w:autoSpaceDN w:val="0"/>
              <w:adjustRightInd w:val="0"/>
              <w:snapToGrid w:val="0"/>
              <w:jc w:val="left"/>
              <w:rPr>
                <w:rFonts w:ascii="宋体" w:hAnsi="宋体"/>
                <w:color w:val="auto"/>
                <w:kern w:val="0"/>
                <w:sz w:val="24"/>
              </w:rPr>
            </w:pPr>
          </w:p>
        </w:tc>
        <w:tc>
          <w:tcPr>
            <w:tcW w:w="2384" w:type="dxa"/>
          </w:tcPr>
          <w:p w14:paraId="1627607C">
            <w:pPr>
              <w:autoSpaceDE w:val="0"/>
              <w:autoSpaceDN w:val="0"/>
              <w:adjustRightInd w:val="0"/>
              <w:snapToGrid w:val="0"/>
              <w:jc w:val="left"/>
              <w:rPr>
                <w:rFonts w:ascii="宋体" w:hAnsi="宋体"/>
                <w:color w:val="auto"/>
                <w:kern w:val="0"/>
                <w:sz w:val="24"/>
              </w:rPr>
            </w:pPr>
          </w:p>
        </w:tc>
      </w:tr>
      <w:tr w14:paraId="6F9684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3150BC2">
            <w:pPr>
              <w:autoSpaceDE w:val="0"/>
              <w:autoSpaceDN w:val="0"/>
              <w:adjustRightInd w:val="0"/>
              <w:snapToGrid w:val="0"/>
              <w:jc w:val="left"/>
              <w:rPr>
                <w:rFonts w:ascii="宋体" w:hAnsi="宋体"/>
                <w:color w:val="auto"/>
                <w:kern w:val="0"/>
                <w:sz w:val="24"/>
              </w:rPr>
            </w:pPr>
          </w:p>
        </w:tc>
        <w:tc>
          <w:tcPr>
            <w:tcW w:w="2381" w:type="dxa"/>
          </w:tcPr>
          <w:p w14:paraId="6FFAAE3A">
            <w:pPr>
              <w:autoSpaceDE w:val="0"/>
              <w:autoSpaceDN w:val="0"/>
              <w:adjustRightInd w:val="0"/>
              <w:snapToGrid w:val="0"/>
              <w:jc w:val="left"/>
              <w:rPr>
                <w:rFonts w:ascii="宋体" w:hAnsi="宋体"/>
                <w:color w:val="auto"/>
                <w:kern w:val="0"/>
                <w:sz w:val="24"/>
              </w:rPr>
            </w:pPr>
          </w:p>
        </w:tc>
        <w:tc>
          <w:tcPr>
            <w:tcW w:w="2383" w:type="dxa"/>
          </w:tcPr>
          <w:p w14:paraId="7A107773">
            <w:pPr>
              <w:autoSpaceDE w:val="0"/>
              <w:autoSpaceDN w:val="0"/>
              <w:adjustRightInd w:val="0"/>
              <w:snapToGrid w:val="0"/>
              <w:jc w:val="left"/>
              <w:rPr>
                <w:rFonts w:ascii="宋体" w:hAnsi="宋体"/>
                <w:color w:val="auto"/>
                <w:kern w:val="0"/>
                <w:sz w:val="24"/>
              </w:rPr>
            </w:pPr>
          </w:p>
        </w:tc>
        <w:tc>
          <w:tcPr>
            <w:tcW w:w="2384" w:type="dxa"/>
          </w:tcPr>
          <w:p w14:paraId="54197659">
            <w:pPr>
              <w:autoSpaceDE w:val="0"/>
              <w:autoSpaceDN w:val="0"/>
              <w:adjustRightInd w:val="0"/>
              <w:snapToGrid w:val="0"/>
              <w:jc w:val="left"/>
              <w:rPr>
                <w:rFonts w:ascii="宋体" w:hAnsi="宋体"/>
                <w:color w:val="auto"/>
                <w:kern w:val="0"/>
                <w:sz w:val="24"/>
              </w:rPr>
            </w:pPr>
          </w:p>
        </w:tc>
      </w:tr>
      <w:tr w14:paraId="6B2DE2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85D265B">
            <w:pPr>
              <w:autoSpaceDE w:val="0"/>
              <w:autoSpaceDN w:val="0"/>
              <w:adjustRightInd w:val="0"/>
              <w:snapToGrid w:val="0"/>
              <w:jc w:val="left"/>
              <w:rPr>
                <w:rFonts w:ascii="宋体" w:hAnsi="宋体"/>
                <w:color w:val="auto"/>
                <w:kern w:val="0"/>
                <w:sz w:val="24"/>
              </w:rPr>
            </w:pPr>
          </w:p>
        </w:tc>
        <w:tc>
          <w:tcPr>
            <w:tcW w:w="2381" w:type="dxa"/>
          </w:tcPr>
          <w:p w14:paraId="41D3E4BD">
            <w:pPr>
              <w:autoSpaceDE w:val="0"/>
              <w:autoSpaceDN w:val="0"/>
              <w:adjustRightInd w:val="0"/>
              <w:snapToGrid w:val="0"/>
              <w:jc w:val="left"/>
              <w:rPr>
                <w:rFonts w:ascii="宋体" w:hAnsi="宋体"/>
                <w:color w:val="auto"/>
                <w:kern w:val="0"/>
                <w:sz w:val="24"/>
              </w:rPr>
            </w:pPr>
          </w:p>
        </w:tc>
        <w:tc>
          <w:tcPr>
            <w:tcW w:w="2383" w:type="dxa"/>
          </w:tcPr>
          <w:p w14:paraId="55F4EB82">
            <w:pPr>
              <w:autoSpaceDE w:val="0"/>
              <w:autoSpaceDN w:val="0"/>
              <w:adjustRightInd w:val="0"/>
              <w:snapToGrid w:val="0"/>
              <w:jc w:val="left"/>
              <w:rPr>
                <w:rFonts w:ascii="宋体" w:hAnsi="宋体"/>
                <w:color w:val="auto"/>
                <w:kern w:val="0"/>
                <w:sz w:val="24"/>
              </w:rPr>
            </w:pPr>
          </w:p>
        </w:tc>
        <w:tc>
          <w:tcPr>
            <w:tcW w:w="2384" w:type="dxa"/>
          </w:tcPr>
          <w:p w14:paraId="26427293">
            <w:pPr>
              <w:autoSpaceDE w:val="0"/>
              <w:autoSpaceDN w:val="0"/>
              <w:adjustRightInd w:val="0"/>
              <w:snapToGrid w:val="0"/>
              <w:jc w:val="left"/>
              <w:rPr>
                <w:rFonts w:ascii="宋体" w:hAnsi="宋体"/>
                <w:color w:val="auto"/>
                <w:kern w:val="0"/>
                <w:sz w:val="24"/>
              </w:rPr>
            </w:pPr>
          </w:p>
        </w:tc>
      </w:tr>
      <w:tr w14:paraId="2775B0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A5E25C8">
            <w:pPr>
              <w:autoSpaceDE w:val="0"/>
              <w:autoSpaceDN w:val="0"/>
              <w:adjustRightInd w:val="0"/>
              <w:snapToGrid w:val="0"/>
              <w:jc w:val="left"/>
              <w:rPr>
                <w:rFonts w:ascii="宋体" w:hAnsi="宋体"/>
                <w:color w:val="auto"/>
                <w:kern w:val="0"/>
                <w:sz w:val="24"/>
              </w:rPr>
            </w:pPr>
          </w:p>
        </w:tc>
        <w:tc>
          <w:tcPr>
            <w:tcW w:w="2381" w:type="dxa"/>
          </w:tcPr>
          <w:p w14:paraId="438F0206">
            <w:pPr>
              <w:autoSpaceDE w:val="0"/>
              <w:autoSpaceDN w:val="0"/>
              <w:adjustRightInd w:val="0"/>
              <w:snapToGrid w:val="0"/>
              <w:jc w:val="left"/>
              <w:rPr>
                <w:rFonts w:ascii="宋体" w:hAnsi="宋体"/>
                <w:color w:val="auto"/>
                <w:kern w:val="0"/>
                <w:sz w:val="24"/>
              </w:rPr>
            </w:pPr>
          </w:p>
        </w:tc>
        <w:tc>
          <w:tcPr>
            <w:tcW w:w="2383" w:type="dxa"/>
          </w:tcPr>
          <w:p w14:paraId="1C808F6B">
            <w:pPr>
              <w:autoSpaceDE w:val="0"/>
              <w:autoSpaceDN w:val="0"/>
              <w:adjustRightInd w:val="0"/>
              <w:snapToGrid w:val="0"/>
              <w:jc w:val="left"/>
              <w:rPr>
                <w:rFonts w:ascii="宋体" w:hAnsi="宋体"/>
                <w:color w:val="auto"/>
                <w:kern w:val="0"/>
                <w:sz w:val="24"/>
              </w:rPr>
            </w:pPr>
          </w:p>
        </w:tc>
        <w:tc>
          <w:tcPr>
            <w:tcW w:w="2384" w:type="dxa"/>
          </w:tcPr>
          <w:p w14:paraId="25C85BD7">
            <w:pPr>
              <w:autoSpaceDE w:val="0"/>
              <w:autoSpaceDN w:val="0"/>
              <w:adjustRightInd w:val="0"/>
              <w:snapToGrid w:val="0"/>
              <w:jc w:val="left"/>
              <w:rPr>
                <w:rFonts w:ascii="宋体" w:hAnsi="宋体"/>
                <w:color w:val="auto"/>
                <w:kern w:val="0"/>
                <w:sz w:val="24"/>
              </w:rPr>
            </w:pPr>
          </w:p>
        </w:tc>
      </w:tr>
      <w:tr w14:paraId="2F2270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C9A50B9">
            <w:pPr>
              <w:autoSpaceDE w:val="0"/>
              <w:autoSpaceDN w:val="0"/>
              <w:adjustRightInd w:val="0"/>
              <w:snapToGrid w:val="0"/>
              <w:jc w:val="left"/>
              <w:rPr>
                <w:rFonts w:ascii="宋体" w:hAnsi="宋体"/>
                <w:color w:val="auto"/>
                <w:kern w:val="0"/>
                <w:sz w:val="24"/>
              </w:rPr>
            </w:pPr>
          </w:p>
        </w:tc>
        <w:tc>
          <w:tcPr>
            <w:tcW w:w="2381" w:type="dxa"/>
          </w:tcPr>
          <w:p w14:paraId="40B07A30">
            <w:pPr>
              <w:autoSpaceDE w:val="0"/>
              <w:autoSpaceDN w:val="0"/>
              <w:adjustRightInd w:val="0"/>
              <w:snapToGrid w:val="0"/>
              <w:jc w:val="left"/>
              <w:rPr>
                <w:rFonts w:ascii="宋体" w:hAnsi="宋体"/>
                <w:color w:val="auto"/>
                <w:kern w:val="0"/>
                <w:sz w:val="24"/>
              </w:rPr>
            </w:pPr>
          </w:p>
        </w:tc>
        <w:tc>
          <w:tcPr>
            <w:tcW w:w="2383" w:type="dxa"/>
          </w:tcPr>
          <w:p w14:paraId="549414C8">
            <w:pPr>
              <w:autoSpaceDE w:val="0"/>
              <w:autoSpaceDN w:val="0"/>
              <w:adjustRightInd w:val="0"/>
              <w:snapToGrid w:val="0"/>
              <w:jc w:val="left"/>
              <w:rPr>
                <w:rFonts w:ascii="宋体" w:hAnsi="宋体"/>
                <w:color w:val="auto"/>
                <w:kern w:val="0"/>
                <w:sz w:val="24"/>
              </w:rPr>
            </w:pPr>
          </w:p>
        </w:tc>
        <w:tc>
          <w:tcPr>
            <w:tcW w:w="2384" w:type="dxa"/>
          </w:tcPr>
          <w:p w14:paraId="1A769C42">
            <w:pPr>
              <w:autoSpaceDE w:val="0"/>
              <w:autoSpaceDN w:val="0"/>
              <w:adjustRightInd w:val="0"/>
              <w:snapToGrid w:val="0"/>
              <w:jc w:val="left"/>
              <w:rPr>
                <w:rFonts w:ascii="宋体" w:hAnsi="宋体"/>
                <w:color w:val="auto"/>
                <w:kern w:val="0"/>
                <w:sz w:val="24"/>
              </w:rPr>
            </w:pPr>
          </w:p>
        </w:tc>
      </w:tr>
      <w:tr w14:paraId="773FC8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DE1EACF">
            <w:pPr>
              <w:autoSpaceDE w:val="0"/>
              <w:autoSpaceDN w:val="0"/>
              <w:adjustRightInd w:val="0"/>
              <w:snapToGrid w:val="0"/>
              <w:jc w:val="left"/>
              <w:rPr>
                <w:rFonts w:ascii="宋体" w:hAnsi="宋体"/>
                <w:color w:val="auto"/>
                <w:kern w:val="0"/>
                <w:sz w:val="24"/>
              </w:rPr>
            </w:pPr>
          </w:p>
        </w:tc>
        <w:tc>
          <w:tcPr>
            <w:tcW w:w="2381" w:type="dxa"/>
          </w:tcPr>
          <w:p w14:paraId="3A649468">
            <w:pPr>
              <w:autoSpaceDE w:val="0"/>
              <w:autoSpaceDN w:val="0"/>
              <w:adjustRightInd w:val="0"/>
              <w:snapToGrid w:val="0"/>
              <w:jc w:val="left"/>
              <w:rPr>
                <w:rFonts w:ascii="宋体" w:hAnsi="宋体"/>
                <w:color w:val="auto"/>
                <w:kern w:val="0"/>
                <w:sz w:val="24"/>
              </w:rPr>
            </w:pPr>
          </w:p>
        </w:tc>
        <w:tc>
          <w:tcPr>
            <w:tcW w:w="2383" w:type="dxa"/>
          </w:tcPr>
          <w:p w14:paraId="218E2EE2">
            <w:pPr>
              <w:autoSpaceDE w:val="0"/>
              <w:autoSpaceDN w:val="0"/>
              <w:adjustRightInd w:val="0"/>
              <w:snapToGrid w:val="0"/>
              <w:jc w:val="left"/>
              <w:rPr>
                <w:rFonts w:ascii="宋体" w:hAnsi="宋体"/>
                <w:color w:val="auto"/>
                <w:kern w:val="0"/>
                <w:sz w:val="24"/>
              </w:rPr>
            </w:pPr>
          </w:p>
        </w:tc>
        <w:tc>
          <w:tcPr>
            <w:tcW w:w="2384" w:type="dxa"/>
          </w:tcPr>
          <w:p w14:paraId="79E8C617">
            <w:pPr>
              <w:autoSpaceDE w:val="0"/>
              <w:autoSpaceDN w:val="0"/>
              <w:adjustRightInd w:val="0"/>
              <w:snapToGrid w:val="0"/>
              <w:jc w:val="left"/>
              <w:rPr>
                <w:rFonts w:ascii="宋体" w:hAnsi="宋体"/>
                <w:color w:val="auto"/>
                <w:kern w:val="0"/>
                <w:sz w:val="24"/>
              </w:rPr>
            </w:pPr>
          </w:p>
        </w:tc>
      </w:tr>
      <w:tr w14:paraId="0CAD13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63DA86C">
            <w:pPr>
              <w:autoSpaceDE w:val="0"/>
              <w:autoSpaceDN w:val="0"/>
              <w:adjustRightInd w:val="0"/>
              <w:snapToGrid w:val="0"/>
              <w:jc w:val="left"/>
              <w:rPr>
                <w:rFonts w:ascii="宋体" w:hAnsi="宋体"/>
                <w:color w:val="auto"/>
                <w:kern w:val="0"/>
                <w:sz w:val="24"/>
              </w:rPr>
            </w:pPr>
          </w:p>
        </w:tc>
        <w:tc>
          <w:tcPr>
            <w:tcW w:w="2381" w:type="dxa"/>
          </w:tcPr>
          <w:p w14:paraId="03DDA902">
            <w:pPr>
              <w:autoSpaceDE w:val="0"/>
              <w:autoSpaceDN w:val="0"/>
              <w:adjustRightInd w:val="0"/>
              <w:snapToGrid w:val="0"/>
              <w:jc w:val="left"/>
              <w:rPr>
                <w:rFonts w:ascii="宋体" w:hAnsi="宋体"/>
                <w:color w:val="auto"/>
                <w:kern w:val="0"/>
                <w:sz w:val="24"/>
              </w:rPr>
            </w:pPr>
          </w:p>
        </w:tc>
        <w:tc>
          <w:tcPr>
            <w:tcW w:w="2383" w:type="dxa"/>
          </w:tcPr>
          <w:p w14:paraId="1BBA969C">
            <w:pPr>
              <w:autoSpaceDE w:val="0"/>
              <w:autoSpaceDN w:val="0"/>
              <w:adjustRightInd w:val="0"/>
              <w:snapToGrid w:val="0"/>
              <w:jc w:val="left"/>
              <w:rPr>
                <w:rFonts w:ascii="宋体" w:hAnsi="宋体"/>
                <w:color w:val="auto"/>
                <w:kern w:val="0"/>
                <w:sz w:val="24"/>
              </w:rPr>
            </w:pPr>
          </w:p>
        </w:tc>
        <w:tc>
          <w:tcPr>
            <w:tcW w:w="2384" w:type="dxa"/>
          </w:tcPr>
          <w:p w14:paraId="2C56994F">
            <w:pPr>
              <w:autoSpaceDE w:val="0"/>
              <w:autoSpaceDN w:val="0"/>
              <w:adjustRightInd w:val="0"/>
              <w:snapToGrid w:val="0"/>
              <w:jc w:val="left"/>
              <w:rPr>
                <w:rFonts w:ascii="宋体" w:hAnsi="宋体"/>
                <w:color w:val="auto"/>
                <w:kern w:val="0"/>
                <w:sz w:val="24"/>
              </w:rPr>
            </w:pPr>
          </w:p>
        </w:tc>
      </w:tr>
      <w:tr w14:paraId="1EF61C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7C09CBE">
            <w:pPr>
              <w:autoSpaceDE w:val="0"/>
              <w:autoSpaceDN w:val="0"/>
              <w:adjustRightInd w:val="0"/>
              <w:snapToGrid w:val="0"/>
              <w:jc w:val="left"/>
              <w:rPr>
                <w:rFonts w:ascii="宋体" w:hAnsi="宋体"/>
                <w:color w:val="auto"/>
                <w:kern w:val="0"/>
                <w:sz w:val="24"/>
              </w:rPr>
            </w:pPr>
          </w:p>
        </w:tc>
        <w:tc>
          <w:tcPr>
            <w:tcW w:w="2381" w:type="dxa"/>
          </w:tcPr>
          <w:p w14:paraId="0B1F6248">
            <w:pPr>
              <w:autoSpaceDE w:val="0"/>
              <w:autoSpaceDN w:val="0"/>
              <w:adjustRightInd w:val="0"/>
              <w:snapToGrid w:val="0"/>
              <w:jc w:val="left"/>
              <w:rPr>
                <w:rFonts w:ascii="宋体" w:hAnsi="宋体"/>
                <w:color w:val="auto"/>
                <w:kern w:val="0"/>
                <w:sz w:val="24"/>
              </w:rPr>
            </w:pPr>
          </w:p>
        </w:tc>
        <w:tc>
          <w:tcPr>
            <w:tcW w:w="2383" w:type="dxa"/>
          </w:tcPr>
          <w:p w14:paraId="33F603F0">
            <w:pPr>
              <w:autoSpaceDE w:val="0"/>
              <w:autoSpaceDN w:val="0"/>
              <w:adjustRightInd w:val="0"/>
              <w:snapToGrid w:val="0"/>
              <w:jc w:val="left"/>
              <w:rPr>
                <w:rFonts w:ascii="宋体" w:hAnsi="宋体"/>
                <w:color w:val="auto"/>
                <w:kern w:val="0"/>
                <w:sz w:val="24"/>
              </w:rPr>
            </w:pPr>
          </w:p>
        </w:tc>
        <w:tc>
          <w:tcPr>
            <w:tcW w:w="2384" w:type="dxa"/>
          </w:tcPr>
          <w:p w14:paraId="6AE4BE66">
            <w:pPr>
              <w:autoSpaceDE w:val="0"/>
              <w:autoSpaceDN w:val="0"/>
              <w:adjustRightInd w:val="0"/>
              <w:snapToGrid w:val="0"/>
              <w:jc w:val="left"/>
              <w:rPr>
                <w:rFonts w:ascii="宋体" w:hAnsi="宋体"/>
                <w:color w:val="auto"/>
                <w:kern w:val="0"/>
                <w:sz w:val="24"/>
              </w:rPr>
            </w:pPr>
          </w:p>
        </w:tc>
      </w:tr>
      <w:tr w14:paraId="7CFF8C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873DA71">
            <w:pPr>
              <w:autoSpaceDE w:val="0"/>
              <w:autoSpaceDN w:val="0"/>
              <w:adjustRightInd w:val="0"/>
              <w:snapToGrid w:val="0"/>
              <w:jc w:val="left"/>
              <w:rPr>
                <w:rFonts w:ascii="宋体" w:hAnsi="宋体"/>
                <w:color w:val="auto"/>
                <w:kern w:val="0"/>
                <w:sz w:val="24"/>
              </w:rPr>
            </w:pPr>
          </w:p>
        </w:tc>
        <w:tc>
          <w:tcPr>
            <w:tcW w:w="2381" w:type="dxa"/>
          </w:tcPr>
          <w:p w14:paraId="61AC5E88">
            <w:pPr>
              <w:autoSpaceDE w:val="0"/>
              <w:autoSpaceDN w:val="0"/>
              <w:adjustRightInd w:val="0"/>
              <w:snapToGrid w:val="0"/>
              <w:jc w:val="left"/>
              <w:rPr>
                <w:rFonts w:ascii="宋体" w:hAnsi="宋体"/>
                <w:color w:val="auto"/>
                <w:kern w:val="0"/>
                <w:sz w:val="24"/>
              </w:rPr>
            </w:pPr>
          </w:p>
        </w:tc>
        <w:tc>
          <w:tcPr>
            <w:tcW w:w="2383" w:type="dxa"/>
          </w:tcPr>
          <w:p w14:paraId="39019ABD">
            <w:pPr>
              <w:autoSpaceDE w:val="0"/>
              <w:autoSpaceDN w:val="0"/>
              <w:adjustRightInd w:val="0"/>
              <w:snapToGrid w:val="0"/>
              <w:jc w:val="left"/>
              <w:rPr>
                <w:rFonts w:ascii="宋体" w:hAnsi="宋体"/>
                <w:color w:val="auto"/>
                <w:kern w:val="0"/>
                <w:sz w:val="24"/>
              </w:rPr>
            </w:pPr>
          </w:p>
        </w:tc>
        <w:tc>
          <w:tcPr>
            <w:tcW w:w="2384" w:type="dxa"/>
          </w:tcPr>
          <w:p w14:paraId="29A8BA5D">
            <w:pPr>
              <w:autoSpaceDE w:val="0"/>
              <w:autoSpaceDN w:val="0"/>
              <w:adjustRightInd w:val="0"/>
              <w:snapToGrid w:val="0"/>
              <w:jc w:val="left"/>
              <w:rPr>
                <w:rFonts w:ascii="宋体" w:hAnsi="宋体"/>
                <w:color w:val="auto"/>
                <w:kern w:val="0"/>
                <w:sz w:val="24"/>
              </w:rPr>
            </w:pPr>
          </w:p>
        </w:tc>
      </w:tr>
      <w:tr w14:paraId="5C63D0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84BE74D">
            <w:pPr>
              <w:autoSpaceDE w:val="0"/>
              <w:autoSpaceDN w:val="0"/>
              <w:adjustRightInd w:val="0"/>
              <w:snapToGrid w:val="0"/>
              <w:jc w:val="left"/>
              <w:rPr>
                <w:rFonts w:ascii="宋体" w:hAnsi="宋体"/>
                <w:color w:val="auto"/>
                <w:kern w:val="0"/>
                <w:sz w:val="24"/>
              </w:rPr>
            </w:pPr>
          </w:p>
        </w:tc>
        <w:tc>
          <w:tcPr>
            <w:tcW w:w="2381" w:type="dxa"/>
          </w:tcPr>
          <w:p w14:paraId="59194F24">
            <w:pPr>
              <w:autoSpaceDE w:val="0"/>
              <w:autoSpaceDN w:val="0"/>
              <w:adjustRightInd w:val="0"/>
              <w:snapToGrid w:val="0"/>
              <w:jc w:val="left"/>
              <w:rPr>
                <w:rFonts w:ascii="宋体" w:hAnsi="宋体"/>
                <w:color w:val="auto"/>
                <w:kern w:val="0"/>
                <w:sz w:val="24"/>
              </w:rPr>
            </w:pPr>
          </w:p>
        </w:tc>
        <w:tc>
          <w:tcPr>
            <w:tcW w:w="2383" w:type="dxa"/>
          </w:tcPr>
          <w:p w14:paraId="06DF9737">
            <w:pPr>
              <w:autoSpaceDE w:val="0"/>
              <w:autoSpaceDN w:val="0"/>
              <w:adjustRightInd w:val="0"/>
              <w:snapToGrid w:val="0"/>
              <w:jc w:val="left"/>
              <w:rPr>
                <w:rFonts w:ascii="宋体" w:hAnsi="宋体"/>
                <w:color w:val="auto"/>
                <w:kern w:val="0"/>
                <w:sz w:val="24"/>
              </w:rPr>
            </w:pPr>
          </w:p>
        </w:tc>
        <w:tc>
          <w:tcPr>
            <w:tcW w:w="2384" w:type="dxa"/>
          </w:tcPr>
          <w:p w14:paraId="52E5CA50">
            <w:pPr>
              <w:autoSpaceDE w:val="0"/>
              <w:autoSpaceDN w:val="0"/>
              <w:adjustRightInd w:val="0"/>
              <w:snapToGrid w:val="0"/>
              <w:jc w:val="left"/>
              <w:rPr>
                <w:rFonts w:ascii="宋体" w:hAnsi="宋体"/>
                <w:color w:val="auto"/>
                <w:kern w:val="0"/>
                <w:sz w:val="24"/>
              </w:rPr>
            </w:pPr>
          </w:p>
        </w:tc>
      </w:tr>
      <w:tr w14:paraId="4E9689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CEAAD91">
            <w:pPr>
              <w:autoSpaceDE w:val="0"/>
              <w:autoSpaceDN w:val="0"/>
              <w:adjustRightInd w:val="0"/>
              <w:snapToGrid w:val="0"/>
              <w:jc w:val="left"/>
              <w:rPr>
                <w:rFonts w:ascii="宋体" w:hAnsi="宋体"/>
                <w:color w:val="auto"/>
                <w:kern w:val="0"/>
                <w:sz w:val="24"/>
              </w:rPr>
            </w:pPr>
          </w:p>
        </w:tc>
        <w:tc>
          <w:tcPr>
            <w:tcW w:w="2381" w:type="dxa"/>
          </w:tcPr>
          <w:p w14:paraId="3CF35D52">
            <w:pPr>
              <w:autoSpaceDE w:val="0"/>
              <w:autoSpaceDN w:val="0"/>
              <w:adjustRightInd w:val="0"/>
              <w:snapToGrid w:val="0"/>
              <w:jc w:val="left"/>
              <w:rPr>
                <w:rFonts w:ascii="宋体" w:hAnsi="宋体"/>
                <w:color w:val="auto"/>
                <w:kern w:val="0"/>
                <w:sz w:val="24"/>
              </w:rPr>
            </w:pPr>
          </w:p>
        </w:tc>
        <w:tc>
          <w:tcPr>
            <w:tcW w:w="2383" w:type="dxa"/>
          </w:tcPr>
          <w:p w14:paraId="573ABBA3">
            <w:pPr>
              <w:autoSpaceDE w:val="0"/>
              <w:autoSpaceDN w:val="0"/>
              <w:adjustRightInd w:val="0"/>
              <w:snapToGrid w:val="0"/>
              <w:jc w:val="left"/>
              <w:rPr>
                <w:rFonts w:ascii="宋体" w:hAnsi="宋体"/>
                <w:color w:val="auto"/>
                <w:kern w:val="0"/>
                <w:sz w:val="24"/>
              </w:rPr>
            </w:pPr>
          </w:p>
        </w:tc>
        <w:tc>
          <w:tcPr>
            <w:tcW w:w="2384" w:type="dxa"/>
          </w:tcPr>
          <w:p w14:paraId="2705E52B">
            <w:pPr>
              <w:autoSpaceDE w:val="0"/>
              <w:autoSpaceDN w:val="0"/>
              <w:adjustRightInd w:val="0"/>
              <w:snapToGrid w:val="0"/>
              <w:jc w:val="left"/>
              <w:rPr>
                <w:rFonts w:ascii="宋体" w:hAnsi="宋体"/>
                <w:color w:val="auto"/>
                <w:kern w:val="0"/>
                <w:sz w:val="24"/>
              </w:rPr>
            </w:pPr>
          </w:p>
        </w:tc>
      </w:tr>
      <w:tr w14:paraId="45F5FF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57D1BEA">
            <w:pPr>
              <w:autoSpaceDE w:val="0"/>
              <w:autoSpaceDN w:val="0"/>
              <w:adjustRightInd w:val="0"/>
              <w:snapToGrid w:val="0"/>
              <w:jc w:val="left"/>
              <w:rPr>
                <w:rFonts w:ascii="宋体" w:hAnsi="宋体"/>
                <w:color w:val="auto"/>
                <w:kern w:val="0"/>
                <w:sz w:val="24"/>
              </w:rPr>
            </w:pPr>
          </w:p>
        </w:tc>
        <w:tc>
          <w:tcPr>
            <w:tcW w:w="2381" w:type="dxa"/>
          </w:tcPr>
          <w:p w14:paraId="5245B1C6">
            <w:pPr>
              <w:autoSpaceDE w:val="0"/>
              <w:autoSpaceDN w:val="0"/>
              <w:adjustRightInd w:val="0"/>
              <w:snapToGrid w:val="0"/>
              <w:jc w:val="left"/>
              <w:rPr>
                <w:rFonts w:ascii="宋体" w:hAnsi="宋体"/>
                <w:color w:val="auto"/>
                <w:kern w:val="0"/>
                <w:sz w:val="24"/>
              </w:rPr>
            </w:pPr>
          </w:p>
        </w:tc>
        <w:tc>
          <w:tcPr>
            <w:tcW w:w="2383" w:type="dxa"/>
          </w:tcPr>
          <w:p w14:paraId="2965CC10">
            <w:pPr>
              <w:autoSpaceDE w:val="0"/>
              <w:autoSpaceDN w:val="0"/>
              <w:adjustRightInd w:val="0"/>
              <w:snapToGrid w:val="0"/>
              <w:jc w:val="left"/>
              <w:rPr>
                <w:rFonts w:ascii="宋体" w:hAnsi="宋体"/>
                <w:color w:val="auto"/>
                <w:kern w:val="0"/>
                <w:sz w:val="24"/>
              </w:rPr>
            </w:pPr>
          </w:p>
        </w:tc>
        <w:tc>
          <w:tcPr>
            <w:tcW w:w="2384" w:type="dxa"/>
          </w:tcPr>
          <w:p w14:paraId="4BCD3597">
            <w:pPr>
              <w:autoSpaceDE w:val="0"/>
              <w:autoSpaceDN w:val="0"/>
              <w:adjustRightInd w:val="0"/>
              <w:snapToGrid w:val="0"/>
              <w:jc w:val="left"/>
              <w:rPr>
                <w:rFonts w:ascii="宋体" w:hAnsi="宋体"/>
                <w:color w:val="auto"/>
                <w:kern w:val="0"/>
                <w:sz w:val="24"/>
              </w:rPr>
            </w:pPr>
          </w:p>
        </w:tc>
      </w:tr>
      <w:tr w14:paraId="099031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8B84720">
            <w:pPr>
              <w:autoSpaceDE w:val="0"/>
              <w:autoSpaceDN w:val="0"/>
              <w:adjustRightInd w:val="0"/>
              <w:snapToGrid w:val="0"/>
              <w:jc w:val="left"/>
              <w:rPr>
                <w:rFonts w:ascii="宋体" w:hAnsi="宋体"/>
                <w:color w:val="auto"/>
                <w:kern w:val="0"/>
                <w:sz w:val="24"/>
              </w:rPr>
            </w:pPr>
          </w:p>
        </w:tc>
        <w:tc>
          <w:tcPr>
            <w:tcW w:w="2381" w:type="dxa"/>
          </w:tcPr>
          <w:p w14:paraId="567158B1">
            <w:pPr>
              <w:autoSpaceDE w:val="0"/>
              <w:autoSpaceDN w:val="0"/>
              <w:adjustRightInd w:val="0"/>
              <w:snapToGrid w:val="0"/>
              <w:jc w:val="left"/>
              <w:rPr>
                <w:rFonts w:ascii="宋体" w:hAnsi="宋体"/>
                <w:color w:val="auto"/>
                <w:kern w:val="0"/>
                <w:sz w:val="24"/>
              </w:rPr>
            </w:pPr>
          </w:p>
        </w:tc>
        <w:tc>
          <w:tcPr>
            <w:tcW w:w="2383" w:type="dxa"/>
          </w:tcPr>
          <w:p w14:paraId="5C4E8BB4">
            <w:pPr>
              <w:autoSpaceDE w:val="0"/>
              <w:autoSpaceDN w:val="0"/>
              <w:adjustRightInd w:val="0"/>
              <w:snapToGrid w:val="0"/>
              <w:jc w:val="left"/>
              <w:rPr>
                <w:rFonts w:ascii="宋体" w:hAnsi="宋体"/>
                <w:color w:val="auto"/>
                <w:kern w:val="0"/>
                <w:sz w:val="24"/>
              </w:rPr>
            </w:pPr>
          </w:p>
        </w:tc>
        <w:tc>
          <w:tcPr>
            <w:tcW w:w="2384" w:type="dxa"/>
          </w:tcPr>
          <w:p w14:paraId="09EC516D">
            <w:pPr>
              <w:autoSpaceDE w:val="0"/>
              <w:autoSpaceDN w:val="0"/>
              <w:adjustRightInd w:val="0"/>
              <w:snapToGrid w:val="0"/>
              <w:jc w:val="left"/>
              <w:rPr>
                <w:rFonts w:ascii="宋体" w:hAnsi="宋体"/>
                <w:color w:val="auto"/>
                <w:kern w:val="0"/>
                <w:sz w:val="24"/>
              </w:rPr>
            </w:pPr>
          </w:p>
        </w:tc>
      </w:tr>
      <w:tr w14:paraId="35D1B5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C78189A">
            <w:pPr>
              <w:autoSpaceDE w:val="0"/>
              <w:autoSpaceDN w:val="0"/>
              <w:adjustRightInd w:val="0"/>
              <w:snapToGrid w:val="0"/>
              <w:jc w:val="left"/>
              <w:rPr>
                <w:rFonts w:ascii="宋体" w:hAnsi="宋体"/>
                <w:color w:val="auto"/>
                <w:kern w:val="0"/>
                <w:sz w:val="24"/>
              </w:rPr>
            </w:pPr>
          </w:p>
        </w:tc>
        <w:tc>
          <w:tcPr>
            <w:tcW w:w="2381" w:type="dxa"/>
          </w:tcPr>
          <w:p w14:paraId="34EE91C3">
            <w:pPr>
              <w:autoSpaceDE w:val="0"/>
              <w:autoSpaceDN w:val="0"/>
              <w:adjustRightInd w:val="0"/>
              <w:snapToGrid w:val="0"/>
              <w:jc w:val="left"/>
              <w:rPr>
                <w:rFonts w:ascii="宋体" w:hAnsi="宋体"/>
                <w:color w:val="auto"/>
                <w:kern w:val="0"/>
                <w:sz w:val="24"/>
              </w:rPr>
            </w:pPr>
          </w:p>
        </w:tc>
        <w:tc>
          <w:tcPr>
            <w:tcW w:w="2383" w:type="dxa"/>
          </w:tcPr>
          <w:p w14:paraId="79777A68">
            <w:pPr>
              <w:autoSpaceDE w:val="0"/>
              <w:autoSpaceDN w:val="0"/>
              <w:adjustRightInd w:val="0"/>
              <w:snapToGrid w:val="0"/>
              <w:jc w:val="left"/>
              <w:rPr>
                <w:rFonts w:ascii="宋体" w:hAnsi="宋体"/>
                <w:color w:val="auto"/>
                <w:kern w:val="0"/>
                <w:sz w:val="24"/>
              </w:rPr>
            </w:pPr>
          </w:p>
        </w:tc>
        <w:tc>
          <w:tcPr>
            <w:tcW w:w="2384" w:type="dxa"/>
          </w:tcPr>
          <w:p w14:paraId="647A9ED2">
            <w:pPr>
              <w:autoSpaceDE w:val="0"/>
              <w:autoSpaceDN w:val="0"/>
              <w:adjustRightInd w:val="0"/>
              <w:snapToGrid w:val="0"/>
              <w:jc w:val="left"/>
              <w:rPr>
                <w:rFonts w:ascii="宋体" w:hAnsi="宋体"/>
                <w:color w:val="auto"/>
                <w:kern w:val="0"/>
                <w:sz w:val="24"/>
              </w:rPr>
            </w:pPr>
          </w:p>
        </w:tc>
      </w:tr>
    </w:tbl>
    <w:p w14:paraId="4850EA6A">
      <w:pPr>
        <w:autoSpaceDE w:val="0"/>
        <w:autoSpaceDN w:val="0"/>
        <w:adjustRightInd w:val="0"/>
        <w:snapToGrid w:val="0"/>
        <w:spacing w:line="20" w:lineRule="exact"/>
        <w:jc w:val="left"/>
        <w:rPr>
          <w:rFonts w:ascii="宋体" w:hAnsi="宋体"/>
          <w:color w:val="auto"/>
          <w:kern w:val="0"/>
        </w:rPr>
      </w:pPr>
    </w:p>
    <w:p w14:paraId="09B6451B">
      <w:pPr>
        <w:autoSpaceDE w:val="0"/>
        <w:autoSpaceDN w:val="0"/>
        <w:adjustRightInd w:val="0"/>
        <w:snapToGrid w:val="0"/>
        <w:spacing w:line="360" w:lineRule="auto"/>
        <w:jc w:val="center"/>
        <w:rPr>
          <w:rFonts w:ascii="宋体" w:hAnsi="宋体"/>
          <w:color w:val="auto"/>
          <w:sz w:val="36"/>
          <w:szCs w:val="36"/>
        </w:rPr>
      </w:pPr>
      <w:r>
        <w:rPr>
          <w:rFonts w:ascii="宋体" w:hAnsi="宋体"/>
          <w:color w:val="auto"/>
          <w:sz w:val="36"/>
          <w:szCs w:val="36"/>
        </w:rPr>
        <w:br w:type="page"/>
      </w:r>
    </w:p>
    <w:p w14:paraId="4B8FD9FC">
      <w:pPr>
        <w:pStyle w:val="4"/>
        <w:spacing w:line="360" w:lineRule="auto"/>
        <w:jc w:val="center"/>
        <w:rPr>
          <w:rFonts w:ascii="宋体" w:hAnsi="宋体"/>
          <w:b w:val="0"/>
          <w:bCs w:val="0"/>
          <w:color w:val="auto"/>
          <w:sz w:val="44"/>
          <w:szCs w:val="44"/>
        </w:rPr>
      </w:pPr>
      <w:bookmarkStart w:id="2335" w:name="_Toc287620829"/>
      <w:bookmarkStart w:id="2336" w:name="_Toc277082656"/>
      <w:bookmarkStart w:id="2337" w:name="_Toc224103510"/>
      <w:bookmarkStart w:id="2338" w:name="_Toc287607882"/>
      <w:bookmarkStart w:id="2339" w:name="_Toc430530545"/>
      <w:bookmarkStart w:id="2340" w:name="_Toc28854"/>
      <w:r>
        <w:rPr>
          <w:rFonts w:hint="eastAsia" w:ascii="宋体" w:hAnsi="宋体"/>
          <w:b w:val="0"/>
          <w:bCs w:val="0"/>
          <w:color w:val="auto"/>
          <w:sz w:val="44"/>
          <w:szCs w:val="44"/>
          <w:lang w:eastAsia="zh-CN"/>
        </w:rPr>
        <w:t>三</w:t>
      </w:r>
      <w:r>
        <w:rPr>
          <w:rFonts w:hint="eastAsia" w:ascii="宋体" w:hAnsi="宋体"/>
          <w:b w:val="0"/>
          <w:bCs w:val="0"/>
          <w:color w:val="auto"/>
          <w:sz w:val="44"/>
          <w:szCs w:val="44"/>
        </w:rPr>
        <w:t>、</w:t>
      </w:r>
      <w:bookmarkEnd w:id="2335"/>
      <w:bookmarkEnd w:id="2336"/>
      <w:bookmarkEnd w:id="2337"/>
      <w:bookmarkEnd w:id="2338"/>
      <w:bookmarkEnd w:id="2339"/>
      <w:r>
        <w:rPr>
          <w:rFonts w:hint="eastAsia" w:ascii="宋体" w:hAnsi="宋体"/>
          <w:b w:val="0"/>
          <w:bCs w:val="0"/>
          <w:color w:val="auto"/>
          <w:sz w:val="44"/>
          <w:szCs w:val="44"/>
        </w:rPr>
        <w:t>资格审查部分</w:t>
      </w:r>
      <w:bookmarkEnd w:id="2340"/>
    </w:p>
    <w:p w14:paraId="449194BD">
      <w:pPr>
        <w:spacing w:line="360" w:lineRule="auto"/>
        <w:jc w:val="center"/>
        <w:rPr>
          <w:rFonts w:ascii="宋体" w:hAnsi="宋体"/>
          <w:color w:val="auto"/>
          <w:kern w:val="0"/>
          <w:sz w:val="32"/>
          <w:szCs w:val="32"/>
        </w:rPr>
      </w:pPr>
      <w:r>
        <w:rPr>
          <w:rFonts w:ascii="宋体" w:hAnsi="宋体"/>
          <w:color w:val="auto"/>
          <w:sz w:val="32"/>
          <w:szCs w:val="32"/>
        </w:rPr>
        <w:br w:type="page"/>
      </w:r>
      <w:r>
        <w:rPr>
          <w:rFonts w:hint="eastAsia" w:ascii="宋体" w:hAnsi="宋体"/>
          <w:color w:val="auto"/>
          <w:kern w:val="0"/>
          <w:sz w:val="32"/>
          <w:szCs w:val="32"/>
          <w:u w:val="single"/>
        </w:rPr>
        <w:t xml:space="preserve">                   （项目名称）</w:t>
      </w:r>
    </w:p>
    <w:p w14:paraId="18CA28A9">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57D50B76">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49BC1448">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6E1C7B00">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58910B42">
      <w:pPr>
        <w:autoSpaceDE w:val="0"/>
        <w:autoSpaceDN w:val="0"/>
        <w:adjustRightInd w:val="0"/>
        <w:snapToGrid w:val="0"/>
        <w:spacing w:line="360" w:lineRule="auto"/>
        <w:jc w:val="left"/>
        <w:rPr>
          <w:rFonts w:ascii="宋体" w:hAnsi="宋体"/>
          <w:color w:val="auto"/>
          <w:kern w:val="0"/>
          <w:sz w:val="16"/>
          <w:szCs w:val="16"/>
        </w:rPr>
      </w:pPr>
    </w:p>
    <w:p w14:paraId="2AD6AF77">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资格审查部分</w:t>
      </w:r>
    </w:p>
    <w:p w14:paraId="7851CC71">
      <w:pPr>
        <w:autoSpaceDE w:val="0"/>
        <w:autoSpaceDN w:val="0"/>
        <w:adjustRightInd w:val="0"/>
        <w:snapToGrid w:val="0"/>
        <w:spacing w:line="360" w:lineRule="auto"/>
        <w:jc w:val="left"/>
        <w:rPr>
          <w:rFonts w:ascii="宋体" w:hAnsi="宋体" w:cs="MingLiU"/>
          <w:color w:val="auto"/>
          <w:kern w:val="0"/>
          <w:sz w:val="20"/>
          <w:szCs w:val="20"/>
        </w:rPr>
      </w:pPr>
    </w:p>
    <w:p w14:paraId="69C1BFC4">
      <w:pPr>
        <w:adjustRightInd w:val="0"/>
        <w:snapToGrid w:val="0"/>
        <w:spacing w:line="264" w:lineRule="auto"/>
        <w:rPr>
          <w:rFonts w:ascii="宋体" w:hAnsi="宋体"/>
          <w:color w:val="auto"/>
          <w:szCs w:val="21"/>
        </w:rPr>
      </w:pPr>
    </w:p>
    <w:p w14:paraId="1702C085">
      <w:pPr>
        <w:autoSpaceDE w:val="0"/>
        <w:autoSpaceDN w:val="0"/>
        <w:adjustRightInd w:val="0"/>
        <w:snapToGrid w:val="0"/>
        <w:spacing w:line="360" w:lineRule="auto"/>
        <w:jc w:val="left"/>
        <w:rPr>
          <w:rFonts w:ascii="宋体" w:hAnsi="宋体" w:cs="MingLiU"/>
          <w:color w:val="auto"/>
          <w:kern w:val="0"/>
          <w:sz w:val="20"/>
          <w:szCs w:val="20"/>
        </w:rPr>
      </w:pPr>
    </w:p>
    <w:p w14:paraId="417D4065">
      <w:pPr>
        <w:autoSpaceDE w:val="0"/>
        <w:autoSpaceDN w:val="0"/>
        <w:adjustRightInd w:val="0"/>
        <w:snapToGrid w:val="0"/>
        <w:spacing w:line="360" w:lineRule="auto"/>
        <w:jc w:val="left"/>
        <w:rPr>
          <w:rFonts w:ascii="宋体" w:hAnsi="宋体" w:cs="MingLiU"/>
          <w:color w:val="auto"/>
          <w:kern w:val="0"/>
          <w:sz w:val="20"/>
          <w:szCs w:val="20"/>
        </w:rPr>
      </w:pPr>
    </w:p>
    <w:p w14:paraId="47B3D0B7">
      <w:pPr>
        <w:autoSpaceDE w:val="0"/>
        <w:autoSpaceDN w:val="0"/>
        <w:adjustRightInd w:val="0"/>
        <w:snapToGrid w:val="0"/>
        <w:spacing w:line="360" w:lineRule="auto"/>
        <w:jc w:val="left"/>
        <w:rPr>
          <w:rFonts w:ascii="宋体" w:hAnsi="宋体" w:cs="MingLiU"/>
          <w:color w:val="auto"/>
          <w:kern w:val="0"/>
          <w:sz w:val="20"/>
          <w:szCs w:val="20"/>
        </w:rPr>
      </w:pPr>
    </w:p>
    <w:p w14:paraId="7567265E">
      <w:pPr>
        <w:autoSpaceDE w:val="0"/>
        <w:autoSpaceDN w:val="0"/>
        <w:adjustRightInd w:val="0"/>
        <w:snapToGrid w:val="0"/>
        <w:spacing w:line="360" w:lineRule="auto"/>
        <w:jc w:val="left"/>
        <w:rPr>
          <w:rFonts w:ascii="宋体" w:hAnsi="宋体" w:cs="MingLiU"/>
          <w:color w:val="auto"/>
          <w:kern w:val="0"/>
          <w:sz w:val="20"/>
          <w:szCs w:val="20"/>
        </w:rPr>
      </w:pPr>
    </w:p>
    <w:p w14:paraId="5BBE825D">
      <w:pPr>
        <w:autoSpaceDE w:val="0"/>
        <w:autoSpaceDN w:val="0"/>
        <w:adjustRightInd w:val="0"/>
        <w:snapToGrid w:val="0"/>
        <w:spacing w:line="360" w:lineRule="auto"/>
        <w:jc w:val="left"/>
        <w:rPr>
          <w:rFonts w:ascii="宋体" w:hAnsi="宋体" w:cs="MingLiU"/>
          <w:color w:val="auto"/>
          <w:kern w:val="0"/>
          <w:sz w:val="20"/>
          <w:szCs w:val="20"/>
        </w:rPr>
      </w:pPr>
    </w:p>
    <w:p w14:paraId="064A7049">
      <w:pPr>
        <w:autoSpaceDE w:val="0"/>
        <w:autoSpaceDN w:val="0"/>
        <w:adjustRightInd w:val="0"/>
        <w:snapToGrid w:val="0"/>
        <w:spacing w:line="360" w:lineRule="auto"/>
        <w:jc w:val="left"/>
        <w:rPr>
          <w:rFonts w:ascii="宋体" w:hAnsi="宋体" w:cs="MingLiU"/>
          <w:color w:val="auto"/>
          <w:kern w:val="0"/>
          <w:sz w:val="20"/>
          <w:szCs w:val="20"/>
        </w:rPr>
      </w:pPr>
    </w:p>
    <w:p w14:paraId="133E4209">
      <w:pPr>
        <w:autoSpaceDE w:val="0"/>
        <w:autoSpaceDN w:val="0"/>
        <w:adjustRightInd w:val="0"/>
        <w:snapToGrid w:val="0"/>
        <w:spacing w:line="360" w:lineRule="auto"/>
        <w:jc w:val="left"/>
        <w:rPr>
          <w:rFonts w:ascii="宋体" w:hAnsi="宋体" w:cs="MingLiU"/>
          <w:color w:val="auto"/>
          <w:kern w:val="0"/>
          <w:sz w:val="20"/>
          <w:szCs w:val="20"/>
        </w:rPr>
      </w:pPr>
    </w:p>
    <w:p w14:paraId="6919791A">
      <w:pPr>
        <w:autoSpaceDE w:val="0"/>
        <w:autoSpaceDN w:val="0"/>
        <w:adjustRightInd w:val="0"/>
        <w:snapToGrid w:val="0"/>
        <w:spacing w:line="360" w:lineRule="auto"/>
        <w:jc w:val="left"/>
        <w:rPr>
          <w:rFonts w:ascii="宋体" w:hAnsi="宋体" w:cs="MingLiU"/>
          <w:color w:val="auto"/>
          <w:kern w:val="0"/>
          <w:sz w:val="20"/>
          <w:szCs w:val="20"/>
        </w:rPr>
      </w:pPr>
    </w:p>
    <w:p w14:paraId="701ACE5C">
      <w:pPr>
        <w:autoSpaceDE w:val="0"/>
        <w:autoSpaceDN w:val="0"/>
        <w:adjustRightInd w:val="0"/>
        <w:snapToGrid w:val="0"/>
        <w:spacing w:line="360" w:lineRule="auto"/>
        <w:jc w:val="left"/>
        <w:rPr>
          <w:rFonts w:ascii="宋体" w:hAnsi="宋体" w:cs="MingLiU"/>
          <w:color w:val="auto"/>
          <w:kern w:val="0"/>
          <w:sz w:val="20"/>
          <w:szCs w:val="20"/>
        </w:rPr>
      </w:pPr>
    </w:p>
    <w:p w14:paraId="6DE190BA">
      <w:pPr>
        <w:autoSpaceDE w:val="0"/>
        <w:autoSpaceDN w:val="0"/>
        <w:adjustRightInd w:val="0"/>
        <w:snapToGrid w:val="0"/>
        <w:spacing w:line="360" w:lineRule="auto"/>
        <w:jc w:val="left"/>
        <w:rPr>
          <w:rFonts w:ascii="宋体" w:hAnsi="宋体" w:cs="MingLiU"/>
          <w:color w:val="auto"/>
          <w:kern w:val="0"/>
          <w:sz w:val="20"/>
          <w:szCs w:val="20"/>
        </w:rPr>
      </w:pPr>
    </w:p>
    <w:p w14:paraId="1AFEE032">
      <w:pPr>
        <w:autoSpaceDE w:val="0"/>
        <w:autoSpaceDN w:val="0"/>
        <w:adjustRightInd w:val="0"/>
        <w:snapToGrid w:val="0"/>
        <w:spacing w:line="360" w:lineRule="auto"/>
        <w:jc w:val="left"/>
        <w:rPr>
          <w:rFonts w:ascii="宋体" w:hAnsi="宋体" w:cs="MingLiU"/>
          <w:color w:val="auto"/>
          <w:kern w:val="0"/>
          <w:sz w:val="20"/>
          <w:szCs w:val="20"/>
        </w:rPr>
      </w:pPr>
    </w:p>
    <w:p w14:paraId="0BB5F84E">
      <w:pPr>
        <w:autoSpaceDE w:val="0"/>
        <w:autoSpaceDN w:val="0"/>
        <w:adjustRightInd w:val="0"/>
        <w:snapToGrid w:val="0"/>
        <w:spacing w:line="360" w:lineRule="auto"/>
        <w:jc w:val="left"/>
        <w:rPr>
          <w:rFonts w:ascii="宋体" w:hAnsi="宋体" w:cs="MingLiU"/>
          <w:color w:val="auto"/>
          <w:kern w:val="0"/>
          <w:sz w:val="20"/>
          <w:szCs w:val="20"/>
        </w:rPr>
      </w:pPr>
    </w:p>
    <w:p w14:paraId="591A91AE">
      <w:pPr>
        <w:autoSpaceDE w:val="0"/>
        <w:autoSpaceDN w:val="0"/>
        <w:adjustRightInd w:val="0"/>
        <w:snapToGrid w:val="0"/>
        <w:spacing w:line="360" w:lineRule="auto"/>
        <w:jc w:val="left"/>
        <w:rPr>
          <w:rFonts w:ascii="宋体" w:hAnsi="宋体" w:cs="MingLiU"/>
          <w:color w:val="auto"/>
          <w:kern w:val="0"/>
          <w:sz w:val="20"/>
          <w:szCs w:val="20"/>
        </w:rPr>
      </w:pPr>
    </w:p>
    <w:p w14:paraId="4012DED7">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03706FCB">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4420448F">
      <w:pPr>
        <w:tabs>
          <w:tab w:val="left" w:pos="3280"/>
          <w:tab w:val="left" w:pos="4680"/>
          <w:tab w:val="left" w:pos="6080"/>
        </w:tabs>
        <w:autoSpaceDE w:val="0"/>
        <w:autoSpaceDN w:val="0"/>
        <w:adjustRightInd w:val="0"/>
        <w:snapToGrid w:val="0"/>
        <w:spacing w:line="480" w:lineRule="auto"/>
        <w:jc w:val="center"/>
        <w:rPr>
          <w:rFonts w:ascii="宋体" w:hAnsi="宋体"/>
          <w:color w:val="auto"/>
          <w:w w:val="99"/>
          <w:kern w:val="0"/>
          <w:sz w:val="28"/>
          <w:szCs w:val="28"/>
        </w:rPr>
      </w:pP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年</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月</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日</w:t>
      </w:r>
    </w:p>
    <w:p w14:paraId="75CE854F">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rPr>
      </w:pPr>
      <w:r>
        <w:rPr>
          <w:rFonts w:ascii="宋体" w:hAnsi="宋体"/>
          <w:color w:val="auto"/>
          <w:w w:val="99"/>
          <w:kern w:val="0"/>
          <w:sz w:val="28"/>
          <w:szCs w:val="28"/>
        </w:rPr>
        <w:br w:type="page"/>
      </w:r>
    </w:p>
    <w:p w14:paraId="181F1F8F">
      <w:pPr>
        <w:autoSpaceDE w:val="0"/>
        <w:autoSpaceDN w:val="0"/>
        <w:adjustRightInd w:val="0"/>
        <w:snapToGrid w:val="0"/>
        <w:jc w:val="center"/>
        <w:rPr>
          <w:rFonts w:ascii="宋体" w:hAnsi="宋体"/>
          <w:color w:val="auto"/>
          <w:kern w:val="0"/>
          <w:sz w:val="36"/>
          <w:szCs w:val="36"/>
        </w:rPr>
      </w:pPr>
      <w:r>
        <w:rPr>
          <w:rFonts w:hint="eastAsia" w:ascii="宋体" w:hAnsi="宋体"/>
          <w:color w:val="auto"/>
          <w:kern w:val="0"/>
          <w:sz w:val="36"/>
          <w:szCs w:val="36"/>
        </w:rPr>
        <w:t>目  录</w:t>
      </w:r>
    </w:p>
    <w:p w14:paraId="79E87E16">
      <w:pPr>
        <w:spacing w:line="360" w:lineRule="auto"/>
        <w:jc w:val="center"/>
        <w:rPr>
          <w:rFonts w:ascii="宋体" w:hAnsi="宋体"/>
          <w:b/>
          <w:color w:val="auto"/>
          <w:kern w:val="0"/>
          <w:sz w:val="32"/>
          <w:szCs w:val="32"/>
        </w:rPr>
      </w:pPr>
    </w:p>
    <w:p w14:paraId="6DCABB60">
      <w:pPr>
        <w:spacing w:line="360" w:lineRule="auto"/>
        <w:ind w:firstLine="420" w:firstLineChars="200"/>
        <w:rPr>
          <w:rFonts w:ascii="宋体" w:hAnsi="宋体"/>
          <w:color w:val="auto"/>
          <w:szCs w:val="21"/>
        </w:rPr>
      </w:pPr>
      <w:r>
        <w:rPr>
          <w:rFonts w:ascii="宋体" w:hAnsi="宋体"/>
          <w:color w:val="auto"/>
          <w:szCs w:val="21"/>
        </w:rPr>
        <w:t>（一）</w:t>
      </w:r>
      <w:r>
        <w:rPr>
          <w:rFonts w:hint="eastAsia" w:ascii="宋体" w:hAnsi="宋体"/>
          <w:color w:val="auto"/>
          <w:szCs w:val="21"/>
        </w:rPr>
        <w:t>法定代表人身份证明或附有法定代表人身份证明的授权委托书</w:t>
      </w:r>
    </w:p>
    <w:p w14:paraId="32BEE342">
      <w:pPr>
        <w:spacing w:line="360" w:lineRule="auto"/>
        <w:ind w:firstLine="420" w:firstLineChars="200"/>
        <w:rPr>
          <w:rFonts w:ascii="宋体" w:hAnsi="宋体"/>
          <w:color w:val="auto"/>
          <w:szCs w:val="21"/>
        </w:rPr>
      </w:pPr>
      <w:r>
        <w:rPr>
          <w:rFonts w:ascii="宋体" w:hAnsi="宋体"/>
          <w:color w:val="auto"/>
          <w:szCs w:val="21"/>
        </w:rPr>
        <w:t>（二）联合体协议书</w:t>
      </w:r>
      <w:r>
        <w:rPr>
          <w:rFonts w:hint="eastAsia" w:ascii="宋体" w:hAnsi="宋体"/>
          <w:color w:val="auto"/>
          <w:szCs w:val="21"/>
        </w:rPr>
        <w:t>（如有）</w:t>
      </w:r>
    </w:p>
    <w:p w14:paraId="5A5C1117">
      <w:pPr>
        <w:spacing w:line="360" w:lineRule="auto"/>
        <w:ind w:firstLine="420" w:firstLineChars="200"/>
        <w:rPr>
          <w:rFonts w:ascii="宋体" w:hAnsi="宋体"/>
          <w:color w:val="auto"/>
          <w:szCs w:val="21"/>
        </w:rPr>
      </w:pPr>
      <w:r>
        <w:rPr>
          <w:rFonts w:ascii="宋体" w:hAnsi="宋体"/>
          <w:color w:val="auto"/>
          <w:szCs w:val="21"/>
        </w:rPr>
        <w:t>（三）投标人基本情况表</w:t>
      </w:r>
    </w:p>
    <w:p w14:paraId="603A3A3C">
      <w:pPr>
        <w:spacing w:line="360" w:lineRule="auto"/>
        <w:ind w:firstLine="420" w:firstLineChars="200"/>
        <w:rPr>
          <w:rFonts w:ascii="宋体" w:hAnsi="宋体"/>
          <w:color w:val="auto"/>
          <w:szCs w:val="21"/>
        </w:rPr>
      </w:pPr>
      <w:r>
        <w:rPr>
          <w:rFonts w:ascii="宋体" w:hAnsi="宋体"/>
          <w:color w:val="auto"/>
          <w:szCs w:val="21"/>
        </w:rPr>
        <w:t>（四）项目管理机构</w:t>
      </w:r>
    </w:p>
    <w:p w14:paraId="7D09E15C">
      <w:pPr>
        <w:spacing w:line="360" w:lineRule="auto"/>
        <w:ind w:firstLine="420" w:firstLineChars="200"/>
        <w:rPr>
          <w:rFonts w:ascii="宋体" w:hAnsi="宋体"/>
          <w:color w:val="auto"/>
          <w:szCs w:val="21"/>
        </w:rPr>
      </w:pPr>
      <w:r>
        <w:rPr>
          <w:rFonts w:ascii="宋体" w:hAnsi="宋体"/>
          <w:color w:val="auto"/>
          <w:szCs w:val="21"/>
        </w:rPr>
        <w:t>（五）近年财务状况表</w:t>
      </w:r>
    </w:p>
    <w:p w14:paraId="00762CFE">
      <w:pPr>
        <w:spacing w:line="360" w:lineRule="auto"/>
        <w:ind w:firstLine="420" w:firstLineChars="200"/>
        <w:rPr>
          <w:rFonts w:ascii="宋体" w:hAnsi="宋体"/>
          <w:color w:val="auto"/>
          <w:szCs w:val="21"/>
        </w:rPr>
      </w:pPr>
      <w:r>
        <w:rPr>
          <w:rFonts w:ascii="宋体" w:hAnsi="宋体"/>
          <w:color w:val="auto"/>
          <w:szCs w:val="21"/>
        </w:rPr>
        <w:t>（六）类似项目情况表</w:t>
      </w:r>
    </w:p>
    <w:p w14:paraId="779EDCE6">
      <w:pPr>
        <w:spacing w:line="360" w:lineRule="auto"/>
        <w:ind w:firstLine="420" w:firstLineChars="200"/>
        <w:rPr>
          <w:rFonts w:ascii="宋体" w:hAnsi="宋体"/>
          <w:color w:val="auto"/>
          <w:szCs w:val="21"/>
        </w:rPr>
      </w:pPr>
      <w:r>
        <w:rPr>
          <w:rFonts w:ascii="宋体" w:hAnsi="宋体"/>
          <w:color w:val="auto"/>
          <w:szCs w:val="21"/>
        </w:rPr>
        <w:t>（七）</w:t>
      </w:r>
      <w:r>
        <w:rPr>
          <w:rFonts w:hint="eastAsia" w:ascii="宋体" w:hAnsi="宋体"/>
          <w:color w:val="auto"/>
          <w:szCs w:val="21"/>
        </w:rPr>
        <w:t>承诺</w:t>
      </w:r>
    </w:p>
    <w:p w14:paraId="26CE2A2B">
      <w:pPr>
        <w:spacing w:line="360" w:lineRule="auto"/>
        <w:ind w:firstLine="420" w:firstLineChars="200"/>
        <w:rPr>
          <w:rFonts w:ascii="宋体" w:hAnsi="宋体"/>
          <w:color w:val="auto"/>
          <w:szCs w:val="21"/>
        </w:rPr>
      </w:pPr>
      <w:r>
        <w:rPr>
          <w:rFonts w:ascii="宋体" w:hAnsi="宋体"/>
          <w:color w:val="auto"/>
          <w:szCs w:val="21"/>
        </w:rPr>
        <w:t>（</w:t>
      </w:r>
      <w:r>
        <w:rPr>
          <w:rFonts w:hint="eastAsia" w:ascii="宋体" w:hAnsi="宋体"/>
          <w:color w:val="auto"/>
          <w:szCs w:val="21"/>
        </w:rPr>
        <w:t>八</w:t>
      </w:r>
      <w:r>
        <w:rPr>
          <w:rFonts w:ascii="宋体" w:hAnsi="宋体"/>
          <w:color w:val="auto"/>
          <w:szCs w:val="21"/>
        </w:rPr>
        <w:t>）其他资料</w:t>
      </w:r>
    </w:p>
    <w:p w14:paraId="5C287067">
      <w:pPr>
        <w:spacing w:line="360" w:lineRule="auto"/>
        <w:jc w:val="center"/>
        <w:rPr>
          <w:rFonts w:ascii="宋体" w:hAnsi="宋体"/>
          <w:b/>
          <w:color w:val="auto"/>
          <w:kern w:val="0"/>
          <w:sz w:val="32"/>
          <w:szCs w:val="32"/>
        </w:rPr>
      </w:pPr>
    </w:p>
    <w:p w14:paraId="46AB8F09">
      <w:pPr>
        <w:spacing w:line="360" w:lineRule="auto"/>
        <w:jc w:val="center"/>
        <w:rPr>
          <w:rFonts w:ascii="宋体" w:hAnsi="宋体"/>
          <w:b/>
          <w:color w:val="auto"/>
          <w:kern w:val="0"/>
          <w:sz w:val="32"/>
          <w:szCs w:val="32"/>
        </w:rPr>
      </w:pPr>
    </w:p>
    <w:p w14:paraId="57069DF9">
      <w:pPr>
        <w:pStyle w:val="5"/>
        <w:spacing w:before="0" w:after="0" w:line="240" w:lineRule="auto"/>
        <w:jc w:val="center"/>
        <w:rPr>
          <w:rFonts w:ascii="宋体" w:hAnsi="宋体"/>
          <w:color w:val="auto"/>
          <w:sz w:val="36"/>
          <w:szCs w:val="36"/>
        </w:rPr>
      </w:pPr>
      <w:r>
        <w:rPr>
          <w:rFonts w:ascii="宋体" w:hAnsi="宋体"/>
          <w:color w:val="auto"/>
        </w:rPr>
        <w:br w:type="page"/>
      </w:r>
      <w:bookmarkStart w:id="2341" w:name="_Toc287620830"/>
      <w:bookmarkStart w:id="2342" w:name="_Toc430530546"/>
      <w:bookmarkStart w:id="2343" w:name="_Toc287607883"/>
      <w:bookmarkStart w:id="2344" w:name="_Toc277082657"/>
      <w:bookmarkStart w:id="2345" w:name="_Toc224103511"/>
      <w:bookmarkStart w:id="2346" w:name="_Toc11760"/>
      <w:r>
        <w:rPr>
          <w:rFonts w:hint="eastAsia" w:ascii="宋体" w:hAnsi="宋体"/>
          <w:b w:val="0"/>
          <w:bCs w:val="0"/>
          <w:color w:val="auto"/>
        </w:rPr>
        <w:t>（一）法定代表人身份证明或附有法定代表人身份证明的授权委托书</w:t>
      </w:r>
      <w:bookmarkEnd w:id="2341"/>
      <w:bookmarkEnd w:id="2342"/>
      <w:bookmarkEnd w:id="2343"/>
      <w:bookmarkEnd w:id="2344"/>
      <w:bookmarkEnd w:id="2345"/>
      <w:bookmarkEnd w:id="2346"/>
    </w:p>
    <w:p w14:paraId="1F4AA9D6">
      <w:pPr>
        <w:spacing w:line="480" w:lineRule="auto"/>
        <w:jc w:val="center"/>
        <w:rPr>
          <w:rFonts w:ascii="宋体" w:hAnsi="宋体"/>
          <w:color w:val="auto"/>
          <w:sz w:val="28"/>
        </w:rPr>
      </w:pPr>
      <w:r>
        <w:rPr>
          <w:rFonts w:hint="eastAsia" w:ascii="宋体" w:hAnsi="宋体"/>
          <w:color w:val="auto"/>
          <w:sz w:val="28"/>
        </w:rPr>
        <w:t>法定代表人身份证明</w:t>
      </w:r>
    </w:p>
    <w:p w14:paraId="29415799">
      <w:pPr>
        <w:spacing w:line="480" w:lineRule="auto"/>
        <w:jc w:val="center"/>
        <w:rPr>
          <w:rFonts w:ascii="宋体" w:hAnsi="宋体"/>
          <w:color w:val="auto"/>
        </w:rPr>
      </w:pPr>
    </w:p>
    <w:p w14:paraId="2E459F67">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投标人名称：</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1C06A30D">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单位性质：</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90FD95C">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地</w:t>
      </w:r>
      <w:r>
        <w:rPr>
          <w:rFonts w:hint="eastAsia" w:ascii="宋体" w:hAnsi="宋体"/>
          <w:color w:val="auto"/>
          <w:kern w:val="0"/>
          <w:szCs w:val="21"/>
        </w:rPr>
        <w:t xml:space="preserve">    </w:t>
      </w:r>
      <w:r>
        <w:rPr>
          <w:rFonts w:ascii="宋体" w:hAnsi="宋体"/>
          <w:color w:val="auto"/>
          <w:kern w:val="0"/>
          <w:szCs w:val="21"/>
        </w:rPr>
        <w:t>址：</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1FD5FAA">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rPr>
      </w:pPr>
      <w:r>
        <w:rPr>
          <w:rFonts w:ascii="宋体" w:hAnsi="宋体"/>
          <w:color w:val="auto"/>
          <w:kern w:val="0"/>
          <w:szCs w:val="21"/>
        </w:rPr>
        <w:t>成立时间：</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p>
    <w:p w14:paraId="532C5F25">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经营期限：</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6E0F4D5">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姓名：</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性别</w:t>
      </w:r>
      <w:r>
        <w:rPr>
          <w:rFonts w:ascii="宋体" w:hAnsi="宋体"/>
          <w:color w:val="auto"/>
          <w:spacing w:val="-1"/>
          <w:kern w:val="0"/>
          <w:szCs w:val="21"/>
        </w:rPr>
        <w:t>：</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spacing w:val="-1"/>
          <w:kern w:val="0"/>
          <w:szCs w:val="21"/>
        </w:rPr>
        <w:t>年</w:t>
      </w:r>
      <w:r>
        <w:rPr>
          <w:rFonts w:ascii="宋体" w:hAnsi="宋体"/>
          <w:color w:val="auto"/>
          <w:kern w:val="0"/>
          <w:szCs w:val="21"/>
        </w:rPr>
        <w:t>龄：</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职务：</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14:paraId="37814656">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系</w:t>
      </w:r>
      <w:r>
        <w:rPr>
          <w:rFonts w:hint="eastAsia" w:ascii="宋体" w:hAnsi="宋体"/>
          <w:color w:val="auto"/>
          <w:kern w:val="0"/>
          <w:szCs w:val="21"/>
          <w:u w:val="single"/>
        </w:rPr>
        <w:t xml:space="preserve">                                                        </w:t>
      </w:r>
      <w:r>
        <w:rPr>
          <w:rFonts w:ascii="宋体" w:hAnsi="宋体"/>
          <w:color w:val="auto"/>
          <w:kern w:val="0"/>
          <w:szCs w:val="21"/>
          <w:u w:val="single"/>
        </w:rPr>
        <w:t xml:space="preserve"> （投标人名称）</w:t>
      </w:r>
      <w:r>
        <w:rPr>
          <w:rFonts w:ascii="宋体" w:hAnsi="宋体"/>
          <w:color w:val="auto"/>
          <w:kern w:val="0"/>
          <w:szCs w:val="21"/>
        </w:rPr>
        <w:t>的法定代表人。</w:t>
      </w:r>
    </w:p>
    <w:p w14:paraId="14CCDBFB">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特此证明。</w:t>
      </w:r>
    </w:p>
    <w:p w14:paraId="43DF6A98">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附：法定代表人身份证明扫描件（双面）</w:t>
      </w:r>
    </w:p>
    <w:p w14:paraId="235C980D">
      <w:pPr>
        <w:autoSpaceDE w:val="0"/>
        <w:autoSpaceDN w:val="0"/>
        <w:adjustRightInd w:val="0"/>
        <w:snapToGrid w:val="0"/>
        <w:spacing w:line="360" w:lineRule="auto"/>
        <w:jc w:val="left"/>
        <w:rPr>
          <w:rFonts w:ascii="宋体" w:hAnsi="宋体"/>
          <w:color w:val="auto"/>
          <w:szCs w:val="21"/>
        </w:rPr>
      </w:pPr>
    </w:p>
    <w:p w14:paraId="0666ACBA">
      <w:pPr>
        <w:pStyle w:val="2"/>
        <w:spacing w:after="0" w:line="360" w:lineRule="auto"/>
        <w:rPr>
          <w:rFonts w:ascii="宋体" w:hAnsi="宋体"/>
          <w:color w:val="auto"/>
          <w:szCs w:val="21"/>
        </w:rPr>
      </w:pPr>
    </w:p>
    <w:p w14:paraId="3E751449">
      <w:pPr>
        <w:pStyle w:val="2"/>
        <w:spacing w:after="0" w:line="360" w:lineRule="auto"/>
        <w:rPr>
          <w:rFonts w:ascii="宋体" w:hAnsi="宋体"/>
          <w:color w:val="auto"/>
          <w:szCs w:val="21"/>
        </w:rPr>
      </w:pPr>
    </w:p>
    <w:p w14:paraId="242E5E91">
      <w:pPr>
        <w:pStyle w:val="2"/>
        <w:spacing w:after="0" w:line="360" w:lineRule="auto"/>
        <w:rPr>
          <w:rFonts w:ascii="宋体" w:hAnsi="宋体"/>
          <w:color w:val="auto"/>
          <w:szCs w:val="21"/>
        </w:rPr>
      </w:pPr>
    </w:p>
    <w:p w14:paraId="6D595366">
      <w:pPr>
        <w:pStyle w:val="2"/>
        <w:spacing w:after="0" w:line="360" w:lineRule="auto"/>
        <w:rPr>
          <w:rFonts w:ascii="宋体" w:hAnsi="宋体"/>
          <w:color w:val="auto"/>
          <w:szCs w:val="21"/>
        </w:rPr>
      </w:pPr>
    </w:p>
    <w:p w14:paraId="230837BE">
      <w:pPr>
        <w:pStyle w:val="2"/>
        <w:spacing w:after="0" w:line="360" w:lineRule="auto"/>
        <w:rPr>
          <w:rFonts w:ascii="宋体" w:hAnsi="宋体"/>
          <w:color w:val="auto"/>
          <w:szCs w:val="21"/>
        </w:rPr>
      </w:pPr>
    </w:p>
    <w:p w14:paraId="219ADA74">
      <w:pPr>
        <w:autoSpaceDE w:val="0"/>
        <w:autoSpaceDN w:val="0"/>
        <w:adjustRightInd w:val="0"/>
        <w:snapToGrid w:val="0"/>
        <w:spacing w:line="480" w:lineRule="auto"/>
        <w:ind w:firstLine="420" w:firstLineChars="200"/>
        <w:jc w:val="right"/>
        <w:rPr>
          <w:rFonts w:ascii="宋体" w:hAnsi="宋体"/>
          <w:color w:val="auto"/>
          <w:kern w:val="0"/>
          <w:szCs w:val="21"/>
        </w:rPr>
      </w:pPr>
      <w:r>
        <w:rPr>
          <w:rFonts w:ascii="宋体" w:hAnsi="宋体"/>
          <w:color w:val="auto"/>
          <w:kern w:val="0"/>
          <w:szCs w:val="21"/>
        </w:rPr>
        <w:t>投标</w:t>
      </w:r>
      <w:r>
        <w:rPr>
          <w:rFonts w:ascii="宋体" w:hAnsi="宋体"/>
          <w:color w:val="auto"/>
          <w:spacing w:val="-1"/>
          <w:kern w:val="0"/>
          <w:szCs w:val="21"/>
        </w:rPr>
        <w:t>人</w:t>
      </w:r>
      <w:r>
        <w:rPr>
          <w:rFonts w:ascii="宋体" w:hAnsi="宋体"/>
          <w:color w:val="auto"/>
          <w:kern w:val="0"/>
          <w:szCs w:val="21"/>
        </w:rPr>
        <w:t>：</w:t>
      </w:r>
      <w:r>
        <w:rPr>
          <w:rFonts w:ascii="宋体" w:hAnsi="宋体"/>
          <w:color w:val="auto"/>
          <w:w w:val="200"/>
          <w:kern w:val="0"/>
          <w:szCs w:val="21"/>
          <w:u w:val="single"/>
        </w:rPr>
        <w:t xml:space="preserve">              </w:t>
      </w:r>
      <w:r>
        <w:rPr>
          <w:rFonts w:ascii="宋体" w:hAnsi="宋体"/>
          <w:color w:val="auto"/>
          <w:kern w:val="0"/>
          <w:szCs w:val="21"/>
          <w:u w:val="single"/>
        </w:rPr>
        <w:tab/>
      </w:r>
      <w:r>
        <w:rPr>
          <w:rFonts w:ascii="宋体" w:hAnsi="宋体"/>
          <w:color w:val="auto"/>
          <w:spacing w:val="-1"/>
          <w:kern w:val="0"/>
          <w:szCs w:val="21"/>
        </w:rPr>
        <w:t>（</w:t>
      </w:r>
      <w:r>
        <w:rPr>
          <w:rFonts w:ascii="宋体" w:hAnsi="宋体"/>
          <w:color w:val="auto"/>
          <w:kern w:val="0"/>
          <w:szCs w:val="21"/>
        </w:rPr>
        <w:t>盖单位法人章）</w:t>
      </w:r>
    </w:p>
    <w:p w14:paraId="20BEBBA9">
      <w:pPr>
        <w:autoSpaceDE w:val="0"/>
        <w:autoSpaceDN w:val="0"/>
        <w:adjustRightInd w:val="0"/>
        <w:snapToGrid w:val="0"/>
        <w:spacing w:line="480" w:lineRule="auto"/>
        <w:jc w:val="left"/>
        <w:rPr>
          <w:rFonts w:ascii="宋体" w:hAnsi="宋体"/>
          <w:color w:val="auto"/>
          <w:kern w:val="0"/>
          <w:sz w:val="20"/>
          <w:szCs w:val="20"/>
        </w:rPr>
      </w:pPr>
    </w:p>
    <w:p w14:paraId="0D0EBD71">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175B4C36">
      <w:pPr>
        <w:autoSpaceDE w:val="0"/>
        <w:autoSpaceDN w:val="0"/>
        <w:adjustRightInd w:val="0"/>
        <w:snapToGrid w:val="0"/>
        <w:spacing w:line="360" w:lineRule="auto"/>
        <w:jc w:val="left"/>
        <w:rPr>
          <w:rFonts w:ascii="宋体" w:hAnsi="宋体"/>
          <w:color w:val="auto"/>
          <w:kern w:val="0"/>
        </w:rPr>
      </w:pPr>
    </w:p>
    <w:p w14:paraId="67CAC7E3">
      <w:pPr>
        <w:autoSpaceDE w:val="0"/>
        <w:autoSpaceDN w:val="0"/>
        <w:adjustRightInd w:val="0"/>
        <w:snapToGrid w:val="0"/>
        <w:spacing w:line="360" w:lineRule="auto"/>
        <w:jc w:val="left"/>
        <w:rPr>
          <w:rFonts w:ascii="宋体" w:hAnsi="宋体"/>
          <w:color w:val="auto"/>
          <w:kern w:val="0"/>
        </w:rPr>
      </w:pPr>
    </w:p>
    <w:p w14:paraId="62142733">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rPr>
      </w:pPr>
      <w:r>
        <w:rPr>
          <w:rFonts w:ascii="宋体" w:hAnsi="宋体"/>
          <w:color w:val="auto"/>
        </w:rPr>
        <w:t>注：法定代表人身份证明需按上述格式填写完整，不可缺少内容。在此基础上增加内容的不影响其有效性</w:t>
      </w:r>
      <w:r>
        <w:rPr>
          <w:rFonts w:hint="eastAsia" w:ascii="宋体" w:hAnsi="宋体"/>
          <w:color w:val="auto"/>
          <w:kern w:val="0"/>
          <w:szCs w:val="21"/>
        </w:rPr>
        <w:t>。</w:t>
      </w:r>
    </w:p>
    <w:p w14:paraId="4827849A">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rPr>
      </w:pPr>
    </w:p>
    <w:p w14:paraId="1D69AC04">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rPr>
      </w:pPr>
      <w:r>
        <w:rPr>
          <w:rFonts w:ascii="宋体" w:hAnsi="宋体"/>
          <w:b/>
          <w:color w:val="auto"/>
          <w:kern w:val="0"/>
          <w:sz w:val="28"/>
          <w:szCs w:val="28"/>
        </w:rPr>
        <w:br w:type="page"/>
      </w:r>
      <w:r>
        <w:rPr>
          <w:rFonts w:ascii="宋体" w:hAnsi="宋体"/>
          <w:snapToGrid w:val="0"/>
          <w:color w:val="auto"/>
          <w:kern w:val="0"/>
          <w:sz w:val="32"/>
          <w:szCs w:val="32"/>
        </w:rPr>
        <w:t>授权委托书</w:t>
      </w:r>
    </w:p>
    <w:p w14:paraId="728A14A8">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rPr>
      </w:pPr>
      <w:r>
        <w:rPr>
          <w:rFonts w:ascii="宋体" w:hAnsi="宋体"/>
          <w:color w:val="auto"/>
          <w:kern w:val="0"/>
          <w:szCs w:val="21"/>
        </w:rPr>
        <w:t>本人</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系</w:t>
      </w:r>
      <w:r>
        <w:rPr>
          <w:rFonts w:hint="eastAsia" w:ascii="宋体" w:hAnsi="宋体"/>
          <w:color w:val="auto"/>
          <w:w w:val="200"/>
          <w:kern w:val="0"/>
          <w:szCs w:val="21"/>
          <w:u w:val="single"/>
        </w:rPr>
        <w:t xml:space="preserve">        </w:t>
      </w:r>
      <w:r>
        <w:rPr>
          <w:rFonts w:ascii="宋体" w:hAnsi="宋体"/>
          <w:color w:val="auto"/>
          <w:kern w:val="0"/>
          <w:szCs w:val="21"/>
          <w:u w:val="single"/>
        </w:rPr>
        <w:t>（</w:t>
      </w:r>
      <w:r>
        <w:rPr>
          <w:rFonts w:ascii="宋体" w:hAnsi="宋体"/>
          <w:color w:val="auto"/>
          <w:spacing w:val="-1"/>
          <w:kern w:val="0"/>
          <w:szCs w:val="21"/>
          <w:u w:val="single"/>
        </w:rPr>
        <w:t>投</w:t>
      </w:r>
      <w:r>
        <w:rPr>
          <w:rFonts w:ascii="宋体" w:hAnsi="宋体"/>
          <w:color w:val="auto"/>
          <w:kern w:val="0"/>
          <w:szCs w:val="21"/>
          <w:u w:val="single"/>
        </w:rPr>
        <w:t>标人名称</w:t>
      </w:r>
      <w:r>
        <w:rPr>
          <w:rFonts w:ascii="宋体" w:hAnsi="宋体"/>
          <w:color w:val="auto"/>
          <w:spacing w:val="1"/>
          <w:kern w:val="0"/>
          <w:szCs w:val="21"/>
          <w:u w:val="single"/>
        </w:rPr>
        <w:t>）</w:t>
      </w:r>
      <w:r>
        <w:rPr>
          <w:rFonts w:ascii="宋体" w:hAnsi="宋体"/>
          <w:color w:val="auto"/>
          <w:kern w:val="0"/>
          <w:szCs w:val="21"/>
        </w:rPr>
        <w:t>的法定代</w:t>
      </w:r>
      <w:r>
        <w:rPr>
          <w:rFonts w:ascii="宋体" w:hAnsi="宋体"/>
          <w:color w:val="auto"/>
          <w:spacing w:val="1"/>
          <w:kern w:val="0"/>
          <w:szCs w:val="21"/>
        </w:rPr>
        <w:t>表</w:t>
      </w:r>
      <w:r>
        <w:rPr>
          <w:rFonts w:ascii="宋体" w:hAnsi="宋体"/>
          <w:color w:val="auto"/>
          <w:kern w:val="0"/>
          <w:szCs w:val="21"/>
        </w:rPr>
        <w:t>人，现委托</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为我方代理人。代理人根据授权，以我方名义签署、澄清、说明、补正、递交、撤回、 修改</w:t>
      </w:r>
      <w:r>
        <w:rPr>
          <w:rFonts w:hint="eastAsia" w:ascii="宋体" w:hAnsi="宋体"/>
          <w:color w:val="auto"/>
          <w:w w:val="200"/>
          <w:kern w:val="0"/>
          <w:szCs w:val="21"/>
          <w:u w:val="single"/>
        </w:rPr>
        <w:t xml:space="preserve">        </w:t>
      </w:r>
      <w:r>
        <w:rPr>
          <w:rFonts w:ascii="宋体" w:hAnsi="宋体"/>
          <w:color w:val="auto"/>
          <w:kern w:val="0"/>
          <w:szCs w:val="21"/>
          <w:u w:val="single"/>
        </w:rPr>
        <w:t>（项</w:t>
      </w:r>
      <w:r>
        <w:rPr>
          <w:rFonts w:ascii="宋体" w:hAnsi="宋体"/>
          <w:color w:val="auto"/>
          <w:spacing w:val="-1"/>
          <w:kern w:val="0"/>
          <w:szCs w:val="21"/>
          <w:u w:val="single"/>
        </w:rPr>
        <w:t>目</w:t>
      </w:r>
      <w:r>
        <w:rPr>
          <w:rFonts w:ascii="宋体" w:hAnsi="宋体"/>
          <w:color w:val="auto"/>
          <w:kern w:val="0"/>
          <w:szCs w:val="21"/>
          <w:u w:val="single"/>
        </w:rPr>
        <w:t>名称）</w:t>
      </w:r>
      <w:r>
        <w:rPr>
          <w:rFonts w:ascii="宋体" w:hAnsi="宋体"/>
          <w:color w:val="auto"/>
          <w:kern w:val="0"/>
          <w:szCs w:val="21"/>
        </w:rPr>
        <w:t>投标文件、签订合同和处理有关事宜， 其法律后果由我方承担。</w:t>
      </w:r>
    </w:p>
    <w:p w14:paraId="06A1B3B1">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委托</w:t>
      </w:r>
      <w:r>
        <w:rPr>
          <w:rFonts w:ascii="宋体" w:hAnsi="宋体"/>
          <w:color w:val="auto"/>
          <w:spacing w:val="-1"/>
          <w:kern w:val="0"/>
          <w:szCs w:val="21"/>
        </w:rPr>
        <w:t>期</w:t>
      </w:r>
      <w:r>
        <w:rPr>
          <w:rFonts w:ascii="宋体" w:hAnsi="宋体"/>
          <w:color w:val="auto"/>
          <w:kern w:val="0"/>
          <w:szCs w:val="21"/>
        </w:rPr>
        <w:t>限：</w:t>
      </w:r>
      <w:r>
        <w:rPr>
          <w:rFonts w:hint="eastAsia" w:ascii="宋体" w:hAnsi="宋体"/>
          <w:color w:val="auto"/>
          <w:w w:val="200"/>
          <w:kern w:val="0"/>
          <w:szCs w:val="21"/>
          <w:u w:val="single"/>
        </w:rPr>
        <w:t xml:space="preserve">        </w:t>
      </w:r>
      <w:r>
        <w:rPr>
          <w:rFonts w:ascii="宋体" w:hAnsi="宋体"/>
          <w:color w:val="auto"/>
          <w:kern w:val="0"/>
          <w:szCs w:val="21"/>
        </w:rPr>
        <w:t xml:space="preserve">。 </w:t>
      </w:r>
    </w:p>
    <w:p w14:paraId="7FED0B9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代理人无转委托权。</w:t>
      </w:r>
    </w:p>
    <w:p w14:paraId="4FC924A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p>
    <w:p w14:paraId="5BD83FC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5056C6E4">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7AAD9AF9">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527619CE">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委托代理人：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hint="eastAsia" w:ascii="宋体" w:hAnsi="宋体"/>
          <w:color w:val="auto"/>
          <w:spacing w:val="-1"/>
          <w:kern w:val="0"/>
          <w:szCs w:val="21"/>
        </w:rPr>
        <w:t>）</w:t>
      </w:r>
    </w:p>
    <w:p w14:paraId="6D920476">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3672B33D">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hint="eastAsia" w:ascii="宋体" w:hAnsi="宋体"/>
          <w:color w:val="auto"/>
          <w:kern w:val="0"/>
          <w:szCs w:val="21"/>
        </w:rPr>
        <w:t>单位电话（座机）：</w:t>
      </w:r>
      <w:r>
        <w:rPr>
          <w:rFonts w:hint="eastAsia" w:ascii="宋体" w:hAnsi="宋体"/>
          <w:color w:val="auto"/>
          <w:kern w:val="0"/>
          <w:szCs w:val="21"/>
          <w:u w:val="single"/>
        </w:rPr>
        <w:t xml:space="preserve">                              </w:t>
      </w:r>
    </w:p>
    <w:p w14:paraId="70C36744">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hint="eastAsia" w:ascii="宋体" w:hAnsi="宋体"/>
          <w:color w:val="auto"/>
          <w:kern w:val="0"/>
          <w:szCs w:val="21"/>
        </w:rPr>
        <w:t xml:space="preserve">委托代理人电话（手机）：                                          </w:t>
      </w:r>
    </w:p>
    <w:p w14:paraId="681FBB29">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附：法定代表人和委托代理人身份证明扫描件（双面）</w:t>
      </w:r>
    </w:p>
    <w:p w14:paraId="4F3EF91D">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u w:val="single"/>
        </w:rPr>
      </w:pPr>
    </w:p>
    <w:p w14:paraId="7126D2F8">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1B4FEA06">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65600172">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EED8623">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41359180">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7527A68F">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rPr>
      </w:pPr>
    </w:p>
    <w:p w14:paraId="1D56B070">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hint="eastAsia" w:ascii="宋体" w:hAnsi="宋体"/>
          <w:color w:val="auto"/>
          <w:w w:val="200"/>
          <w:kern w:val="0"/>
          <w:szCs w:val="21"/>
          <w:u w:val="single"/>
        </w:rPr>
        <w:t xml:space="preserve">  </w:t>
      </w:r>
      <w:r>
        <w:rPr>
          <w:rFonts w:ascii="宋体" w:hAnsi="宋体"/>
          <w:color w:val="auto"/>
          <w:kern w:val="0"/>
          <w:szCs w:val="21"/>
        </w:rPr>
        <w:t>月</w:t>
      </w:r>
      <w:r>
        <w:rPr>
          <w:rFonts w:hint="eastAsia" w:ascii="宋体" w:hAnsi="宋体"/>
          <w:color w:val="auto"/>
          <w:w w:val="200"/>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679D97D1">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rPr>
      </w:pPr>
    </w:p>
    <w:p w14:paraId="756ED6C4">
      <w:pPr>
        <w:tabs>
          <w:tab w:val="left" w:pos="5760"/>
        </w:tabs>
        <w:autoSpaceDE w:val="0"/>
        <w:autoSpaceDN w:val="0"/>
        <w:adjustRightInd w:val="0"/>
        <w:spacing w:line="360" w:lineRule="auto"/>
        <w:ind w:firstLine="420" w:firstLineChars="200"/>
        <w:rPr>
          <w:rFonts w:ascii="宋体" w:hAnsi="宋体"/>
          <w:color w:val="auto"/>
          <w:kern w:val="0"/>
        </w:rPr>
      </w:pPr>
    </w:p>
    <w:p w14:paraId="2E8C982B">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rPr>
      </w:pPr>
      <w:r>
        <w:rPr>
          <w:rFonts w:ascii="宋体" w:hAnsi="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03992E2A">
      <w:pPr>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kern w:val="0"/>
          <w:szCs w:val="21"/>
        </w:rPr>
        <w:t>2.</w:t>
      </w:r>
      <w:r>
        <w:rPr>
          <w:rFonts w:hint="eastAsia" w:ascii="宋体" w:hAnsi="宋体"/>
          <w:color w:val="auto"/>
        </w:rPr>
        <w:t>授权委托书</w:t>
      </w:r>
      <w:r>
        <w:rPr>
          <w:rFonts w:ascii="宋体" w:hAnsi="宋体"/>
          <w:color w:val="auto"/>
        </w:rPr>
        <w:t>需按上述格式填写完整，不可缺少内容。在此基础上增加内容的不影响其有效性。</w:t>
      </w:r>
    </w:p>
    <w:p w14:paraId="1FCBF5A9">
      <w:pPr>
        <w:autoSpaceDE w:val="0"/>
        <w:autoSpaceDN w:val="0"/>
        <w:adjustRightInd w:val="0"/>
        <w:snapToGrid w:val="0"/>
        <w:jc w:val="center"/>
        <w:rPr>
          <w:rFonts w:ascii="宋体" w:hAnsi="宋体"/>
          <w:color w:val="auto"/>
        </w:rPr>
      </w:pPr>
      <w:r>
        <w:rPr>
          <w:rFonts w:ascii="宋体" w:hAnsi="宋体"/>
          <w:color w:val="auto"/>
        </w:rPr>
        <w:br w:type="page"/>
      </w:r>
    </w:p>
    <w:p w14:paraId="44B64F25">
      <w:pPr>
        <w:pStyle w:val="5"/>
        <w:spacing w:before="0" w:after="0" w:line="240" w:lineRule="auto"/>
        <w:jc w:val="center"/>
        <w:rPr>
          <w:rFonts w:ascii="宋体" w:hAnsi="宋体"/>
          <w:b w:val="0"/>
          <w:bCs w:val="0"/>
          <w:color w:val="auto"/>
        </w:rPr>
      </w:pPr>
      <w:bookmarkStart w:id="2347" w:name="_Toc430530547"/>
      <w:bookmarkStart w:id="2348" w:name="_Toc963"/>
      <w:bookmarkStart w:id="2349" w:name="_Toc287620831"/>
      <w:bookmarkStart w:id="2350" w:name="_Toc287607884"/>
      <w:bookmarkStart w:id="2351" w:name="_Toc277082658"/>
      <w:bookmarkStart w:id="2352" w:name="_Toc224103512"/>
      <w:r>
        <w:rPr>
          <w:rFonts w:hint="eastAsia" w:ascii="宋体" w:hAnsi="宋体"/>
          <w:b w:val="0"/>
          <w:bCs w:val="0"/>
          <w:color w:val="auto"/>
        </w:rPr>
        <w:t>（二）联合体协议书</w:t>
      </w:r>
      <w:bookmarkEnd w:id="2347"/>
      <w:r>
        <w:rPr>
          <w:rFonts w:hint="eastAsia" w:ascii="宋体" w:hAnsi="宋体"/>
          <w:b w:val="0"/>
          <w:bCs w:val="0"/>
          <w:color w:val="auto"/>
        </w:rPr>
        <w:t>（如有）</w:t>
      </w:r>
      <w:bookmarkEnd w:id="2348"/>
    </w:p>
    <w:bookmarkEnd w:id="2349"/>
    <w:bookmarkEnd w:id="2350"/>
    <w:bookmarkEnd w:id="2351"/>
    <w:bookmarkEnd w:id="2352"/>
    <w:p w14:paraId="58576289">
      <w:pPr>
        <w:autoSpaceDE w:val="0"/>
        <w:autoSpaceDN w:val="0"/>
        <w:adjustRightInd w:val="0"/>
        <w:snapToGrid w:val="0"/>
        <w:spacing w:line="500" w:lineRule="exact"/>
        <w:ind w:firstLine="420" w:firstLineChars="200"/>
        <w:rPr>
          <w:rFonts w:ascii="宋体" w:hAnsi="宋体"/>
          <w:snapToGrid w:val="0"/>
          <w:color w:val="auto"/>
          <w:kern w:val="0"/>
          <w:szCs w:val="21"/>
        </w:rPr>
      </w:pPr>
      <w:bookmarkStart w:id="2353" w:name="_Toc287607887"/>
      <w:bookmarkStart w:id="2354" w:name="_Toc277082659"/>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（所有成员单位名称）</w:t>
      </w:r>
      <w:r>
        <w:rPr>
          <w:rFonts w:ascii="宋体" w:hAnsi="宋体"/>
          <w:snapToGrid w:val="0"/>
          <w:color w:val="auto"/>
          <w:kern w:val="0"/>
          <w:szCs w:val="21"/>
        </w:rPr>
        <w:t>自愿组成联合体，共同参加</w:t>
      </w: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（项目名称）</w:t>
      </w:r>
      <w:r>
        <w:rPr>
          <w:rFonts w:ascii="宋体" w:hAnsi="宋体"/>
          <w:snapToGrid w:val="0"/>
          <w:color w:val="auto"/>
          <w:kern w:val="0"/>
          <w:szCs w:val="21"/>
        </w:rPr>
        <w:t>投标。现就联合体投标事宜订立如下协议。</w:t>
      </w:r>
    </w:p>
    <w:p w14:paraId="2E719296">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rPr>
      </w:pPr>
      <w:r>
        <w:rPr>
          <w:rFonts w:ascii="宋体" w:hAnsi="宋体"/>
          <w:snapToGrid w:val="0"/>
          <w:color w:val="auto"/>
          <w:kern w:val="0"/>
          <w:szCs w:val="21"/>
        </w:rPr>
        <w:t>1.</w:t>
      </w:r>
      <w:r>
        <w:rPr>
          <w:rFonts w:ascii="宋体" w:hAnsi="宋体"/>
          <w:snapToGrid w:val="0"/>
          <w:color w:val="auto"/>
          <w:kern w:val="0"/>
          <w:szCs w:val="21"/>
          <w:u w:val="single"/>
        </w:rPr>
        <w:tab/>
      </w:r>
      <w:r>
        <w:rPr>
          <w:rFonts w:ascii="宋体" w:hAnsi="宋体"/>
          <w:snapToGrid w:val="0"/>
          <w:color w:val="auto"/>
          <w:kern w:val="0"/>
          <w:szCs w:val="21"/>
          <w:u w:val="single"/>
        </w:rPr>
        <w:t>（某成员单位名称）</w:t>
      </w:r>
      <w:r>
        <w:rPr>
          <w:rFonts w:hint="eastAsia" w:ascii="宋体" w:hAnsi="宋体"/>
          <w:snapToGrid w:val="0"/>
          <w:color w:val="auto"/>
          <w:kern w:val="0"/>
          <w:szCs w:val="21"/>
        </w:rPr>
        <w:t>为</w:t>
      </w:r>
      <w:r>
        <w:rPr>
          <w:rFonts w:hint="eastAsia" w:ascii="宋体" w:hAnsi="宋体"/>
          <w:snapToGrid w:val="0"/>
          <w:color w:val="auto"/>
          <w:kern w:val="0"/>
          <w:szCs w:val="21"/>
          <w:u w:val="single"/>
        </w:rPr>
        <w:tab/>
      </w:r>
      <w:r>
        <w:rPr>
          <w:rFonts w:hint="eastAsia" w:ascii="宋体" w:hAnsi="宋体"/>
          <w:snapToGrid w:val="0"/>
          <w:color w:val="auto"/>
          <w:kern w:val="0"/>
          <w:szCs w:val="21"/>
          <w:u w:val="single"/>
        </w:rPr>
        <w:t xml:space="preserve">      （项目名称）</w:t>
      </w:r>
      <w:r>
        <w:rPr>
          <w:rFonts w:ascii="宋体" w:hAnsi="宋体"/>
          <w:snapToGrid w:val="0"/>
          <w:color w:val="auto"/>
          <w:kern w:val="0"/>
          <w:szCs w:val="21"/>
        </w:rPr>
        <w:t>联合体牵头人。由联合体牵头人单位递交投标保证金。</w:t>
      </w:r>
    </w:p>
    <w:p w14:paraId="3CD46FCB">
      <w:pPr>
        <w:autoSpaceDE w:val="0"/>
        <w:autoSpaceDN w:val="0"/>
        <w:adjustRightInd w:val="0"/>
        <w:snapToGrid w:val="0"/>
        <w:spacing w:line="500" w:lineRule="exact"/>
        <w:ind w:firstLine="420"/>
        <w:rPr>
          <w:rFonts w:ascii="宋体" w:hAnsi="宋体"/>
          <w:snapToGrid w:val="0"/>
          <w:color w:val="auto"/>
          <w:kern w:val="0"/>
          <w:szCs w:val="21"/>
        </w:rPr>
      </w:pPr>
      <w:r>
        <w:rPr>
          <w:rFonts w:ascii="宋体" w:hAnsi="宋体"/>
          <w:snapToGrid w:val="0"/>
          <w:color w:val="auto"/>
          <w:kern w:val="0"/>
          <w:szCs w:val="21"/>
        </w:rPr>
        <w:t>2.联合体牵头人合法代表联合体各成员负责本</w:t>
      </w:r>
      <w:r>
        <w:rPr>
          <w:rFonts w:hint="eastAsia" w:ascii="宋体" w:hAnsi="宋体"/>
          <w:snapToGrid w:val="0"/>
          <w:color w:val="auto"/>
          <w:kern w:val="0"/>
          <w:szCs w:val="21"/>
        </w:rPr>
        <w:t>采购</w:t>
      </w:r>
      <w:r>
        <w:rPr>
          <w:rFonts w:ascii="宋体" w:hAnsi="宋体"/>
          <w:snapToGrid w:val="0"/>
          <w:color w:val="auto"/>
          <w:kern w:val="0"/>
          <w:szCs w:val="21"/>
        </w:rPr>
        <w:t>项目投标文件编制和合同谈判活动， 并代表联合体提交和接收相关的资料、信息及指示，并处理与之有关的一切事务，负责合同 实施阶段的主办、组织和协调工作。</w:t>
      </w:r>
    </w:p>
    <w:p w14:paraId="4E2A4256">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3.联合体将严格按照</w:t>
      </w:r>
      <w:r>
        <w:rPr>
          <w:rFonts w:hint="eastAsia" w:ascii="宋体" w:hAnsi="宋体"/>
          <w:snapToGrid w:val="0"/>
          <w:color w:val="auto"/>
          <w:kern w:val="0"/>
          <w:szCs w:val="21"/>
        </w:rPr>
        <w:t>采购</w:t>
      </w:r>
      <w:r>
        <w:rPr>
          <w:rFonts w:ascii="宋体" w:hAnsi="宋体"/>
          <w:snapToGrid w:val="0"/>
          <w:color w:val="auto"/>
          <w:kern w:val="0"/>
          <w:szCs w:val="21"/>
        </w:rPr>
        <w:t>文件的各项要求，递交投标文件，履行合同，并对外承担连带责任。</w:t>
      </w:r>
    </w:p>
    <w:p w14:paraId="5F68AFE2">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4.联合体牵头人代表联合体签署投标文件</w:t>
      </w:r>
      <w:r>
        <w:rPr>
          <w:rFonts w:ascii="宋体" w:hAnsi="宋体"/>
          <w:color w:val="auto"/>
          <w:spacing w:val="-19"/>
          <w:kern w:val="0"/>
          <w:szCs w:val="21"/>
        </w:rPr>
        <w:t>，</w:t>
      </w:r>
      <w:r>
        <w:rPr>
          <w:rFonts w:ascii="宋体" w:hAnsi="宋体"/>
          <w:color w:val="auto"/>
          <w:kern w:val="0"/>
          <w:szCs w:val="21"/>
        </w:rPr>
        <w:t>联合体牵头人的所有承诺均认为代表了联合体各成员。</w:t>
      </w:r>
    </w:p>
    <w:p w14:paraId="5D44E934">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snapToGrid w:val="0"/>
          <w:color w:val="auto"/>
          <w:kern w:val="0"/>
          <w:szCs w:val="21"/>
        </w:rPr>
        <w:t>5.</w:t>
      </w:r>
      <w:r>
        <w:rPr>
          <w:rFonts w:ascii="宋体" w:hAnsi="宋体"/>
          <w:color w:val="auto"/>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10AD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097C891">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单位名称</w:t>
            </w:r>
          </w:p>
        </w:tc>
        <w:tc>
          <w:tcPr>
            <w:tcW w:w="2410" w:type="dxa"/>
          </w:tcPr>
          <w:p w14:paraId="3C4F90B1">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EC87F51">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职责分工</w:t>
            </w:r>
          </w:p>
        </w:tc>
      </w:tr>
      <w:tr w14:paraId="69BA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017850C">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联合体牵头人名称</w:t>
            </w:r>
          </w:p>
        </w:tc>
        <w:tc>
          <w:tcPr>
            <w:tcW w:w="2410" w:type="dxa"/>
          </w:tcPr>
          <w:p w14:paraId="2C95F1A2">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240B0FFA">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75B3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D4D8C20">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联合体其他成员单位一名称</w:t>
            </w:r>
          </w:p>
        </w:tc>
        <w:tc>
          <w:tcPr>
            <w:tcW w:w="2410" w:type="dxa"/>
          </w:tcPr>
          <w:p w14:paraId="191D64E4">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5B44CD79">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1B87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4E82E0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联合体其他成员单位二名称</w:t>
            </w:r>
          </w:p>
        </w:tc>
        <w:tc>
          <w:tcPr>
            <w:tcW w:w="2410" w:type="dxa"/>
          </w:tcPr>
          <w:p w14:paraId="18C57EA5">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5BCC63E">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37AE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1A5EA1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w:t>
            </w:r>
          </w:p>
        </w:tc>
        <w:tc>
          <w:tcPr>
            <w:tcW w:w="2410" w:type="dxa"/>
          </w:tcPr>
          <w:p w14:paraId="3E474ACC">
            <w:pPr>
              <w:autoSpaceDE w:val="0"/>
              <w:autoSpaceDN w:val="0"/>
              <w:adjustRightInd w:val="0"/>
              <w:snapToGrid w:val="0"/>
              <w:spacing w:line="500" w:lineRule="exact"/>
              <w:ind w:firstLine="420"/>
              <w:jc w:val="left"/>
              <w:rPr>
                <w:rFonts w:ascii="宋体" w:hAnsi="宋体"/>
                <w:snapToGrid w:val="0"/>
                <w:color w:val="auto"/>
                <w:kern w:val="0"/>
                <w:szCs w:val="21"/>
              </w:rPr>
            </w:pPr>
          </w:p>
        </w:tc>
        <w:tc>
          <w:tcPr>
            <w:tcW w:w="2885" w:type="dxa"/>
          </w:tcPr>
          <w:p w14:paraId="09869133">
            <w:pPr>
              <w:autoSpaceDE w:val="0"/>
              <w:autoSpaceDN w:val="0"/>
              <w:adjustRightInd w:val="0"/>
              <w:snapToGrid w:val="0"/>
              <w:spacing w:line="500" w:lineRule="exact"/>
              <w:ind w:firstLine="420"/>
              <w:jc w:val="left"/>
              <w:rPr>
                <w:rFonts w:ascii="宋体" w:hAnsi="宋体"/>
                <w:snapToGrid w:val="0"/>
                <w:color w:val="auto"/>
                <w:kern w:val="0"/>
                <w:szCs w:val="21"/>
              </w:rPr>
            </w:pPr>
          </w:p>
        </w:tc>
      </w:tr>
    </w:tbl>
    <w:p w14:paraId="56F56404">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spacing w:val="7"/>
          <w:kern w:val="0"/>
          <w:szCs w:val="21"/>
        </w:rPr>
      </w:pPr>
      <w:r>
        <w:rPr>
          <w:rFonts w:ascii="宋体" w:hAnsi="宋体"/>
          <w:color w:val="auto"/>
          <w:kern w:val="0"/>
          <w:szCs w:val="21"/>
        </w:rPr>
        <w:t>6</w:t>
      </w:r>
      <w:r>
        <w:rPr>
          <w:rFonts w:ascii="宋体" w:hAnsi="宋体"/>
          <w:color w:val="auto"/>
          <w:spacing w:val="7"/>
          <w:kern w:val="0"/>
          <w:szCs w:val="21"/>
        </w:rPr>
        <w:t>.</w:t>
      </w:r>
      <w:r>
        <w:rPr>
          <w:rFonts w:hint="eastAsia" w:ascii="宋体" w:hAnsi="宋体"/>
          <w:color w:val="auto"/>
          <w:spacing w:val="7"/>
          <w:kern w:val="0"/>
          <w:szCs w:val="21"/>
        </w:rPr>
        <w:t>由联合体牵头人委派本项目的委托代理人。</w:t>
      </w:r>
    </w:p>
    <w:p w14:paraId="376F72FF">
      <w:pPr>
        <w:autoSpaceDE w:val="0"/>
        <w:autoSpaceDN w:val="0"/>
        <w:adjustRightInd w:val="0"/>
        <w:spacing w:line="500" w:lineRule="exact"/>
        <w:ind w:firstLine="448" w:firstLineChars="200"/>
        <w:jc w:val="left"/>
        <w:rPr>
          <w:rFonts w:ascii="宋体" w:hAnsi="宋体"/>
          <w:color w:val="auto"/>
          <w:kern w:val="0"/>
          <w:szCs w:val="21"/>
        </w:rPr>
      </w:pPr>
      <w:r>
        <w:rPr>
          <w:rFonts w:hint="eastAsia" w:ascii="宋体" w:hAnsi="宋体"/>
          <w:color w:val="auto"/>
          <w:spacing w:val="7"/>
          <w:kern w:val="0"/>
          <w:szCs w:val="21"/>
        </w:rPr>
        <w:t>7.</w:t>
      </w:r>
      <w:r>
        <w:rPr>
          <w:rFonts w:ascii="宋体" w:hAnsi="宋体"/>
          <w:color w:val="auto"/>
          <w:spacing w:val="7"/>
          <w:kern w:val="0"/>
          <w:szCs w:val="21"/>
        </w:rPr>
        <w:t>投标工作和联合体</w:t>
      </w:r>
      <w:r>
        <w:rPr>
          <w:rFonts w:ascii="宋体" w:hAnsi="宋体"/>
          <w:color w:val="auto"/>
          <w:spacing w:val="5"/>
          <w:kern w:val="0"/>
          <w:szCs w:val="21"/>
        </w:rPr>
        <w:t>在</w:t>
      </w:r>
      <w:r>
        <w:rPr>
          <w:rFonts w:ascii="宋体" w:hAnsi="宋体"/>
          <w:color w:val="auto"/>
          <w:spacing w:val="7"/>
          <w:kern w:val="0"/>
          <w:szCs w:val="21"/>
        </w:rPr>
        <w:t>中标后工程实施过</w:t>
      </w:r>
      <w:r>
        <w:rPr>
          <w:rFonts w:ascii="宋体" w:hAnsi="宋体"/>
          <w:color w:val="auto"/>
          <w:spacing w:val="5"/>
          <w:kern w:val="0"/>
          <w:szCs w:val="21"/>
        </w:rPr>
        <w:t>程</w:t>
      </w:r>
      <w:r>
        <w:rPr>
          <w:rFonts w:ascii="宋体" w:hAnsi="宋体"/>
          <w:color w:val="auto"/>
          <w:spacing w:val="7"/>
          <w:kern w:val="0"/>
          <w:szCs w:val="21"/>
        </w:rPr>
        <w:t>中的有关费用按各</w:t>
      </w:r>
      <w:r>
        <w:rPr>
          <w:rFonts w:ascii="宋体" w:hAnsi="宋体"/>
          <w:color w:val="auto"/>
          <w:spacing w:val="5"/>
          <w:kern w:val="0"/>
          <w:szCs w:val="21"/>
        </w:rPr>
        <w:t>自</w:t>
      </w:r>
      <w:r>
        <w:rPr>
          <w:rFonts w:ascii="宋体" w:hAnsi="宋体"/>
          <w:color w:val="auto"/>
          <w:spacing w:val="7"/>
          <w:kern w:val="0"/>
          <w:szCs w:val="21"/>
        </w:rPr>
        <w:t>承担的工作</w:t>
      </w:r>
      <w:r>
        <w:rPr>
          <w:rFonts w:ascii="宋体" w:hAnsi="宋体"/>
          <w:color w:val="auto"/>
          <w:kern w:val="0"/>
          <w:szCs w:val="21"/>
        </w:rPr>
        <w:t>量分摊。</w:t>
      </w:r>
    </w:p>
    <w:p w14:paraId="74BB6B27">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8</w:t>
      </w:r>
      <w:r>
        <w:rPr>
          <w:rFonts w:ascii="宋体" w:hAnsi="宋体"/>
          <w:snapToGrid w:val="0"/>
          <w:color w:val="auto"/>
          <w:kern w:val="0"/>
          <w:szCs w:val="21"/>
        </w:rPr>
        <w:t>.本协议书自签署之日起生效，合同履行完毕后自动失效。</w:t>
      </w:r>
    </w:p>
    <w:p w14:paraId="54050B48">
      <w:pPr>
        <w:autoSpaceDE w:val="0"/>
        <w:autoSpaceDN w:val="0"/>
        <w:adjustRightInd w:val="0"/>
        <w:snapToGrid w:val="0"/>
        <w:spacing w:line="500" w:lineRule="exact"/>
        <w:ind w:firstLine="390" w:firstLineChars="186"/>
        <w:jc w:val="left"/>
        <w:rPr>
          <w:rFonts w:ascii="宋体" w:hAnsi="宋体"/>
          <w:snapToGrid w:val="0"/>
          <w:color w:val="auto"/>
          <w:kern w:val="0"/>
          <w:szCs w:val="21"/>
        </w:rPr>
      </w:pPr>
      <w:r>
        <w:rPr>
          <w:rFonts w:hint="eastAsia" w:ascii="宋体" w:hAnsi="宋体"/>
          <w:snapToGrid w:val="0"/>
          <w:color w:val="auto"/>
          <w:kern w:val="0"/>
          <w:szCs w:val="21"/>
        </w:rPr>
        <w:t>9</w:t>
      </w:r>
      <w:r>
        <w:rPr>
          <w:rFonts w:ascii="宋体" w:hAnsi="宋体"/>
          <w:snapToGrid w:val="0"/>
          <w:color w:val="auto"/>
          <w:kern w:val="0"/>
          <w:szCs w:val="21"/>
        </w:rPr>
        <w:t>.本协议书一式</w:t>
      </w:r>
      <w:r>
        <w:rPr>
          <w:rFonts w:hint="eastAsia" w:ascii="宋体" w:hAnsi="宋体"/>
          <w:snapToGrid w:val="0"/>
          <w:color w:val="auto"/>
          <w:kern w:val="0"/>
          <w:szCs w:val="21"/>
          <w:u w:val="single"/>
        </w:rPr>
        <w:t xml:space="preserve">    </w:t>
      </w:r>
      <w:r>
        <w:rPr>
          <w:rFonts w:ascii="宋体" w:hAnsi="宋体"/>
          <w:snapToGrid w:val="0"/>
          <w:color w:val="auto"/>
          <w:kern w:val="0"/>
          <w:szCs w:val="21"/>
        </w:rPr>
        <w:t>份，联合体成员和</w:t>
      </w:r>
      <w:r>
        <w:rPr>
          <w:rFonts w:hint="eastAsia" w:ascii="宋体" w:hAnsi="宋体"/>
          <w:snapToGrid w:val="0"/>
          <w:color w:val="auto"/>
          <w:kern w:val="0"/>
          <w:szCs w:val="21"/>
        </w:rPr>
        <w:t>采购</w:t>
      </w:r>
      <w:r>
        <w:rPr>
          <w:rFonts w:ascii="宋体" w:hAnsi="宋体"/>
          <w:snapToGrid w:val="0"/>
          <w:color w:val="auto"/>
          <w:kern w:val="0"/>
          <w:szCs w:val="21"/>
        </w:rPr>
        <w:t>人各执</w:t>
      </w:r>
      <w:r>
        <w:rPr>
          <w:rFonts w:hint="eastAsia" w:ascii="宋体" w:hAnsi="宋体"/>
          <w:snapToGrid w:val="0"/>
          <w:color w:val="auto"/>
          <w:kern w:val="0"/>
          <w:szCs w:val="21"/>
          <w:u w:val="single"/>
        </w:rPr>
        <w:t xml:space="preserve">    </w:t>
      </w:r>
      <w:r>
        <w:rPr>
          <w:rFonts w:ascii="宋体" w:hAnsi="宋体"/>
          <w:snapToGrid w:val="0"/>
          <w:color w:val="auto"/>
          <w:kern w:val="0"/>
          <w:szCs w:val="21"/>
        </w:rPr>
        <w:t>份。</w:t>
      </w:r>
    </w:p>
    <w:p w14:paraId="0E102287">
      <w:pPr>
        <w:autoSpaceDE w:val="0"/>
        <w:autoSpaceDN w:val="0"/>
        <w:adjustRightInd w:val="0"/>
        <w:snapToGrid w:val="0"/>
        <w:spacing w:line="500" w:lineRule="exact"/>
        <w:ind w:firstLine="390" w:firstLineChars="186"/>
        <w:jc w:val="left"/>
        <w:rPr>
          <w:rFonts w:ascii="宋体" w:hAnsi="宋体"/>
          <w:snapToGrid w:val="0"/>
          <w:color w:val="auto"/>
          <w:kern w:val="0"/>
          <w:szCs w:val="21"/>
        </w:rPr>
      </w:pPr>
    </w:p>
    <w:p w14:paraId="49D4FE38">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牵头人名称：</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（盖单位法人章）</w:t>
      </w:r>
    </w:p>
    <w:p w14:paraId="776E962F">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position w:val="-2"/>
          <w:szCs w:val="21"/>
        </w:rPr>
        <w:t>法定代表人或其委托代理人：</w:t>
      </w:r>
      <w:r>
        <w:rPr>
          <w:rFonts w:hint="eastAsia" w:ascii="宋体" w:hAnsi="宋体"/>
          <w:snapToGrid w:val="0"/>
          <w:color w:val="auto"/>
          <w:kern w:val="0"/>
          <w:position w:val="-2"/>
          <w:szCs w:val="21"/>
          <w:u w:val="single"/>
        </w:rPr>
        <w:t xml:space="preserve">                                    </w:t>
      </w:r>
      <w:r>
        <w:rPr>
          <w:rFonts w:ascii="宋体" w:hAnsi="宋体"/>
          <w:snapToGrid w:val="0"/>
          <w:color w:val="auto"/>
          <w:kern w:val="0"/>
          <w:position w:val="-2"/>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r>
        <w:rPr>
          <w:rFonts w:ascii="宋体" w:hAnsi="宋体"/>
          <w:snapToGrid w:val="0"/>
          <w:color w:val="auto"/>
          <w:kern w:val="0"/>
          <w:position w:val="-2"/>
          <w:szCs w:val="21"/>
        </w:rPr>
        <w:t>）</w:t>
      </w:r>
    </w:p>
    <w:p w14:paraId="359D79FD">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w:t>
      </w:r>
      <w:r>
        <w:rPr>
          <w:rFonts w:ascii="宋体" w:hAnsi="宋体"/>
          <w:color w:val="auto"/>
          <w:kern w:val="0"/>
          <w:szCs w:val="21"/>
        </w:rPr>
        <w:t>一名称：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24D5FFB7">
      <w:pPr>
        <w:tabs>
          <w:tab w:val="left" w:pos="774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5A5C2356">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联合体其他成员单位二</w:t>
      </w:r>
      <w:r>
        <w:rPr>
          <w:rFonts w:ascii="宋体" w:hAnsi="宋体"/>
          <w:color w:val="auto"/>
          <w:kern w:val="0"/>
          <w:szCs w:val="21"/>
        </w:rPr>
        <w:t>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1AE6FB0B">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26640D63">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w:t>
      </w:r>
    </w:p>
    <w:p w14:paraId="732E7F1B">
      <w:pPr>
        <w:tabs>
          <w:tab w:val="left" w:pos="3840"/>
          <w:tab w:val="left" w:pos="4780"/>
          <w:tab w:val="left" w:pos="5720"/>
        </w:tabs>
        <w:autoSpaceDE w:val="0"/>
        <w:autoSpaceDN w:val="0"/>
        <w:adjustRightInd w:val="0"/>
        <w:snapToGrid w:val="0"/>
        <w:spacing w:beforeLines="50" w:line="500" w:lineRule="exact"/>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5BB37A58">
      <w:pPr>
        <w:spacing w:line="360" w:lineRule="auto"/>
        <w:jc w:val="center"/>
        <w:rPr>
          <w:rFonts w:ascii="宋体" w:hAnsi="宋体"/>
          <w:snapToGrid w:val="0"/>
          <w:color w:val="auto"/>
          <w:szCs w:val="21"/>
        </w:rPr>
      </w:pPr>
    </w:p>
    <w:p w14:paraId="19048FF9">
      <w:pPr>
        <w:spacing w:line="500" w:lineRule="exact"/>
        <w:ind w:firstLine="420" w:firstLineChars="200"/>
        <w:jc w:val="left"/>
        <w:rPr>
          <w:rFonts w:ascii="宋体" w:hAnsi="宋体"/>
          <w:snapToGrid w:val="0"/>
          <w:color w:val="auto"/>
          <w:szCs w:val="21"/>
        </w:rPr>
      </w:pPr>
      <w:r>
        <w:rPr>
          <w:rFonts w:ascii="宋体" w:hAnsi="宋体"/>
          <w:snapToGrid w:val="0"/>
          <w:color w:val="auto"/>
          <w:szCs w:val="21"/>
        </w:rPr>
        <w:t>注：</w:t>
      </w:r>
      <w:r>
        <w:rPr>
          <w:rFonts w:hint="eastAsia" w:ascii="宋体" w:hAnsi="宋体"/>
          <w:snapToGrid w:val="0"/>
          <w:color w:val="auto"/>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2EED8F60">
      <w:pPr>
        <w:spacing w:line="500" w:lineRule="exact"/>
        <w:ind w:firstLine="420" w:firstLineChars="200"/>
        <w:jc w:val="left"/>
        <w:rPr>
          <w:rFonts w:ascii="宋体" w:hAnsi="宋体"/>
          <w:color w:val="auto"/>
          <w:szCs w:val="21"/>
        </w:rPr>
      </w:pPr>
      <w:r>
        <w:rPr>
          <w:rFonts w:hint="eastAsia" w:ascii="宋体" w:hAnsi="宋体"/>
          <w:snapToGrid w:val="0"/>
          <w:color w:val="auto"/>
          <w:szCs w:val="21"/>
        </w:rPr>
        <w:t>2.</w:t>
      </w:r>
      <w:r>
        <w:rPr>
          <w:rFonts w:ascii="宋体" w:hAnsi="宋体"/>
          <w:snapToGrid w:val="0"/>
          <w:color w:val="auto"/>
          <w:szCs w:val="21"/>
        </w:rPr>
        <w:t>本协议书由委托代理人</w:t>
      </w:r>
      <w:r>
        <w:rPr>
          <w:rFonts w:hint="eastAsia" w:ascii="宋体" w:hAnsi="宋体"/>
          <w:snapToGrid w:val="0"/>
          <w:color w:val="auto"/>
          <w:szCs w:val="21"/>
        </w:rPr>
        <w:t>签字</w:t>
      </w:r>
      <w:r>
        <w:rPr>
          <w:rFonts w:ascii="宋体" w:hAnsi="宋体"/>
          <w:snapToGrid w:val="0"/>
          <w:color w:val="auto"/>
          <w:szCs w:val="21"/>
        </w:rPr>
        <w:t>或盖章的，应附法定代表人</w:t>
      </w:r>
      <w:r>
        <w:rPr>
          <w:rFonts w:hint="eastAsia" w:ascii="宋体" w:hAnsi="宋体"/>
          <w:snapToGrid w:val="0"/>
          <w:color w:val="auto"/>
          <w:szCs w:val="21"/>
        </w:rPr>
        <w:t>签字</w:t>
      </w:r>
      <w:r>
        <w:rPr>
          <w:rFonts w:ascii="宋体" w:hAnsi="宋体"/>
          <w:snapToGrid w:val="0"/>
          <w:color w:val="auto"/>
          <w:szCs w:val="21"/>
        </w:rPr>
        <w:t>或盖章的授权委托书。</w:t>
      </w:r>
    </w:p>
    <w:p w14:paraId="601C676E">
      <w:pPr>
        <w:spacing w:line="20" w:lineRule="exact"/>
        <w:jc w:val="center"/>
        <w:rPr>
          <w:rFonts w:ascii="宋体" w:hAnsi="宋体"/>
          <w:color w:val="auto"/>
          <w:szCs w:val="21"/>
        </w:rPr>
      </w:pPr>
    </w:p>
    <w:p w14:paraId="3D6AEB37">
      <w:pPr>
        <w:pStyle w:val="5"/>
        <w:spacing w:before="0" w:after="0" w:line="240" w:lineRule="auto"/>
        <w:jc w:val="center"/>
        <w:rPr>
          <w:rFonts w:ascii="宋体" w:hAnsi="宋体"/>
          <w:color w:val="auto"/>
        </w:rPr>
      </w:pPr>
      <w:r>
        <w:rPr>
          <w:rFonts w:ascii="宋体" w:hAnsi="宋体"/>
          <w:color w:val="auto"/>
          <w:szCs w:val="21"/>
        </w:rPr>
        <w:br w:type="page"/>
      </w:r>
      <w:bookmarkStart w:id="2355" w:name="_Toc2293"/>
      <w:r>
        <w:rPr>
          <w:rFonts w:hint="eastAsia" w:ascii="宋体" w:hAnsi="宋体"/>
          <w:b w:val="0"/>
          <w:bCs w:val="0"/>
          <w:color w:val="auto"/>
        </w:rPr>
        <w:t>（三）投标人基本情况表</w:t>
      </w:r>
      <w:bookmarkEnd w:id="2355"/>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459D99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A3A258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投标人名称</w:t>
            </w:r>
          </w:p>
        </w:tc>
        <w:tc>
          <w:tcPr>
            <w:tcW w:w="7607" w:type="dxa"/>
            <w:gridSpan w:val="9"/>
            <w:vAlign w:val="center"/>
          </w:tcPr>
          <w:p w14:paraId="311D401E">
            <w:pPr>
              <w:autoSpaceDE w:val="0"/>
              <w:autoSpaceDN w:val="0"/>
              <w:adjustRightInd w:val="0"/>
              <w:snapToGrid w:val="0"/>
              <w:jc w:val="center"/>
              <w:rPr>
                <w:rFonts w:ascii="宋体" w:hAnsi="宋体"/>
                <w:color w:val="auto"/>
                <w:kern w:val="0"/>
                <w:szCs w:val="21"/>
              </w:rPr>
            </w:pPr>
          </w:p>
        </w:tc>
      </w:tr>
      <w:tr w14:paraId="25134B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4E8C65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注册地址</w:t>
            </w:r>
          </w:p>
        </w:tc>
        <w:tc>
          <w:tcPr>
            <w:tcW w:w="3450" w:type="dxa"/>
            <w:gridSpan w:val="5"/>
            <w:vAlign w:val="center"/>
          </w:tcPr>
          <w:p w14:paraId="0536E0E7">
            <w:pPr>
              <w:autoSpaceDE w:val="0"/>
              <w:autoSpaceDN w:val="0"/>
              <w:adjustRightInd w:val="0"/>
              <w:snapToGrid w:val="0"/>
              <w:jc w:val="center"/>
              <w:rPr>
                <w:rFonts w:ascii="宋体" w:hAnsi="宋体"/>
                <w:color w:val="auto"/>
                <w:kern w:val="0"/>
                <w:szCs w:val="21"/>
              </w:rPr>
            </w:pPr>
          </w:p>
        </w:tc>
        <w:tc>
          <w:tcPr>
            <w:tcW w:w="1392" w:type="dxa"/>
            <w:vAlign w:val="center"/>
          </w:tcPr>
          <w:p w14:paraId="40AFB2E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邮政编码</w:t>
            </w:r>
          </w:p>
        </w:tc>
        <w:tc>
          <w:tcPr>
            <w:tcW w:w="2765" w:type="dxa"/>
            <w:gridSpan w:val="3"/>
            <w:vAlign w:val="center"/>
          </w:tcPr>
          <w:p w14:paraId="58A6CF98">
            <w:pPr>
              <w:autoSpaceDE w:val="0"/>
              <w:autoSpaceDN w:val="0"/>
              <w:adjustRightInd w:val="0"/>
              <w:snapToGrid w:val="0"/>
              <w:jc w:val="center"/>
              <w:rPr>
                <w:rFonts w:ascii="宋体" w:hAnsi="宋体"/>
                <w:color w:val="auto"/>
                <w:kern w:val="0"/>
                <w:szCs w:val="21"/>
              </w:rPr>
            </w:pPr>
          </w:p>
        </w:tc>
      </w:tr>
      <w:tr w14:paraId="3D9C4E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6670B34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联系方式</w:t>
            </w:r>
          </w:p>
        </w:tc>
        <w:tc>
          <w:tcPr>
            <w:tcW w:w="967" w:type="dxa"/>
            <w:vAlign w:val="center"/>
          </w:tcPr>
          <w:p w14:paraId="608CB7D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联系人</w:t>
            </w:r>
          </w:p>
        </w:tc>
        <w:tc>
          <w:tcPr>
            <w:tcW w:w="2483" w:type="dxa"/>
            <w:gridSpan w:val="4"/>
            <w:vAlign w:val="center"/>
          </w:tcPr>
          <w:p w14:paraId="26AF0746">
            <w:pPr>
              <w:autoSpaceDE w:val="0"/>
              <w:autoSpaceDN w:val="0"/>
              <w:adjustRightInd w:val="0"/>
              <w:snapToGrid w:val="0"/>
              <w:jc w:val="center"/>
              <w:rPr>
                <w:rFonts w:ascii="宋体" w:hAnsi="宋体"/>
                <w:color w:val="auto"/>
                <w:kern w:val="0"/>
                <w:szCs w:val="21"/>
              </w:rPr>
            </w:pPr>
          </w:p>
        </w:tc>
        <w:tc>
          <w:tcPr>
            <w:tcW w:w="1392" w:type="dxa"/>
            <w:vAlign w:val="center"/>
          </w:tcPr>
          <w:p w14:paraId="413F082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电话</w:t>
            </w:r>
          </w:p>
        </w:tc>
        <w:tc>
          <w:tcPr>
            <w:tcW w:w="2765" w:type="dxa"/>
            <w:gridSpan w:val="3"/>
            <w:vAlign w:val="center"/>
          </w:tcPr>
          <w:p w14:paraId="7AC1E202">
            <w:pPr>
              <w:autoSpaceDE w:val="0"/>
              <w:autoSpaceDN w:val="0"/>
              <w:adjustRightInd w:val="0"/>
              <w:snapToGrid w:val="0"/>
              <w:jc w:val="center"/>
              <w:rPr>
                <w:rFonts w:ascii="宋体" w:hAnsi="宋体"/>
                <w:color w:val="auto"/>
                <w:kern w:val="0"/>
                <w:szCs w:val="21"/>
              </w:rPr>
            </w:pPr>
          </w:p>
        </w:tc>
      </w:tr>
      <w:tr w14:paraId="5C357C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3CC5C35A">
            <w:pPr>
              <w:autoSpaceDE w:val="0"/>
              <w:autoSpaceDN w:val="0"/>
              <w:adjustRightInd w:val="0"/>
              <w:snapToGrid w:val="0"/>
              <w:jc w:val="center"/>
              <w:rPr>
                <w:rFonts w:ascii="宋体" w:hAnsi="宋体"/>
                <w:color w:val="auto"/>
                <w:kern w:val="0"/>
                <w:szCs w:val="21"/>
              </w:rPr>
            </w:pPr>
          </w:p>
        </w:tc>
        <w:tc>
          <w:tcPr>
            <w:tcW w:w="967" w:type="dxa"/>
            <w:vAlign w:val="center"/>
          </w:tcPr>
          <w:p w14:paraId="5BCF6911">
            <w:pPr>
              <w:tabs>
                <w:tab w:val="left" w:pos="540"/>
              </w:tabs>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传  真</w:t>
            </w:r>
          </w:p>
        </w:tc>
        <w:tc>
          <w:tcPr>
            <w:tcW w:w="2483" w:type="dxa"/>
            <w:gridSpan w:val="4"/>
            <w:vAlign w:val="center"/>
          </w:tcPr>
          <w:p w14:paraId="30BC1C56">
            <w:pPr>
              <w:autoSpaceDE w:val="0"/>
              <w:autoSpaceDN w:val="0"/>
              <w:adjustRightInd w:val="0"/>
              <w:snapToGrid w:val="0"/>
              <w:jc w:val="center"/>
              <w:rPr>
                <w:rFonts w:ascii="宋体" w:hAnsi="宋体"/>
                <w:color w:val="auto"/>
                <w:kern w:val="0"/>
                <w:szCs w:val="21"/>
              </w:rPr>
            </w:pPr>
          </w:p>
        </w:tc>
        <w:tc>
          <w:tcPr>
            <w:tcW w:w="1392" w:type="dxa"/>
            <w:vAlign w:val="center"/>
          </w:tcPr>
          <w:p w14:paraId="34A6E0E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网址</w:t>
            </w:r>
          </w:p>
        </w:tc>
        <w:tc>
          <w:tcPr>
            <w:tcW w:w="2765" w:type="dxa"/>
            <w:gridSpan w:val="3"/>
            <w:vAlign w:val="center"/>
          </w:tcPr>
          <w:p w14:paraId="532C55ED">
            <w:pPr>
              <w:autoSpaceDE w:val="0"/>
              <w:autoSpaceDN w:val="0"/>
              <w:adjustRightInd w:val="0"/>
              <w:snapToGrid w:val="0"/>
              <w:jc w:val="center"/>
              <w:rPr>
                <w:rFonts w:ascii="宋体" w:hAnsi="宋体"/>
                <w:color w:val="auto"/>
                <w:kern w:val="0"/>
                <w:szCs w:val="21"/>
              </w:rPr>
            </w:pPr>
          </w:p>
        </w:tc>
      </w:tr>
      <w:tr w14:paraId="337EFF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493C54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组织结构</w:t>
            </w:r>
          </w:p>
        </w:tc>
        <w:tc>
          <w:tcPr>
            <w:tcW w:w="7607" w:type="dxa"/>
            <w:gridSpan w:val="9"/>
            <w:vAlign w:val="center"/>
          </w:tcPr>
          <w:p w14:paraId="6CE0EA12">
            <w:pPr>
              <w:autoSpaceDE w:val="0"/>
              <w:autoSpaceDN w:val="0"/>
              <w:adjustRightInd w:val="0"/>
              <w:snapToGrid w:val="0"/>
              <w:jc w:val="center"/>
              <w:rPr>
                <w:rFonts w:ascii="宋体" w:hAnsi="宋体"/>
                <w:color w:val="auto"/>
                <w:kern w:val="0"/>
                <w:szCs w:val="21"/>
              </w:rPr>
            </w:pPr>
          </w:p>
        </w:tc>
      </w:tr>
      <w:tr w14:paraId="13B389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94362D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法定代表人</w:t>
            </w:r>
          </w:p>
        </w:tc>
        <w:tc>
          <w:tcPr>
            <w:tcW w:w="967" w:type="dxa"/>
            <w:vAlign w:val="center"/>
          </w:tcPr>
          <w:p w14:paraId="1A586B3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  名</w:t>
            </w:r>
          </w:p>
        </w:tc>
        <w:tc>
          <w:tcPr>
            <w:tcW w:w="1024" w:type="dxa"/>
            <w:vAlign w:val="center"/>
          </w:tcPr>
          <w:p w14:paraId="51923B9A">
            <w:pPr>
              <w:autoSpaceDE w:val="0"/>
              <w:autoSpaceDN w:val="0"/>
              <w:adjustRightInd w:val="0"/>
              <w:snapToGrid w:val="0"/>
              <w:jc w:val="center"/>
              <w:rPr>
                <w:rFonts w:ascii="宋体" w:hAnsi="宋体"/>
                <w:color w:val="auto"/>
                <w:kern w:val="0"/>
                <w:szCs w:val="21"/>
              </w:rPr>
            </w:pPr>
          </w:p>
        </w:tc>
        <w:tc>
          <w:tcPr>
            <w:tcW w:w="1356" w:type="dxa"/>
            <w:gridSpan w:val="2"/>
            <w:vAlign w:val="center"/>
          </w:tcPr>
          <w:p w14:paraId="6A78809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技术职称</w:t>
            </w:r>
          </w:p>
        </w:tc>
        <w:tc>
          <w:tcPr>
            <w:tcW w:w="2024" w:type="dxa"/>
            <w:gridSpan w:val="3"/>
            <w:vAlign w:val="center"/>
          </w:tcPr>
          <w:p w14:paraId="3CA2011B">
            <w:pPr>
              <w:autoSpaceDE w:val="0"/>
              <w:autoSpaceDN w:val="0"/>
              <w:adjustRightInd w:val="0"/>
              <w:snapToGrid w:val="0"/>
              <w:jc w:val="center"/>
              <w:rPr>
                <w:rFonts w:ascii="宋体" w:hAnsi="宋体"/>
                <w:color w:val="auto"/>
                <w:kern w:val="0"/>
                <w:szCs w:val="21"/>
              </w:rPr>
            </w:pPr>
          </w:p>
        </w:tc>
        <w:tc>
          <w:tcPr>
            <w:tcW w:w="925" w:type="dxa"/>
            <w:vAlign w:val="center"/>
          </w:tcPr>
          <w:p w14:paraId="36B11E1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  话</w:t>
            </w:r>
          </w:p>
        </w:tc>
        <w:tc>
          <w:tcPr>
            <w:tcW w:w="1311" w:type="dxa"/>
            <w:vAlign w:val="center"/>
          </w:tcPr>
          <w:p w14:paraId="6B461D96">
            <w:pPr>
              <w:autoSpaceDE w:val="0"/>
              <w:autoSpaceDN w:val="0"/>
              <w:adjustRightInd w:val="0"/>
              <w:snapToGrid w:val="0"/>
              <w:jc w:val="center"/>
              <w:rPr>
                <w:rFonts w:ascii="宋体" w:hAnsi="宋体"/>
                <w:color w:val="auto"/>
                <w:kern w:val="0"/>
                <w:szCs w:val="21"/>
              </w:rPr>
            </w:pPr>
          </w:p>
        </w:tc>
      </w:tr>
      <w:tr w14:paraId="0082D2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783B445">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技术负责人</w:t>
            </w:r>
          </w:p>
        </w:tc>
        <w:tc>
          <w:tcPr>
            <w:tcW w:w="967" w:type="dxa"/>
            <w:vAlign w:val="center"/>
          </w:tcPr>
          <w:p w14:paraId="7B782B8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  名</w:t>
            </w:r>
          </w:p>
        </w:tc>
        <w:tc>
          <w:tcPr>
            <w:tcW w:w="1024" w:type="dxa"/>
            <w:vAlign w:val="center"/>
          </w:tcPr>
          <w:p w14:paraId="29D56782">
            <w:pPr>
              <w:autoSpaceDE w:val="0"/>
              <w:autoSpaceDN w:val="0"/>
              <w:adjustRightInd w:val="0"/>
              <w:snapToGrid w:val="0"/>
              <w:jc w:val="center"/>
              <w:rPr>
                <w:rFonts w:ascii="宋体" w:hAnsi="宋体"/>
                <w:color w:val="auto"/>
                <w:kern w:val="0"/>
                <w:szCs w:val="21"/>
              </w:rPr>
            </w:pPr>
          </w:p>
        </w:tc>
        <w:tc>
          <w:tcPr>
            <w:tcW w:w="1356" w:type="dxa"/>
            <w:gridSpan w:val="2"/>
            <w:vAlign w:val="center"/>
          </w:tcPr>
          <w:p w14:paraId="02434AFB">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技术职称</w:t>
            </w:r>
          </w:p>
        </w:tc>
        <w:tc>
          <w:tcPr>
            <w:tcW w:w="2024" w:type="dxa"/>
            <w:gridSpan w:val="3"/>
            <w:vAlign w:val="center"/>
          </w:tcPr>
          <w:p w14:paraId="6F8FE1E8">
            <w:pPr>
              <w:autoSpaceDE w:val="0"/>
              <w:autoSpaceDN w:val="0"/>
              <w:adjustRightInd w:val="0"/>
              <w:snapToGrid w:val="0"/>
              <w:jc w:val="center"/>
              <w:rPr>
                <w:rFonts w:ascii="宋体" w:hAnsi="宋体"/>
                <w:color w:val="auto"/>
                <w:kern w:val="0"/>
                <w:szCs w:val="21"/>
              </w:rPr>
            </w:pPr>
          </w:p>
        </w:tc>
        <w:tc>
          <w:tcPr>
            <w:tcW w:w="925" w:type="dxa"/>
            <w:vAlign w:val="center"/>
          </w:tcPr>
          <w:p w14:paraId="5044710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  话</w:t>
            </w:r>
          </w:p>
        </w:tc>
        <w:tc>
          <w:tcPr>
            <w:tcW w:w="1311" w:type="dxa"/>
            <w:vAlign w:val="center"/>
          </w:tcPr>
          <w:p w14:paraId="1A37FE40">
            <w:pPr>
              <w:autoSpaceDE w:val="0"/>
              <w:autoSpaceDN w:val="0"/>
              <w:adjustRightInd w:val="0"/>
              <w:snapToGrid w:val="0"/>
              <w:jc w:val="center"/>
              <w:rPr>
                <w:rFonts w:ascii="宋体" w:hAnsi="宋体"/>
                <w:color w:val="auto"/>
                <w:kern w:val="0"/>
                <w:szCs w:val="21"/>
              </w:rPr>
            </w:pPr>
          </w:p>
        </w:tc>
      </w:tr>
      <w:tr w14:paraId="685A47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F43394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成立时间</w:t>
            </w:r>
          </w:p>
        </w:tc>
        <w:tc>
          <w:tcPr>
            <w:tcW w:w="1991" w:type="dxa"/>
            <w:gridSpan w:val="2"/>
            <w:vAlign w:val="center"/>
          </w:tcPr>
          <w:p w14:paraId="316E3ABD">
            <w:pPr>
              <w:autoSpaceDE w:val="0"/>
              <w:autoSpaceDN w:val="0"/>
              <w:adjustRightInd w:val="0"/>
              <w:snapToGrid w:val="0"/>
              <w:jc w:val="center"/>
              <w:rPr>
                <w:rFonts w:ascii="宋体" w:hAnsi="宋体"/>
                <w:color w:val="auto"/>
                <w:kern w:val="0"/>
                <w:szCs w:val="21"/>
              </w:rPr>
            </w:pPr>
          </w:p>
        </w:tc>
        <w:tc>
          <w:tcPr>
            <w:tcW w:w="5616" w:type="dxa"/>
            <w:gridSpan w:val="7"/>
            <w:vAlign w:val="center"/>
          </w:tcPr>
          <w:p w14:paraId="5D0B28A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员工总人数：</w:t>
            </w:r>
          </w:p>
        </w:tc>
      </w:tr>
      <w:tr w14:paraId="2813E3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14B794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企业资质等级</w:t>
            </w:r>
          </w:p>
        </w:tc>
        <w:tc>
          <w:tcPr>
            <w:tcW w:w="1991" w:type="dxa"/>
            <w:gridSpan w:val="2"/>
            <w:vAlign w:val="center"/>
          </w:tcPr>
          <w:p w14:paraId="5C18A236">
            <w:pPr>
              <w:autoSpaceDE w:val="0"/>
              <w:autoSpaceDN w:val="0"/>
              <w:adjustRightInd w:val="0"/>
              <w:snapToGrid w:val="0"/>
              <w:jc w:val="center"/>
              <w:rPr>
                <w:rFonts w:ascii="宋体" w:hAnsi="宋体"/>
                <w:color w:val="auto"/>
                <w:kern w:val="0"/>
                <w:szCs w:val="21"/>
              </w:rPr>
            </w:pPr>
          </w:p>
        </w:tc>
        <w:tc>
          <w:tcPr>
            <w:tcW w:w="904" w:type="dxa"/>
            <w:vMerge w:val="restart"/>
            <w:vAlign w:val="center"/>
          </w:tcPr>
          <w:p w14:paraId="23341F75">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其中</w:t>
            </w:r>
          </w:p>
        </w:tc>
        <w:tc>
          <w:tcPr>
            <w:tcW w:w="2476" w:type="dxa"/>
            <w:gridSpan w:val="4"/>
            <w:vAlign w:val="center"/>
          </w:tcPr>
          <w:p w14:paraId="5FC4863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项目经理</w:t>
            </w:r>
          </w:p>
        </w:tc>
        <w:tc>
          <w:tcPr>
            <w:tcW w:w="2236" w:type="dxa"/>
            <w:gridSpan w:val="2"/>
            <w:vAlign w:val="center"/>
          </w:tcPr>
          <w:p w14:paraId="1F7E3537">
            <w:pPr>
              <w:autoSpaceDE w:val="0"/>
              <w:autoSpaceDN w:val="0"/>
              <w:adjustRightInd w:val="0"/>
              <w:snapToGrid w:val="0"/>
              <w:jc w:val="center"/>
              <w:rPr>
                <w:rFonts w:ascii="宋体" w:hAnsi="宋体"/>
                <w:color w:val="auto"/>
                <w:kern w:val="0"/>
                <w:szCs w:val="21"/>
              </w:rPr>
            </w:pPr>
          </w:p>
        </w:tc>
      </w:tr>
      <w:tr w14:paraId="2C6FC3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BA6DF6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营业执照号</w:t>
            </w:r>
          </w:p>
        </w:tc>
        <w:tc>
          <w:tcPr>
            <w:tcW w:w="1991" w:type="dxa"/>
            <w:gridSpan w:val="2"/>
            <w:vAlign w:val="center"/>
          </w:tcPr>
          <w:p w14:paraId="4B196257">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7D80429">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145F81D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高级职称人员</w:t>
            </w:r>
          </w:p>
        </w:tc>
        <w:tc>
          <w:tcPr>
            <w:tcW w:w="2236" w:type="dxa"/>
            <w:gridSpan w:val="2"/>
            <w:vAlign w:val="center"/>
          </w:tcPr>
          <w:p w14:paraId="28727AF8">
            <w:pPr>
              <w:autoSpaceDE w:val="0"/>
              <w:autoSpaceDN w:val="0"/>
              <w:adjustRightInd w:val="0"/>
              <w:snapToGrid w:val="0"/>
              <w:jc w:val="center"/>
              <w:rPr>
                <w:rFonts w:ascii="宋体" w:hAnsi="宋体"/>
                <w:color w:val="auto"/>
                <w:kern w:val="0"/>
                <w:szCs w:val="21"/>
              </w:rPr>
            </w:pPr>
          </w:p>
        </w:tc>
      </w:tr>
      <w:tr w14:paraId="5366AC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37CD90E">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注册资金</w:t>
            </w:r>
          </w:p>
        </w:tc>
        <w:tc>
          <w:tcPr>
            <w:tcW w:w="1991" w:type="dxa"/>
            <w:gridSpan w:val="2"/>
            <w:vAlign w:val="center"/>
          </w:tcPr>
          <w:p w14:paraId="6598A420">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18B5BC0B">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55E8172C">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中级职称人员</w:t>
            </w:r>
          </w:p>
        </w:tc>
        <w:tc>
          <w:tcPr>
            <w:tcW w:w="2236" w:type="dxa"/>
            <w:gridSpan w:val="2"/>
            <w:vAlign w:val="center"/>
          </w:tcPr>
          <w:p w14:paraId="098F2328">
            <w:pPr>
              <w:autoSpaceDE w:val="0"/>
              <w:autoSpaceDN w:val="0"/>
              <w:adjustRightInd w:val="0"/>
              <w:snapToGrid w:val="0"/>
              <w:jc w:val="center"/>
              <w:rPr>
                <w:rFonts w:ascii="宋体" w:hAnsi="宋体"/>
                <w:color w:val="auto"/>
                <w:kern w:val="0"/>
                <w:szCs w:val="21"/>
              </w:rPr>
            </w:pPr>
          </w:p>
        </w:tc>
      </w:tr>
      <w:tr w14:paraId="364FC7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BE8F8A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开户银行</w:t>
            </w:r>
          </w:p>
        </w:tc>
        <w:tc>
          <w:tcPr>
            <w:tcW w:w="1991" w:type="dxa"/>
            <w:gridSpan w:val="2"/>
            <w:vAlign w:val="center"/>
          </w:tcPr>
          <w:p w14:paraId="3B783B67">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3A518BB">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0955D3D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初级职称人员</w:t>
            </w:r>
          </w:p>
        </w:tc>
        <w:tc>
          <w:tcPr>
            <w:tcW w:w="2236" w:type="dxa"/>
            <w:gridSpan w:val="2"/>
            <w:vAlign w:val="center"/>
          </w:tcPr>
          <w:p w14:paraId="25D4AFE1">
            <w:pPr>
              <w:autoSpaceDE w:val="0"/>
              <w:autoSpaceDN w:val="0"/>
              <w:adjustRightInd w:val="0"/>
              <w:snapToGrid w:val="0"/>
              <w:jc w:val="center"/>
              <w:rPr>
                <w:rFonts w:ascii="宋体" w:hAnsi="宋体"/>
                <w:color w:val="auto"/>
                <w:kern w:val="0"/>
                <w:szCs w:val="21"/>
              </w:rPr>
            </w:pPr>
          </w:p>
        </w:tc>
      </w:tr>
      <w:tr w14:paraId="5FD95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DECE735">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账号</w:t>
            </w:r>
          </w:p>
        </w:tc>
        <w:tc>
          <w:tcPr>
            <w:tcW w:w="1991" w:type="dxa"/>
            <w:gridSpan w:val="2"/>
            <w:vAlign w:val="center"/>
          </w:tcPr>
          <w:p w14:paraId="021BBB4D">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354283F">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55618B32">
            <w:pPr>
              <w:tabs>
                <w:tab w:val="left" w:pos="1240"/>
              </w:tabs>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w:t>
            </w:r>
            <w:r>
              <w:rPr>
                <w:rFonts w:ascii="宋体" w:hAnsi="宋体"/>
                <w:color w:val="auto"/>
                <w:kern w:val="0"/>
                <w:szCs w:val="21"/>
              </w:rPr>
              <w:tab/>
            </w:r>
            <w:r>
              <w:rPr>
                <w:rFonts w:hint="eastAsia" w:ascii="宋体" w:hAnsi="宋体" w:cs="MingLiU"/>
                <w:color w:val="auto"/>
                <w:kern w:val="0"/>
                <w:szCs w:val="21"/>
              </w:rPr>
              <w:t>工</w:t>
            </w:r>
          </w:p>
        </w:tc>
        <w:tc>
          <w:tcPr>
            <w:tcW w:w="2236" w:type="dxa"/>
            <w:gridSpan w:val="2"/>
            <w:vAlign w:val="center"/>
          </w:tcPr>
          <w:p w14:paraId="6CEB3F2B">
            <w:pPr>
              <w:autoSpaceDE w:val="0"/>
              <w:autoSpaceDN w:val="0"/>
              <w:adjustRightInd w:val="0"/>
              <w:snapToGrid w:val="0"/>
              <w:jc w:val="center"/>
              <w:rPr>
                <w:rFonts w:ascii="宋体" w:hAnsi="宋体"/>
                <w:color w:val="auto"/>
                <w:kern w:val="0"/>
                <w:szCs w:val="21"/>
              </w:rPr>
            </w:pPr>
          </w:p>
        </w:tc>
      </w:tr>
      <w:tr w14:paraId="73487A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3E9849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经营范围</w:t>
            </w:r>
          </w:p>
        </w:tc>
        <w:tc>
          <w:tcPr>
            <w:tcW w:w="7607" w:type="dxa"/>
            <w:gridSpan w:val="9"/>
            <w:vAlign w:val="center"/>
          </w:tcPr>
          <w:p w14:paraId="7E242465">
            <w:pPr>
              <w:autoSpaceDE w:val="0"/>
              <w:autoSpaceDN w:val="0"/>
              <w:adjustRightInd w:val="0"/>
              <w:snapToGrid w:val="0"/>
              <w:jc w:val="center"/>
              <w:rPr>
                <w:rFonts w:ascii="宋体" w:hAnsi="宋体"/>
                <w:color w:val="auto"/>
                <w:kern w:val="0"/>
                <w:szCs w:val="21"/>
              </w:rPr>
            </w:pPr>
          </w:p>
        </w:tc>
      </w:tr>
      <w:tr w14:paraId="01CBB5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CDC802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备注</w:t>
            </w:r>
          </w:p>
        </w:tc>
        <w:tc>
          <w:tcPr>
            <w:tcW w:w="7607" w:type="dxa"/>
            <w:gridSpan w:val="9"/>
            <w:vAlign w:val="center"/>
          </w:tcPr>
          <w:p w14:paraId="00F6368D">
            <w:pPr>
              <w:autoSpaceDE w:val="0"/>
              <w:autoSpaceDN w:val="0"/>
              <w:adjustRightInd w:val="0"/>
              <w:snapToGrid w:val="0"/>
              <w:jc w:val="center"/>
              <w:rPr>
                <w:rFonts w:ascii="宋体" w:hAnsi="宋体"/>
                <w:color w:val="auto"/>
                <w:kern w:val="0"/>
                <w:szCs w:val="21"/>
              </w:rPr>
            </w:pPr>
          </w:p>
        </w:tc>
      </w:tr>
    </w:tbl>
    <w:p w14:paraId="1329D012">
      <w:pPr>
        <w:spacing w:line="360" w:lineRule="auto"/>
        <w:jc w:val="center"/>
        <w:rPr>
          <w:rFonts w:ascii="宋体" w:hAnsi="宋体"/>
          <w:color w:val="auto"/>
          <w:szCs w:val="21"/>
        </w:rPr>
      </w:pPr>
    </w:p>
    <w:p w14:paraId="61FFCAD9">
      <w:pPr>
        <w:pStyle w:val="5"/>
        <w:spacing w:before="0" w:after="0" w:line="240" w:lineRule="auto"/>
        <w:jc w:val="center"/>
        <w:rPr>
          <w:rFonts w:ascii="宋体" w:hAnsi="宋体"/>
          <w:b w:val="0"/>
          <w:bCs w:val="0"/>
          <w:color w:val="auto"/>
        </w:rPr>
      </w:pPr>
      <w:r>
        <w:rPr>
          <w:rFonts w:ascii="宋体" w:hAnsi="宋体"/>
          <w:color w:val="auto"/>
          <w:szCs w:val="21"/>
        </w:rPr>
        <w:br w:type="page"/>
      </w:r>
      <w:bookmarkStart w:id="2356" w:name="_Toc509218863"/>
      <w:bookmarkStart w:id="2357" w:name="_Toc534185840"/>
      <w:bookmarkStart w:id="2358" w:name="_Toc6097"/>
      <w:r>
        <w:rPr>
          <w:rFonts w:hint="eastAsia" w:ascii="宋体" w:hAnsi="宋体"/>
          <w:b w:val="0"/>
          <w:bCs w:val="0"/>
          <w:color w:val="auto"/>
        </w:rPr>
        <w:t>（四）项目管理机构</w:t>
      </w:r>
      <w:bookmarkEnd w:id="2356"/>
      <w:bookmarkEnd w:id="2357"/>
      <w:bookmarkEnd w:id="2358"/>
    </w:p>
    <w:p w14:paraId="665610F6">
      <w:pPr>
        <w:spacing w:line="360" w:lineRule="auto"/>
        <w:rPr>
          <w:rFonts w:ascii="宋体" w:hAnsi="宋体"/>
          <w:color w:val="auto"/>
        </w:rPr>
      </w:pPr>
    </w:p>
    <w:p w14:paraId="34281B97">
      <w:pPr>
        <w:autoSpaceDE w:val="0"/>
        <w:autoSpaceDN w:val="0"/>
        <w:adjustRightInd w:val="0"/>
        <w:snapToGrid w:val="0"/>
        <w:spacing w:line="360" w:lineRule="auto"/>
        <w:jc w:val="center"/>
        <w:rPr>
          <w:rFonts w:ascii="宋体" w:hAnsi="宋体" w:cs="MingLiU"/>
          <w:color w:val="auto"/>
          <w:kern w:val="0"/>
          <w:sz w:val="28"/>
          <w:szCs w:val="28"/>
        </w:rPr>
      </w:pPr>
      <w:r>
        <w:rPr>
          <w:rFonts w:hint="eastAsia" w:ascii="宋体" w:hAnsi="宋体" w:cs="MingLiU"/>
          <w:color w:val="auto"/>
          <w:kern w:val="0"/>
          <w:sz w:val="28"/>
          <w:szCs w:val="28"/>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089282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19FDEC3C">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职务</w:t>
            </w:r>
          </w:p>
        </w:tc>
        <w:tc>
          <w:tcPr>
            <w:tcW w:w="734" w:type="dxa"/>
            <w:vMerge w:val="restart"/>
            <w:vAlign w:val="center"/>
          </w:tcPr>
          <w:p w14:paraId="0E1AF56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姓名</w:t>
            </w:r>
          </w:p>
        </w:tc>
        <w:tc>
          <w:tcPr>
            <w:tcW w:w="776" w:type="dxa"/>
            <w:vMerge w:val="restart"/>
            <w:vAlign w:val="center"/>
          </w:tcPr>
          <w:p w14:paraId="6F04E58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职称</w:t>
            </w:r>
          </w:p>
        </w:tc>
        <w:tc>
          <w:tcPr>
            <w:tcW w:w="6220" w:type="dxa"/>
            <w:gridSpan w:val="5"/>
            <w:vAlign w:val="center"/>
          </w:tcPr>
          <w:p w14:paraId="5B2E822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执业或职业资格证明</w:t>
            </w:r>
          </w:p>
        </w:tc>
        <w:tc>
          <w:tcPr>
            <w:tcW w:w="896" w:type="dxa"/>
            <w:vAlign w:val="center"/>
          </w:tcPr>
          <w:p w14:paraId="2B0BCA3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备注</w:t>
            </w:r>
          </w:p>
        </w:tc>
      </w:tr>
      <w:tr w14:paraId="6E872F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56BBBCC0">
            <w:pPr>
              <w:autoSpaceDE w:val="0"/>
              <w:autoSpaceDN w:val="0"/>
              <w:adjustRightInd w:val="0"/>
              <w:snapToGrid w:val="0"/>
              <w:jc w:val="left"/>
              <w:rPr>
                <w:rFonts w:ascii="宋体" w:hAnsi="宋体"/>
                <w:color w:val="auto"/>
                <w:kern w:val="0"/>
                <w:szCs w:val="21"/>
              </w:rPr>
            </w:pPr>
          </w:p>
        </w:tc>
        <w:tc>
          <w:tcPr>
            <w:tcW w:w="734" w:type="dxa"/>
            <w:vMerge w:val="continue"/>
          </w:tcPr>
          <w:p w14:paraId="6945C4D3">
            <w:pPr>
              <w:autoSpaceDE w:val="0"/>
              <w:autoSpaceDN w:val="0"/>
              <w:adjustRightInd w:val="0"/>
              <w:snapToGrid w:val="0"/>
              <w:jc w:val="left"/>
              <w:rPr>
                <w:rFonts w:ascii="宋体" w:hAnsi="宋体"/>
                <w:color w:val="auto"/>
                <w:kern w:val="0"/>
                <w:szCs w:val="21"/>
              </w:rPr>
            </w:pPr>
          </w:p>
        </w:tc>
        <w:tc>
          <w:tcPr>
            <w:tcW w:w="776" w:type="dxa"/>
            <w:vMerge w:val="continue"/>
          </w:tcPr>
          <w:p w14:paraId="0BFE7298">
            <w:pPr>
              <w:autoSpaceDE w:val="0"/>
              <w:autoSpaceDN w:val="0"/>
              <w:adjustRightInd w:val="0"/>
              <w:snapToGrid w:val="0"/>
              <w:jc w:val="left"/>
              <w:rPr>
                <w:rFonts w:ascii="宋体" w:hAnsi="宋体"/>
                <w:color w:val="auto"/>
                <w:kern w:val="0"/>
                <w:szCs w:val="21"/>
              </w:rPr>
            </w:pPr>
          </w:p>
        </w:tc>
        <w:tc>
          <w:tcPr>
            <w:tcW w:w="1167" w:type="dxa"/>
            <w:vAlign w:val="center"/>
          </w:tcPr>
          <w:p w14:paraId="02BB5E5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证书名称</w:t>
            </w:r>
          </w:p>
        </w:tc>
        <w:tc>
          <w:tcPr>
            <w:tcW w:w="776" w:type="dxa"/>
            <w:vAlign w:val="center"/>
          </w:tcPr>
          <w:p w14:paraId="1D57DB8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级别</w:t>
            </w:r>
          </w:p>
        </w:tc>
        <w:tc>
          <w:tcPr>
            <w:tcW w:w="778" w:type="dxa"/>
            <w:vAlign w:val="center"/>
          </w:tcPr>
          <w:p w14:paraId="21A46D2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证号</w:t>
            </w:r>
          </w:p>
        </w:tc>
        <w:tc>
          <w:tcPr>
            <w:tcW w:w="776" w:type="dxa"/>
            <w:vAlign w:val="center"/>
          </w:tcPr>
          <w:p w14:paraId="46D1E44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专业</w:t>
            </w:r>
          </w:p>
        </w:tc>
        <w:tc>
          <w:tcPr>
            <w:tcW w:w="2723" w:type="dxa"/>
            <w:vAlign w:val="center"/>
          </w:tcPr>
          <w:p w14:paraId="0C80291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养老保险</w:t>
            </w:r>
          </w:p>
        </w:tc>
        <w:tc>
          <w:tcPr>
            <w:tcW w:w="896" w:type="dxa"/>
          </w:tcPr>
          <w:p w14:paraId="3CF2FD50">
            <w:pPr>
              <w:autoSpaceDE w:val="0"/>
              <w:autoSpaceDN w:val="0"/>
              <w:adjustRightInd w:val="0"/>
              <w:snapToGrid w:val="0"/>
              <w:jc w:val="left"/>
              <w:rPr>
                <w:rFonts w:ascii="宋体" w:hAnsi="宋体"/>
                <w:color w:val="auto"/>
                <w:kern w:val="0"/>
                <w:szCs w:val="21"/>
              </w:rPr>
            </w:pPr>
          </w:p>
        </w:tc>
      </w:tr>
      <w:tr w14:paraId="0B0FE0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5BC12A06">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项目经理</w:t>
            </w:r>
          </w:p>
        </w:tc>
        <w:tc>
          <w:tcPr>
            <w:tcW w:w="734" w:type="dxa"/>
          </w:tcPr>
          <w:p w14:paraId="3EB3B1A7">
            <w:pPr>
              <w:autoSpaceDE w:val="0"/>
              <w:autoSpaceDN w:val="0"/>
              <w:adjustRightInd w:val="0"/>
              <w:snapToGrid w:val="0"/>
              <w:jc w:val="left"/>
              <w:rPr>
                <w:rFonts w:ascii="宋体" w:hAnsi="宋体"/>
                <w:color w:val="auto"/>
                <w:kern w:val="0"/>
                <w:szCs w:val="21"/>
              </w:rPr>
            </w:pPr>
          </w:p>
        </w:tc>
        <w:tc>
          <w:tcPr>
            <w:tcW w:w="776" w:type="dxa"/>
          </w:tcPr>
          <w:p w14:paraId="453F182C">
            <w:pPr>
              <w:autoSpaceDE w:val="0"/>
              <w:autoSpaceDN w:val="0"/>
              <w:adjustRightInd w:val="0"/>
              <w:snapToGrid w:val="0"/>
              <w:jc w:val="left"/>
              <w:rPr>
                <w:rFonts w:ascii="宋体" w:hAnsi="宋体"/>
                <w:color w:val="auto"/>
                <w:kern w:val="0"/>
                <w:szCs w:val="21"/>
              </w:rPr>
            </w:pPr>
          </w:p>
        </w:tc>
        <w:tc>
          <w:tcPr>
            <w:tcW w:w="1167" w:type="dxa"/>
          </w:tcPr>
          <w:p w14:paraId="5E0C3F77">
            <w:pPr>
              <w:autoSpaceDE w:val="0"/>
              <w:autoSpaceDN w:val="0"/>
              <w:adjustRightInd w:val="0"/>
              <w:snapToGrid w:val="0"/>
              <w:jc w:val="left"/>
              <w:rPr>
                <w:rFonts w:ascii="宋体" w:hAnsi="宋体"/>
                <w:color w:val="auto"/>
                <w:kern w:val="0"/>
                <w:szCs w:val="21"/>
              </w:rPr>
            </w:pPr>
          </w:p>
        </w:tc>
        <w:tc>
          <w:tcPr>
            <w:tcW w:w="776" w:type="dxa"/>
          </w:tcPr>
          <w:p w14:paraId="06F1C72B">
            <w:pPr>
              <w:autoSpaceDE w:val="0"/>
              <w:autoSpaceDN w:val="0"/>
              <w:adjustRightInd w:val="0"/>
              <w:snapToGrid w:val="0"/>
              <w:jc w:val="left"/>
              <w:rPr>
                <w:rFonts w:ascii="宋体" w:hAnsi="宋体"/>
                <w:color w:val="auto"/>
                <w:kern w:val="0"/>
                <w:szCs w:val="21"/>
              </w:rPr>
            </w:pPr>
          </w:p>
        </w:tc>
        <w:tc>
          <w:tcPr>
            <w:tcW w:w="778" w:type="dxa"/>
          </w:tcPr>
          <w:p w14:paraId="1DA0FEA7">
            <w:pPr>
              <w:autoSpaceDE w:val="0"/>
              <w:autoSpaceDN w:val="0"/>
              <w:adjustRightInd w:val="0"/>
              <w:snapToGrid w:val="0"/>
              <w:jc w:val="left"/>
              <w:rPr>
                <w:rFonts w:ascii="宋体" w:hAnsi="宋体"/>
                <w:color w:val="auto"/>
                <w:kern w:val="0"/>
                <w:szCs w:val="21"/>
              </w:rPr>
            </w:pPr>
          </w:p>
        </w:tc>
        <w:tc>
          <w:tcPr>
            <w:tcW w:w="776" w:type="dxa"/>
          </w:tcPr>
          <w:p w14:paraId="3AEE8397">
            <w:pPr>
              <w:autoSpaceDE w:val="0"/>
              <w:autoSpaceDN w:val="0"/>
              <w:adjustRightInd w:val="0"/>
              <w:snapToGrid w:val="0"/>
              <w:jc w:val="left"/>
              <w:rPr>
                <w:rFonts w:ascii="宋体" w:hAnsi="宋体"/>
                <w:color w:val="auto"/>
                <w:kern w:val="0"/>
                <w:szCs w:val="21"/>
              </w:rPr>
            </w:pPr>
          </w:p>
        </w:tc>
        <w:tc>
          <w:tcPr>
            <w:tcW w:w="2723" w:type="dxa"/>
          </w:tcPr>
          <w:p w14:paraId="31640496">
            <w:pPr>
              <w:autoSpaceDE w:val="0"/>
              <w:autoSpaceDN w:val="0"/>
              <w:adjustRightInd w:val="0"/>
              <w:snapToGrid w:val="0"/>
              <w:jc w:val="left"/>
              <w:rPr>
                <w:rFonts w:ascii="宋体" w:hAnsi="宋体"/>
                <w:color w:val="auto"/>
                <w:kern w:val="0"/>
                <w:szCs w:val="21"/>
              </w:rPr>
            </w:pPr>
          </w:p>
        </w:tc>
        <w:tc>
          <w:tcPr>
            <w:tcW w:w="896" w:type="dxa"/>
          </w:tcPr>
          <w:p w14:paraId="54D94889">
            <w:pPr>
              <w:autoSpaceDE w:val="0"/>
              <w:autoSpaceDN w:val="0"/>
              <w:adjustRightInd w:val="0"/>
              <w:snapToGrid w:val="0"/>
              <w:jc w:val="left"/>
              <w:rPr>
                <w:rFonts w:ascii="宋体" w:hAnsi="宋体"/>
                <w:color w:val="auto"/>
                <w:kern w:val="0"/>
                <w:szCs w:val="21"/>
              </w:rPr>
            </w:pPr>
          </w:p>
        </w:tc>
      </w:tr>
      <w:tr w14:paraId="08BFC2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73B00B67">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项目技术负责人</w:t>
            </w:r>
          </w:p>
        </w:tc>
        <w:tc>
          <w:tcPr>
            <w:tcW w:w="734" w:type="dxa"/>
          </w:tcPr>
          <w:p w14:paraId="0CC170B9">
            <w:pPr>
              <w:autoSpaceDE w:val="0"/>
              <w:autoSpaceDN w:val="0"/>
              <w:adjustRightInd w:val="0"/>
              <w:snapToGrid w:val="0"/>
              <w:jc w:val="left"/>
              <w:rPr>
                <w:rFonts w:ascii="宋体" w:hAnsi="宋体"/>
                <w:color w:val="auto"/>
                <w:kern w:val="0"/>
                <w:szCs w:val="21"/>
              </w:rPr>
            </w:pPr>
          </w:p>
        </w:tc>
        <w:tc>
          <w:tcPr>
            <w:tcW w:w="776" w:type="dxa"/>
          </w:tcPr>
          <w:p w14:paraId="2C24235E">
            <w:pPr>
              <w:autoSpaceDE w:val="0"/>
              <w:autoSpaceDN w:val="0"/>
              <w:adjustRightInd w:val="0"/>
              <w:snapToGrid w:val="0"/>
              <w:jc w:val="left"/>
              <w:rPr>
                <w:rFonts w:ascii="宋体" w:hAnsi="宋体"/>
                <w:color w:val="auto"/>
                <w:kern w:val="0"/>
                <w:szCs w:val="21"/>
              </w:rPr>
            </w:pPr>
          </w:p>
        </w:tc>
        <w:tc>
          <w:tcPr>
            <w:tcW w:w="1167" w:type="dxa"/>
          </w:tcPr>
          <w:p w14:paraId="0C326B0A">
            <w:pPr>
              <w:autoSpaceDE w:val="0"/>
              <w:autoSpaceDN w:val="0"/>
              <w:adjustRightInd w:val="0"/>
              <w:snapToGrid w:val="0"/>
              <w:jc w:val="left"/>
              <w:rPr>
                <w:rFonts w:ascii="宋体" w:hAnsi="宋体"/>
                <w:color w:val="auto"/>
                <w:kern w:val="0"/>
                <w:szCs w:val="21"/>
              </w:rPr>
            </w:pPr>
          </w:p>
        </w:tc>
        <w:tc>
          <w:tcPr>
            <w:tcW w:w="776" w:type="dxa"/>
          </w:tcPr>
          <w:p w14:paraId="233A6021">
            <w:pPr>
              <w:autoSpaceDE w:val="0"/>
              <w:autoSpaceDN w:val="0"/>
              <w:adjustRightInd w:val="0"/>
              <w:snapToGrid w:val="0"/>
              <w:jc w:val="left"/>
              <w:rPr>
                <w:rFonts w:ascii="宋体" w:hAnsi="宋体"/>
                <w:color w:val="auto"/>
                <w:kern w:val="0"/>
                <w:szCs w:val="21"/>
              </w:rPr>
            </w:pPr>
          </w:p>
        </w:tc>
        <w:tc>
          <w:tcPr>
            <w:tcW w:w="778" w:type="dxa"/>
          </w:tcPr>
          <w:p w14:paraId="75CCE172">
            <w:pPr>
              <w:autoSpaceDE w:val="0"/>
              <w:autoSpaceDN w:val="0"/>
              <w:adjustRightInd w:val="0"/>
              <w:snapToGrid w:val="0"/>
              <w:jc w:val="left"/>
              <w:rPr>
                <w:rFonts w:ascii="宋体" w:hAnsi="宋体"/>
                <w:color w:val="auto"/>
                <w:kern w:val="0"/>
                <w:szCs w:val="21"/>
              </w:rPr>
            </w:pPr>
          </w:p>
        </w:tc>
        <w:tc>
          <w:tcPr>
            <w:tcW w:w="776" w:type="dxa"/>
          </w:tcPr>
          <w:p w14:paraId="51CC57AF">
            <w:pPr>
              <w:autoSpaceDE w:val="0"/>
              <w:autoSpaceDN w:val="0"/>
              <w:adjustRightInd w:val="0"/>
              <w:snapToGrid w:val="0"/>
              <w:jc w:val="left"/>
              <w:rPr>
                <w:rFonts w:ascii="宋体" w:hAnsi="宋体"/>
                <w:color w:val="auto"/>
                <w:kern w:val="0"/>
                <w:szCs w:val="21"/>
              </w:rPr>
            </w:pPr>
          </w:p>
        </w:tc>
        <w:tc>
          <w:tcPr>
            <w:tcW w:w="2723" w:type="dxa"/>
          </w:tcPr>
          <w:p w14:paraId="4B9E5D84">
            <w:pPr>
              <w:autoSpaceDE w:val="0"/>
              <w:autoSpaceDN w:val="0"/>
              <w:adjustRightInd w:val="0"/>
              <w:snapToGrid w:val="0"/>
              <w:jc w:val="left"/>
              <w:rPr>
                <w:rFonts w:ascii="宋体" w:hAnsi="宋体"/>
                <w:color w:val="auto"/>
                <w:kern w:val="0"/>
                <w:szCs w:val="21"/>
              </w:rPr>
            </w:pPr>
          </w:p>
        </w:tc>
        <w:tc>
          <w:tcPr>
            <w:tcW w:w="896" w:type="dxa"/>
          </w:tcPr>
          <w:p w14:paraId="40A9D614">
            <w:pPr>
              <w:autoSpaceDE w:val="0"/>
              <w:autoSpaceDN w:val="0"/>
              <w:adjustRightInd w:val="0"/>
              <w:snapToGrid w:val="0"/>
              <w:jc w:val="left"/>
              <w:rPr>
                <w:rFonts w:ascii="宋体" w:hAnsi="宋体"/>
                <w:color w:val="auto"/>
                <w:kern w:val="0"/>
                <w:szCs w:val="21"/>
              </w:rPr>
            </w:pPr>
          </w:p>
        </w:tc>
      </w:tr>
      <w:tr w14:paraId="0D9EEC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0D85A83">
            <w:pPr>
              <w:autoSpaceDE w:val="0"/>
              <w:autoSpaceDN w:val="0"/>
              <w:adjustRightInd w:val="0"/>
              <w:snapToGrid w:val="0"/>
              <w:jc w:val="left"/>
              <w:rPr>
                <w:rFonts w:ascii="宋体" w:hAnsi="宋体"/>
                <w:color w:val="auto"/>
                <w:kern w:val="0"/>
                <w:szCs w:val="21"/>
              </w:rPr>
            </w:pPr>
          </w:p>
        </w:tc>
        <w:tc>
          <w:tcPr>
            <w:tcW w:w="734" w:type="dxa"/>
          </w:tcPr>
          <w:p w14:paraId="4B560740">
            <w:pPr>
              <w:autoSpaceDE w:val="0"/>
              <w:autoSpaceDN w:val="0"/>
              <w:adjustRightInd w:val="0"/>
              <w:snapToGrid w:val="0"/>
              <w:jc w:val="left"/>
              <w:rPr>
                <w:rFonts w:ascii="宋体" w:hAnsi="宋体"/>
                <w:color w:val="auto"/>
                <w:kern w:val="0"/>
                <w:szCs w:val="21"/>
              </w:rPr>
            </w:pPr>
          </w:p>
        </w:tc>
        <w:tc>
          <w:tcPr>
            <w:tcW w:w="776" w:type="dxa"/>
          </w:tcPr>
          <w:p w14:paraId="3368456E">
            <w:pPr>
              <w:autoSpaceDE w:val="0"/>
              <w:autoSpaceDN w:val="0"/>
              <w:adjustRightInd w:val="0"/>
              <w:snapToGrid w:val="0"/>
              <w:jc w:val="left"/>
              <w:rPr>
                <w:rFonts w:ascii="宋体" w:hAnsi="宋体"/>
                <w:color w:val="auto"/>
                <w:kern w:val="0"/>
                <w:szCs w:val="21"/>
              </w:rPr>
            </w:pPr>
          </w:p>
        </w:tc>
        <w:tc>
          <w:tcPr>
            <w:tcW w:w="1167" w:type="dxa"/>
          </w:tcPr>
          <w:p w14:paraId="0D5B2938">
            <w:pPr>
              <w:autoSpaceDE w:val="0"/>
              <w:autoSpaceDN w:val="0"/>
              <w:adjustRightInd w:val="0"/>
              <w:snapToGrid w:val="0"/>
              <w:jc w:val="left"/>
              <w:rPr>
                <w:rFonts w:ascii="宋体" w:hAnsi="宋体"/>
                <w:color w:val="auto"/>
                <w:kern w:val="0"/>
                <w:szCs w:val="21"/>
              </w:rPr>
            </w:pPr>
          </w:p>
        </w:tc>
        <w:tc>
          <w:tcPr>
            <w:tcW w:w="776" w:type="dxa"/>
          </w:tcPr>
          <w:p w14:paraId="2652ADF8">
            <w:pPr>
              <w:autoSpaceDE w:val="0"/>
              <w:autoSpaceDN w:val="0"/>
              <w:adjustRightInd w:val="0"/>
              <w:snapToGrid w:val="0"/>
              <w:jc w:val="left"/>
              <w:rPr>
                <w:rFonts w:ascii="宋体" w:hAnsi="宋体"/>
                <w:color w:val="auto"/>
                <w:kern w:val="0"/>
                <w:szCs w:val="21"/>
              </w:rPr>
            </w:pPr>
          </w:p>
        </w:tc>
        <w:tc>
          <w:tcPr>
            <w:tcW w:w="778" w:type="dxa"/>
          </w:tcPr>
          <w:p w14:paraId="7E75689D">
            <w:pPr>
              <w:autoSpaceDE w:val="0"/>
              <w:autoSpaceDN w:val="0"/>
              <w:adjustRightInd w:val="0"/>
              <w:snapToGrid w:val="0"/>
              <w:jc w:val="left"/>
              <w:rPr>
                <w:rFonts w:ascii="宋体" w:hAnsi="宋体"/>
                <w:color w:val="auto"/>
                <w:kern w:val="0"/>
                <w:szCs w:val="21"/>
              </w:rPr>
            </w:pPr>
          </w:p>
        </w:tc>
        <w:tc>
          <w:tcPr>
            <w:tcW w:w="776" w:type="dxa"/>
          </w:tcPr>
          <w:p w14:paraId="3D07F04F">
            <w:pPr>
              <w:autoSpaceDE w:val="0"/>
              <w:autoSpaceDN w:val="0"/>
              <w:adjustRightInd w:val="0"/>
              <w:snapToGrid w:val="0"/>
              <w:jc w:val="left"/>
              <w:rPr>
                <w:rFonts w:ascii="宋体" w:hAnsi="宋体"/>
                <w:color w:val="auto"/>
                <w:kern w:val="0"/>
                <w:szCs w:val="21"/>
              </w:rPr>
            </w:pPr>
          </w:p>
        </w:tc>
        <w:tc>
          <w:tcPr>
            <w:tcW w:w="2723" w:type="dxa"/>
          </w:tcPr>
          <w:p w14:paraId="732554C2">
            <w:pPr>
              <w:autoSpaceDE w:val="0"/>
              <w:autoSpaceDN w:val="0"/>
              <w:adjustRightInd w:val="0"/>
              <w:snapToGrid w:val="0"/>
              <w:jc w:val="left"/>
              <w:rPr>
                <w:rFonts w:ascii="宋体" w:hAnsi="宋体"/>
                <w:color w:val="auto"/>
                <w:kern w:val="0"/>
                <w:szCs w:val="21"/>
              </w:rPr>
            </w:pPr>
          </w:p>
        </w:tc>
        <w:tc>
          <w:tcPr>
            <w:tcW w:w="896" w:type="dxa"/>
          </w:tcPr>
          <w:p w14:paraId="4A6D98E1">
            <w:pPr>
              <w:autoSpaceDE w:val="0"/>
              <w:autoSpaceDN w:val="0"/>
              <w:adjustRightInd w:val="0"/>
              <w:snapToGrid w:val="0"/>
              <w:jc w:val="left"/>
              <w:rPr>
                <w:rFonts w:ascii="宋体" w:hAnsi="宋体"/>
                <w:color w:val="auto"/>
                <w:kern w:val="0"/>
                <w:szCs w:val="21"/>
              </w:rPr>
            </w:pPr>
          </w:p>
        </w:tc>
      </w:tr>
      <w:tr w14:paraId="2C50AA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748780A">
            <w:pPr>
              <w:autoSpaceDE w:val="0"/>
              <w:autoSpaceDN w:val="0"/>
              <w:adjustRightInd w:val="0"/>
              <w:snapToGrid w:val="0"/>
              <w:jc w:val="left"/>
              <w:rPr>
                <w:rFonts w:ascii="宋体" w:hAnsi="宋体"/>
                <w:color w:val="auto"/>
                <w:kern w:val="0"/>
                <w:szCs w:val="21"/>
              </w:rPr>
            </w:pPr>
          </w:p>
        </w:tc>
        <w:tc>
          <w:tcPr>
            <w:tcW w:w="734" w:type="dxa"/>
          </w:tcPr>
          <w:p w14:paraId="047AE8D2">
            <w:pPr>
              <w:autoSpaceDE w:val="0"/>
              <w:autoSpaceDN w:val="0"/>
              <w:adjustRightInd w:val="0"/>
              <w:snapToGrid w:val="0"/>
              <w:jc w:val="left"/>
              <w:rPr>
                <w:rFonts w:ascii="宋体" w:hAnsi="宋体"/>
                <w:color w:val="auto"/>
                <w:kern w:val="0"/>
                <w:szCs w:val="21"/>
              </w:rPr>
            </w:pPr>
          </w:p>
        </w:tc>
        <w:tc>
          <w:tcPr>
            <w:tcW w:w="776" w:type="dxa"/>
          </w:tcPr>
          <w:p w14:paraId="77D2750C">
            <w:pPr>
              <w:autoSpaceDE w:val="0"/>
              <w:autoSpaceDN w:val="0"/>
              <w:adjustRightInd w:val="0"/>
              <w:snapToGrid w:val="0"/>
              <w:jc w:val="left"/>
              <w:rPr>
                <w:rFonts w:ascii="宋体" w:hAnsi="宋体"/>
                <w:color w:val="auto"/>
                <w:kern w:val="0"/>
                <w:szCs w:val="21"/>
              </w:rPr>
            </w:pPr>
          </w:p>
        </w:tc>
        <w:tc>
          <w:tcPr>
            <w:tcW w:w="1167" w:type="dxa"/>
          </w:tcPr>
          <w:p w14:paraId="60625EEB">
            <w:pPr>
              <w:autoSpaceDE w:val="0"/>
              <w:autoSpaceDN w:val="0"/>
              <w:adjustRightInd w:val="0"/>
              <w:snapToGrid w:val="0"/>
              <w:jc w:val="left"/>
              <w:rPr>
                <w:rFonts w:ascii="宋体" w:hAnsi="宋体"/>
                <w:color w:val="auto"/>
                <w:kern w:val="0"/>
                <w:szCs w:val="21"/>
              </w:rPr>
            </w:pPr>
          </w:p>
        </w:tc>
        <w:tc>
          <w:tcPr>
            <w:tcW w:w="776" w:type="dxa"/>
          </w:tcPr>
          <w:p w14:paraId="565C0274">
            <w:pPr>
              <w:autoSpaceDE w:val="0"/>
              <w:autoSpaceDN w:val="0"/>
              <w:adjustRightInd w:val="0"/>
              <w:snapToGrid w:val="0"/>
              <w:jc w:val="left"/>
              <w:rPr>
                <w:rFonts w:ascii="宋体" w:hAnsi="宋体"/>
                <w:color w:val="auto"/>
                <w:kern w:val="0"/>
                <w:szCs w:val="21"/>
              </w:rPr>
            </w:pPr>
          </w:p>
        </w:tc>
        <w:tc>
          <w:tcPr>
            <w:tcW w:w="778" w:type="dxa"/>
          </w:tcPr>
          <w:p w14:paraId="76814CB6">
            <w:pPr>
              <w:autoSpaceDE w:val="0"/>
              <w:autoSpaceDN w:val="0"/>
              <w:adjustRightInd w:val="0"/>
              <w:snapToGrid w:val="0"/>
              <w:jc w:val="left"/>
              <w:rPr>
                <w:rFonts w:ascii="宋体" w:hAnsi="宋体"/>
                <w:color w:val="auto"/>
                <w:kern w:val="0"/>
                <w:szCs w:val="21"/>
              </w:rPr>
            </w:pPr>
          </w:p>
        </w:tc>
        <w:tc>
          <w:tcPr>
            <w:tcW w:w="776" w:type="dxa"/>
          </w:tcPr>
          <w:p w14:paraId="4A85B785">
            <w:pPr>
              <w:autoSpaceDE w:val="0"/>
              <w:autoSpaceDN w:val="0"/>
              <w:adjustRightInd w:val="0"/>
              <w:snapToGrid w:val="0"/>
              <w:jc w:val="left"/>
              <w:rPr>
                <w:rFonts w:ascii="宋体" w:hAnsi="宋体"/>
                <w:color w:val="auto"/>
                <w:kern w:val="0"/>
                <w:szCs w:val="21"/>
              </w:rPr>
            </w:pPr>
          </w:p>
        </w:tc>
        <w:tc>
          <w:tcPr>
            <w:tcW w:w="2723" w:type="dxa"/>
          </w:tcPr>
          <w:p w14:paraId="4CD30241">
            <w:pPr>
              <w:autoSpaceDE w:val="0"/>
              <w:autoSpaceDN w:val="0"/>
              <w:adjustRightInd w:val="0"/>
              <w:snapToGrid w:val="0"/>
              <w:jc w:val="left"/>
              <w:rPr>
                <w:rFonts w:ascii="宋体" w:hAnsi="宋体"/>
                <w:color w:val="auto"/>
                <w:kern w:val="0"/>
                <w:szCs w:val="21"/>
              </w:rPr>
            </w:pPr>
          </w:p>
        </w:tc>
        <w:tc>
          <w:tcPr>
            <w:tcW w:w="896" w:type="dxa"/>
          </w:tcPr>
          <w:p w14:paraId="37A3D64E">
            <w:pPr>
              <w:autoSpaceDE w:val="0"/>
              <w:autoSpaceDN w:val="0"/>
              <w:adjustRightInd w:val="0"/>
              <w:snapToGrid w:val="0"/>
              <w:jc w:val="left"/>
              <w:rPr>
                <w:rFonts w:ascii="宋体" w:hAnsi="宋体"/>
                <w:color w:val="auto"/>
                <w:kern w:val="0"/>
                <w:szCs w:val="21"/>
              </w:rPr>
            </w:pPr>
          </w:p>
        </w:tc>
      </w:tr>
      <w:tr w14:paraId="3B328B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94D8CAD">
            <w:pPr>
              <w:autoSpaceDE w:val="0"/>
              <w:autoSpaceDN w:val="0"/>
              <w:adjustRightInd w:val="0"/>
              <w:snapToGrid w:val="0"/>
              <w:jc w:val="left"/>
              <w:rPr>
                <w:rFonts w:ascii="宋体" w:hAnsi="宋体"/>
                <w:color w:val="auto"/>
                <w:kern w:val="0"/>
                <w:szCs w:val="21"/>
              </w:rPr>
            </w:pPr>
          </w:p>
        </w:tc>
        <w:tc>
          <w:tcPr>
            <w:tcW w:w="734" w:type="dxa"/>
          </w:tcPr>
          <w:p w14:paraId="790BCD88">
            <w:pPr>
              <w:autoSpaceDE w:val="0"/>
              <w:autoSpaceDN w:val="0"/>
              <w:adjustRightInd w:val="0"/>
              <w:snapToGrid w:val="0"/>
              <w:jc w:val="left"/>
              <w:rPr>
                <w:rFonts w:ascii="宋体" w:hAnsi="宋体"/>
                <w:color w:val="auto"/>
                <w:kern w:val="0"/>
                <w:szCs w:val="21"/>
              </w:rPr>
            </w:pPr>
          </w:p>
        </w:tc>
        <w:tc>
          <w:tcPr>
            <w:tcW w:w="776" w:type="dxa"/>
          </w:tcPr>
          <w:p w14:paraId="4D181299">
            <w:pPr>
              <w:autoSpaceDE w:val="0"/>
              <w:autoSpaceDN w:val="0"/>
              <w:adjustRightInd w:val="0"/>
              <w:snapToGrid w:val="0"/>
              <w:jc w:val="left"/>
              <w:rPr>
                <w:rFonts w:ascii="宋体" w:hAnsi="宋体"/>
                <w:color w:val="auto"/>
                <w:kern w:val="0"/>
                <w:szCs w:val="21"/>
              </w:rPr>
            </w:pPr>
          </w:p>
        </w:tc>
        <w:tc>
          <w:tcPr>
            <w:tcW w:w="1167" w:type="dxa"/>
          </w:tcPr>
          <w:p w14:paraId="41B948ED">
            <w:pPr>
              <w:autoSpaceDE w:val="0"/>
              <w:autoSpaceDN w:val="0"/>
              <w:adjustRightInd w:val="0"/>
              <w:snapToGrid w:val="0"/>
              <w:jc w:val="left"/>
              <w:rPr>
                <w:rFonts w:ascii="宋体" w:hAnsi="宋体"/>
                <w:color w:val="auto"/>
                <w:kern w:val="0"/>
                <w:szCs w:val="21"/>
              </w:rPr>
            </w:pPr>
          </w:p>
        </w:tc>
        <w:tc>
          <w:tcPr>
            <w:tcW w:w="776" w:type="dxa"/>
          </w:tcPr>
          <w:p w14:paraId="3ED96B15">
            <w:pPr>
              <w:autoSpaceDE w:val="0"/>
              <w:autoSpaceDN w:val="0"/>
              <w:adjustRightInd w:val="0"/>
              <w:snapToGrid w:val="0"/>
              <w:jc w:val="left"/>
              <w:rPr>
                <w:rFonts w:ascii="宋体" w:hAnsi="宋体"/>
                <w:color w:val="auto"/>
                <w:kern w:val="0"/>
                <w:szCs w:val="21"/>
              </w:rPr>
            </w:pPr>
          </w:p>
        </w:tc>
        <w:tc>
          <w:tcPr>
            <w:tcW w:w="778" w:type="dxa"/>
          </w:tcPr>
          <w:p w14:paraId="3127CCF9">
            <w:pPr>
              <w:autoSpaceDE w:val="0"/>
              <w:autoSpaceDN w:val="0"/>
              <w:adjustRightInd w:val="0"/>
              <w:snapToGrid w:val="0"/>
              <w:jc w:val="left"/>
              <w:rPr>
                <w:rFonts w:ascii="宋体" w:hAnsi="宋体"/>
                <w:color w:val="auto"/>
                <w:kern w:val="0"/>
                <w:szCs w:val="21"/>
              </w:rPr>
            </w:pPr>
          </w:p>
        </w:tc>
        <w:tc>
          <w:tcPr>
            <w:tcW w:w="776" w:type="dxa"/>
          </w:tcPr>
          <w:p w14:paraId="025ABE2F">
            <w:pPr>
              <w:autoSpaceDE w:val="0"/>
              <w:autoSpaceDN w:val="0"/>
              <w:adjustRightInd w:val="0"/>
              <w:snapToGrid w:val="0"/>
              <w:jc w:val="left"/>
              <w:rPr>
                <w:rFonts w:ascii="宋体" w:hAnsi="宋体"/>
                <w:color w:val="auto"/>
                <w:kern w:val="0"/>
                <w:szCs w:val="21"/>
              </w:rPr>
            </w:pPr>
          </w:p>
        </w:tc>
        <w:tc>
          <w:tcPr>
            <w:tcW w:w="2723" w:type="dxa"/>
          </w:tcPr>
          <w:p w14:paraId="5D0713E8">
            <w:pPr>
              <w:autoSpaceDE w:val="0"/>
              <w:autoSpaceDN w:val="0"/>
              <w:adjustRightInd w:val="0"/>
              <w:snapToGrid w:val="0"/>
              <w:jc w:val="left"/>
              <w:rPr>
                <w:rFonts w:ascii="宋体" w:hAnsi="宋体"/>
                <w:color w:val="auto"/>
                <w:kern w:val="0"/>
                <w:szCs w:val="21"/>
              </w:rPr>
            </w:pPr>
          </w:p>
        </w:tc>
        <w:tc>
          <w:tcPr>
            <w:tcW w:w="896" w:type="dxa"/>
          </w:tcPr>
          <w:p w14:paraId="7ACBF563">
            <w:pPr>
              <w:autoSpaceDE w:val="0"/>
              <w:autoSpaceDN w:val="0"/>
              <w:adjustRightInd w:val="0"/>
              <w:snapToGrid w:val="0"/>
              <w:jc w:val="left"/>
              <w:rPr>
                <w:rFonts w:ascii="宋体" w:hAnsi="宋体"/>
                <w:color w:val="auto"/>
                <w:kern w:val="0"/>
                <w:szCs w:val="21"/>
              </w:rPr>
            </w:pPr>
          </w:p>
        </w:tc>
      </w:tr>
      <w:tr w14:paraId="74D290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F220BAC">
            <w:pPr>
              <w:autoSpaceDE w:val="0"/>
              <w:autoSpaceDN w:val="0"/>
              <w:adjustRightInd w:val="0"/>
              <w:snapToGrid w:val="0"/>
              <w:jc w:val="left"/>
              <w:rPr>
                <w:rFonts w:ascii="宋体" w:hAnsi="宋体"/>
                <w:color w:val="auto"/>
                <w:kern w:val="0"/>
                <w:szCs w:val="21"/>
              </w:rPr>
            </w:pPr>
          </w:p>
        </w:tc>
        <w:tc>
          <w:tcPr>
            <w:tcW w:w="734" w:type="dxa"/>
          </w:tcPr>
          <w:p w14:paraId="4BD3F002">
            <w:pPr>
              <w:autoSpaceDE w:val="0"/>
              <w:autoSpaceDN w:val="0"/>
              <w:adjustRightInd w:val="0"/>
              <w:snapToGrid w:val="0"/>
              <w:jc w:val="left"/>
              <w:rPr>
                <w:rFonts w:ascii="宋体" w:hAnsi="宋体"/>
                <w:color w:val="auto"/>
                <w:kern w:val="0"/>
                <w:szCs w:val="21"/>
              </w:rPr>
            </w:pPr>
          </w:p>
        </w:tc>
        <w:tc>
          <w:tcPr>
            <w:tcW w:w="776" w:type="dxa"/>
          </w:tcPr>
          <w:p w14:paraId="506FEF8B">
            <w:pPr>
              <w:autoSpaceDE w:val="0"/>
              <w:autoSpaceDN w:val="0"/>
              <w:adjustRightInd w:val="0"/>
              <w:snapToGrid w:val="0"/>
              <w:jc w:val="left"/>
              <w:rPr>
                <w:rFonts w:ascii="宋体" w:hAnsi="宋体"/>
                <w:color w:val="auto"/>
                <w:kern w:val="0"/>
                <w:szCs w:val="21"/>
              </w:rPr>
            </w:pPr>
          </w:p>
        </w:tc>
        <w:tc>
          <w:tcPr>
            <w:tcW w:w="1167" w:type="dxa"/>
          </w:tcPr>
          <w:p w14:paraId="03A8DBFA">
            <w:pPr>
              <w:autoSpaceDE w:val="0"/>
              <w:autoSpaceDN w:val="0"/>
              <w:adjustRightInd w:val="0"/>
              <w:snapToGrid w:val="0"/>
              <w:jc w:val="left"/>
              <w:rPr>
                <w:rFonts w:ascii="宋体" w:hAnsi="宋体"/>
                <w:color w:val="auto"/>
                <w:kern w:val="0"/>
                <w:szCs w:val="21"/>
              </w:rPr>
            </w:pPr>
          </w:p>
        </w:tc>
        <w:tc>
          <w:tcPr>
            <w:tcW w:w="776" w:type="dxa"/>
          </w:tcPr>
          <w:p w14:paraId="0D90D388">
            <w:pPr>
              <w:autoSpaceDE w:val="0"/>
              <w:autoSpaceDN w:val="0"/>
              <w:adjustRightInd w:val="0"/>
              <w:snapToGrid w:val="0"/>
              <w:jc w:val="left"/>
              <w:rPr>
                <w:rFonts w:ascii="宋体" w:hAnsi="宋体"/>
                <w:color w:val="auto"/>
                <w:kern w:val="0"/>
                <w:szCs w:val="21"/>
              </w:rPr>
            </w:pPr>
          </w:p>
        </w:tc>
        <w:tc>
          <w:tcPr>
            <w:tcW w:w="778" w:type="dxa"/>
          </w:tcPr>
          <w:p w14:paraId="372B3303">
            <w:pPr>
              <w:autoSpaceDE w:val="0"/>
              <w:autoSpaceDN w:val="0"/>
              <w:adjustRightInd w:val="0"/>
              <w:snapToGrid w:val="0"/>
              <w:jc w:val="left"/>
              <w:rPr>
                <w:rFonts w:ascii="宋体" w:hAnsi="宋体"/>
                <w:color w:val="auto"/>
                <w:kern w:val="0"/>
                <w:szCs w:val="21"/>
              </w:rPr>
            </w:pPr>
          </w:p>
        </w:tc>
        <w:tc>
          <w:tcPr>
            <w:tcW w:w="776" w:type="dxa"/>
          </w:tcPr>
          <w:p w14:paraId="10ABF154">
            <w:pPr>
              <w:autoSpaceDE w:val="0"/>
              <w:autoSpaceDN w:val="0"/>
              <w:adjustRightInd w:val="0"/>
              <w:snapToGrid w:val="0"/>
              <w:jc w:val="left"/>
              <w:rPr>
                <w:rFonts w:ascii="宋体" w:hAnsi="宋体"/>
                <w:color w:val="auto"/>
                <w:kern w:val="0"/>
                <w:szCs w:val="21"/>
              </w:rPr>
            </w:pPr>
          </w:p>
        </w:tc>
        <w:tc>
          <w:tcPr>
            <w:tcW w:w="2723" w:type="dxa"/>
          </w:tcPr>
          <w:p w14:paraId="4FEEBE06">
            <w:pPr>
              <w:autoSpaceDE w:val="0"/>
              <w:autoSpaceDN w:val="0"/>
              <w:adjustRightInd w:val="0"/>
              <w:snapToGrid w:val="0"/>
              <w:jc w:val="left"/>
              <w:rPr>
                <w:rFonts w:ascii="宋体" w:hAnsi="宋体"/>
                <w:color w:val="auto"/>
                <w:kern w:val="0"/>
                <w:szCs w:val="21"/>
              </w:rPr>
            </w:pPr>
          </w:p>
        </w:tc>
        <w:tc>
          <w:tcPr>
            <w:tcW w:w="896" w:type="dxa"/>
          </w:tcPr>
          <w:p w14:paraId="38BAC56B">
            <w:pPr>
              <w:autoSpaceDE w:val="0"/>
              <w:autoSpaceDN w:val="0"/>
              <w:adjustRightInd w:val="0"/>
              <w:snapToGrid w:val="0"/>
              <w:jc w:val="left"/>
              <w:rPr>
                <w:rFonts w:ascii="宋体" w:hAnsi="宋体"/>
                <w:color w:val="auto"/>
                <w:kern w:val="0"/>
                <w:szCs w:val="21"/>
              </w:rPr>
            </w:pPr>
          </w:p>
        </w:tc>
      </w:tr>
      <w:tr w14:paraId="12131B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501E948">
            <w:pPr>
              <w:autoSpaceDE w:val="0"/>
              <w:autoSpaceDN w:val="0"/>
              <w:adjustRightInd w:val="0"/>
              <w:snapToGrid w:val="0"/>
              <w:jc w:val="left"/>
              <w:rPr>
                <w:rFonts w:ascii="宋体" w:hAnsi="宋体"/>
                <w:color w:val="auto"/>
                <w:kern w:val="0"/>
                <w:szCs w:val="21"/>
              </w:rPr>
            </w:pPr>
          </w:p>
        </w:tc>
        <w:tc>
          <w:tcPr>
            <w:tcW w:w="734" w:type="dxa"/>
          </w:tcPr>
          <w:p w14:paraId="79816F76">
            <w:pPr>
              <w:autoSpaceDE w:val="0"/>
              <w:autoSpaceDN w:val="0"/>
              <w:adjustRightInd w:val="0"/>
              <w:snapToGrid w:val="0"/>
              <w:jc w:val="left"/>
              <w:rPr>
                <w:rFonts w:ascii="宋体" w:hAnsi="宋体"/>
                <w:color w:val="auto"/>
                <w:kern w:val="0"/>
                <w:szCs w:val="21"/>
              </w:rPr>
            </w:pPr>
          </w:p>
        </w:tc>
        <w:tc>
          <w:tcPr>
            <w:tcW w:w="776" w:type="dxa"/>
          </w:tcPr>
          <w:p w14:paraId="72692F44">
            <w:pPr>
              <w:autoSpaceDE w:val="0"/>
              <w:autoSpaceDN w:val="0"/>
              <w:adjustRightInd w:val="0"/>
              <w:snapToGrid w:val="0"/>
              <w:jc w:val="left"/>
              <w:rPr>
                <w:rFonts w:ascii="宋体" w:hAnsi="宋体"/>
                <w:color w:val="auto"/>
                <w:kern w:val="0"/>
                <w:szCs w:val="21"/>
              </w:rPr>
            </w:pPr>
          </w:p>
        </w:tc>
        <w:tc>
          <w:tcPr>
            <w:tcW w:w="1167" w:type="dxa"/>
          </w:tcPr>
          <w:p w14:paraId="66B299F9">
            <w:pPr>
              <w:autoSpaceDE w:val="0"/>
              <w:autoSpaceDN w:val="0"/>
              <w:adjustRightInd w:val="0"/>
              <w:snapToGrid w:val="0"/>
              <w:jc w:val="left"/>
              <w:rPr>
                <w:rFonts w:ascii="宋体" w:hAnsi="宋体"/>
                <w:color w:val="auto"/>
                <w:kern w:val="0"/>
                <w:szCs w:val="21"/>
              </w:rPr>
            </w:pPr>
          </w:p>
        </w:tc>
        <w:tc>
          <w:tcPr>
            <w:tcW w:w="776" w:type="dxa"/>
          </w:tcPr>
          <w:p w14:paraId="67C8C081">
            <w:pPr>
              <w:autoSpaceDE w:val="0"/>
              <w:autoSpaceDN w:val="0"/>
              <w:adjustRightInd w:val="0"/>
              <w:snapToGrid w:val="0"/>
              <w:jc w:val="left"/>
              <w:rPr>
                <w:rFonts w:ascii="宋体" w:hAnsi="宋体"/>
                <w:color w:val="auto"/>
                <w:kern w:val="0"/>
                <w:szCs w:val="21"/>
              </w:rPr>
            </w:pPr>
          </w:p>
        </w:tc>
        <w:tc>
          <w:tcPr>
            <w:tcW w:w="778" w:type="dxa"/>
          </w:tcPr>
          <w:p w14:paraId="749EC2FA">
            <w:pPr>
              <w:autoSpaceDE w:val="0"/>
              <w:autoSpaceDN w:val="0"/>
              <w:adjustRightInd w:val="0"/>
              <w:snapToGrid w:val="0"/>
              <w:jc w:val="left"/>
              <w:rPr>
                <w:rFonts w:ascii="宋体" w:hAnsi="宋体"/>
                <w:color w:val="auto"/>
                <w:kern w:val="0"/>
                <w:szCs w:val="21"/>
              </w:rPr>
            </w:pPr>
          </w:p>
        </w:tc>
        <w:tc>
          <w:tcPr>
            <w:tcW w:w="776" w:type="dxa"/>
          </w:tcPr>
          <w:p w14:paraId="2B92A047">
            <w:pPr>
              <w:autoSpaceDE w:val="0"/>
              <w:autoSpaceDN w:val="0"/>
              <w:adjustRightInd w:val="0"/>
              <w:snapToGrid w:val="0"/>
              <w:jc w:val="left"/>
              <w:rPr>
                <w:rFonts w:ascii="宋体" w:hAnsi="宋体"/>
                <w:color w:val="auto"/>
                <w:kern w:val="0"/>
                <w:szCs w:val="21"/>
              </w:rPr>
            </w:pPr>
          </w:p>
        </w:tc>
        <w:tc>
          <w:tcPr>
            <w:tcW w:w="2723" w:type="dxa"/>
          </w:tcPr>
          <w:p w14:paraId="36FDD9EC">
            <w:pPr>
              <w:autoSpaceDE w:val="0"/>
              <w:autoSpaceDN w:val="0"/>
              <w:adjustRightInd w:val="0"/>
              <w:snapToGrid w:val="0"/>
              <w:jc w:val="left"/>
              <w:rPr>
                <w:rFonts w:ascii="宋体" w:hAnsi="宋体"/>
                <w:color w:val="auto"/>
                <w:kern w:val="0"/>
                <w:szCs w:val="21"/>
              </w:rPr>
            </w:pPr>
          </w:p>
        </w:tc>
        <w:tc>
          <w:tcPr>
            <w:tcW w:w="896" w:type="dxa"/>
          </w:tcPr>
          <w:p w14:paraId="40E223EA">
            <w:pPr>
              <w:autoSpaceDE w:val="0"/>
              <w:autoSpaceDN w:val="0"/>
              <w:adjustRightInd w:val="0"/>
              <w:snapToGrid w:val="0"/>
              <w:jc w:val="left"/>
              <w:rPr>
                <w:rFonts w:ascii="宋体" w:hAnsi="宋体"/>
                <w:color w:val="auto"/>
                <w:kern w:val="0"/>
                <w:szCs w:val="21"/>
              </w:rPr>
            </w:pPr>
          </w:p>
        </w:tc>
      </w:tr>
      <w:tr w14:paraId="642D37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D8E9F12">
            <w:pPr>
              <w:autoSpaceDE w:val="0"/>
              <w:autoSpaceDN w:val="0"/>
              <w:adjustRightInd w:val="0"/>
              <w:snapToGrid w:val="0"/>
              <w:jc w:val="left"/>
              <w:rPr>
                <w:rFonts w:ascii="宋体" w:hAnsi="宋体"/>
                <w:color w:val="auto"/>
                <w:kern w:val="0"/>
                <w:szCs w:val="21"/>
              </w:rPr>
            </w:pPr>
          </w:p>
        </w:tc>
        <w:tc>
          <w:tcPr>
            <w:tcW w:w="734" w:type="dxa"/>
          </w:tcPr>
          <w:p w14:paraId="30FCA8DB">
            <w:pPr>
              <w:autoSpaceDE w:val="0"/>
              <w:autoSpaceDN w:val="0"/>
              <w:adjustRightInd w:val="0"/>
              <w:snapToGrid w:val="0"/>
              <w:jc w:val="left"/>
              <w:rPr>
                <w:rFonts w:ascii="宋体" w:hAnsi="宋体"/>
                <w:color w:val="auto"/>
                <w:kern w:val="0"/>
                <w:szCs w:val="21"/>
              </w:rPr>
            </w:pPr>
          </w:p>
        </w:tc>
        <w:tc>
          <w:tcPr>
            <w:tcW w:w="776" w:type="dxa"/>
          </w:tcPr>
          <w:p w14:paraId="42DC5D71">
            <w:pPr>
              <w:autoSpaceDE w:val="0"/>
              <w:autoSpaceDN w:val="0"/>
              <w:adjustRightInd w:val="0"/>
              <w:snapToGrid w:val="0"/>
              <w:jc w:val="left"/>
              <w:rPr>
                <w:rFonts w:ascii="宋体" w:hAnsi="宋体"/>
                <w:color w:val="auto"/>
                <w:kern w:val="0"/>
                <w:szCs w:val="21"/>
              </w:rPr>
            </w:pPr>
          </w:p>
        </w:tc>
        <w:tc>
          <w:tcPr>
            <w:tcW w:w="1167" w:type="dxa"/>
          </w:tcPr>
          <w:p w14:paraId="1F60D139">
            <w:pPr>
              <w:autoSpaceDE w:val="0"/>
              <w:autoSpaceDN w:val="0"/>
              <w:adjustRightInd w:val="0"/>
              <w:snapToGrid w:val="0"/>
              <w:jc w:val="left"/>
              <w:rPr>
                <w:rFonts w:ascii="宋体" w:hAnsi="宋体"/>
                <w:color w:val="auto"/>
                <w:kern w:val="0"/>
                <w:szCs w:val="21"/>
              </w:rPr>
            </w:pPr>
          </w:p>
        </w:tc>
        <w:tc>
          <w:tcPr>
            <w:tcW w:w="776" w:type="dxa"/>
          </w:tcPr>
          <w:p w14:paraId="6CBB5212">
            <w:pPr>
              <w:autoSpaceDE w:val="0"/>
              <w:autoSpaceDN w:val="0"/>
              <w:adjustRightInd w:val="0"/>
              <w:snapToGrid w:val="0"/>
              <w:jc w:val="left"/>
              <w:rPr>
                <w:rFonts w:ascii="宋体" w:hAnsi="宋体"/>
                <w:color w:val="auto"/>
                <w:kern w:val="0"/>
                <w:szCs w:val="21"/>
              </w:rPr>
            </w:pPr>
          </w:p>
        </w:tc>
        <w:tc>
          <w:tcPr>
            <w:tcW w:w="778" w:type="dxa"/>
          </w:tcPr>
          <w:p w14:paraId="02D02100">
            <w:pPr>
              <w:autoSpaceDE w:val="0"/>
              <w:autoSpaceDN w:val="0"/>
              <w:adjustRightInd w:val="0"/>
              <w:snapToGrid w:val="0"/>
              <w:jc w:val="left"/>
              <w:rPr>
                <w:rFonts w:ascii="宋体" w:hAnsi="宋体"/>
                <w:color w:val="auto"/>
                <w:kern w:val="0"/>
                <w:szCs w:val="21"/>
              </w:rPr>
            </w:pPr>
          </w:p>
        </w:tc>
        <w:tc>
          <w:tcPr>
            <w:tcW w:w="776" w:type="dxa"/>
          </w:tcPr>
          <w:p w14:paraId="6001CBC0">
            <w:pPr>
              <w:autoSpaceDE w:val="0"/>
              <w:autoSpaceDN w:val="0"/>
              <w:adjustRightInd w:val="0"/>
              <w:snapToGrid w:val="0"/>
              <w:jc w:val="left"/>
              <w:rPr>
                <w:rFonts w:ascii="宋体" w:hAnsi="宋体"/>
                <w:color w:val="auto"/>
                <w:kern w:val="0"/>
                <w:szCs w:val="21"/>
              </w:rPr>
            </w:pPr>
          </w:p>
        </w:tc>
        <w:tc>
          <w:tcPr>
            <w:tcW w:w="2723" w:type="dxa"/>
          </w:tcPr>
          <w:p w14:paraId="2C2108D2">
            <w:pPr>
              <w:autoSpaceDE w:val="0"/>
              <w:autoSpaceDN w:val="0"/>
              <w:adjustRightInd w:val="0"/>
              <w:snapToGrid w:val="0"/>
              <w:jc w:val="left"/>
              <w:rPr>
                <w:rFonts w:ascii="宋体" w:hAnsi="宋体"/>
                <w:color w:val="auto"/>
                <w:kern w:val="0"/>
                <w:szCs w:val="21"/>
              </w:rPr>
            </w:pPr>
          </w:p>
        </w:tc>
        <w:tc>
          <w:tcPr>
            <w:tcW w:w="896" w:type="dxa"/>
          </w:tcPr>
          <w:p w14:paraId="1AC77546">
            <w:pPr>
              <w:autoSpaceDE w:val="0"/>
              <w:autoSpaceDN w:val="0"/>
              <w:adjustRightInd w:val="0"/>
              <w:snapToGrid w:val="0"/>
              <w:jc w:val="left"/>
              <w:rPr>
                <w:rFonts w:ascii="宋体" w:hAnsi="宋体"/>
                <w:color w:val="auto"/>
                <w:kern w:val="0"/>
                <w:szCs w:val="21"/>
              </w:rPr>
            </w:pPr>
          </w:p>
        </w:tc>
      </w:tr>
      <w:tr w14:paraId="569321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B67A5E9">
            <w:pPr>
              <w:autoSpaceDE w:val="0"/>
              <w:autoSpaceDN w:val="0"/>
              <w:adjustRightInd w:val="0"/>
              <w:snapToGrid w:val="0"/>
              <w:jc w:val="left"/>
              <w:rPr>
                <w:rFonts w:ascii="宋体" w:hAnsi="宋体"/>
                <w:color w:val="auto"/>
                <w:kern w:val="0"/>
                <w:szCs w:val="21"/>
              </w:rPr>
            </w:pPr>
          </w:p>
        </w:tc>
        <w:tc>
          <w:tcPr>
            <w:tcW w:w="734" w:type="dxa"/>
          </w:tcPr>
          <w:p w14:paraId="51DC52F4">
            <w:pPr>
              <w:autoSpaceDE w:val="0"/>
              <w:autoSpaceDN w:val="0"/>
              <w:adjustRightInd w:val="0"/>
              <w:snapToGrid w:val="0"/>
              <w:jc w:val="left"/>
              <w:rPr>
                <w:rFonts w:ascii="宋体" w:hAnsi="宋体"/>
                <w:color w:val="auto"/>
                <w:kern w:val="0"/>
                <w:szCs w:val="21"/>
              </w:rPr>
            </w:pPr>
          </w:p>
        </w:tc>
        <w:tc>
          <w:tcPr>
            <w:tcW w:w="776" w:type="dxa"/>
          </w:tcPr>
          <w:p w14:paraId="0A2D699A">
            <w:pPr>
              <w:autoSpaceDE w:val="0"/>
              <w:autoSpaceDN w:val="0"/>
              <w:adjustRightInd w:val="0"/>
              <w:snapToGrid w:val="0"/>
              <w:jc w:val="left"/>
              <w:rPr>
                <w:rFonts w:ascii="宋体" w:hAnsi="宋体"/>
                <w:color w:val="auto"/>
                <w:kern w:val="0"/>
                <w:szCs w:val="21"/>
              </w:rPr>
            </w:pPr>
          </w:p>
        </w:tc>
        <w:tc>
          <w:tcPr>
            <w:tcW w:w="1167" w:type="dxa"/>
          </w:tcPr>
          <w:p w14:paraId="55C38D8C">
            <w:pPr>
              <w:autoSpaceDE w:val="0"/>
              <w:autoSpaceDN w:val="0"/>
              <w:adjustRightInd w:val="0"/>
              <w:snapToGrid w:val="0"/>
              <w:jc w:val="left"/>
              <w:rPr>
                <w:rFonts w:ascii="宋体" w:hAnsi="宋体"/>
                <w:color w:val="auto"/>
                <w:kern w:val="0"/>
                <w:szCs w:val="21"/>
              </w:rPr>
            </w:pPr>
          </w:p>
        </w:tc>
        <w:tc>
          <w:tcPr>
            <w:tcW w:w="776" w:type="dxa"/>
          </w:tcPr>
          <w:p w14:paraId="26BC7D51">
            <w:pPr>
              <w:autoSpaceDE w:val="0"/>
              <w:autoSpaceDN w:val="0"/>
              <w:adjustRightInd w:val="0"/>
              <w:snapToGrid w:val="0"/>
              <w:jc w:val="left"/>
              <w:rPr>
                <w:rFonts w:ascii="宋体" w:hAnsi="宋体"/>
                <w:color w:val="auto"/>
                <w:kern w:val="0"/>
                <w:szCs w:val="21"/>
              </w:rPr>
            </w:pPr>
          </w:p>
        </w:tc>
        <w:tc>
          <w:tcPr>
            <w:tcW w:w="778" w:type="dxa"/>
          </w:tcPr>
          <w:p w14:paraId="07AF59BE">
            <w:pPr>
              <w:autoSpaceDE w:val="0"/>
              <w:autoSpaceDN w:val="0"/>
              <w:adjustRightInd w:val="0"/>
              <w:snapToGrid w:val="0"/>
              <w:jc w:val="left"/>
              <w:rPr>
                <w:rFonts w:ascii="宋体" w:hAnsi="宋体"/>
                <w:color w:val="auto"/>
                <w:kern w:val="0"/>
                <w:szCs w:val="21"/>
              </w:rPr>
            </w:pPr>
          </w:p>
        </w:tc>
        <w:tc>
          <w:tcPr>
            <w:tcW w:w="776" w:type="dxa"/>
          </w:tcPr>
          <w:p w14:paraId="7783E1D2">
            <w:pPr>
              <w:autoSpaceDE w:val="0"/>
              <w:autoSpaceDN w:val="0"/>
              <w:adjustRightInd w:val="0"/>
              <w:snapToGrid w:val="0"/>
              <w:jc w:val="left"/>
              <w:rPr>
                <w:rFonts w:ascii="宋体" w:hAnsi="宋体"/>
                <w:color w:val="auto"/>
                <w:kern w:val="0"/>
                <w:szCs w:val="21"/>
              </w:rPr>
            </w:pPr>
          </w:p>
        </w:tc>
        <w:tc>
          <w:tcPr>
            <w:tcW w:w="2723" w:type="dxa"/>
          </w:tcPr>
          <w:p w14:paraId="20E4141D">
            <w:pPr>
              <w:autoSpaceDE w:val="0"/>
              <w:autoSpaceDN w:val="0"/>
              <w:adjustRightInd w:val="0"/>
              <w:snapToGrid w:val="0"/>
              <w:jc w:val="left"/>
              <w:rPr>
                <w:rFonts w:ascii="宋体" w:hAnsi="宋体"/>
                <w:color w:val="auto"/>
                <w:kern w:val="0"/>
                <w:szCs w:val="21"/>
              </w:rPr>
            </w:pPr>
          </w:p>
        </w:tc>
        <w:tc>
          <w:tcPr>
            <w:tcW w:w="896" w:type="dxa"/>
          </w:tcPr>
          <w:p w14:paraId="1DEB271F">
            <w:pPr>
              <w:autoSpaceDE w:val="0"/>
              <w:autoSpaceDN w:val="0"/>
              <w:adjustRightInd w:val="0"/>
              <w:snapToGrid w:val="0"/>
              <w:jc w:val="left"/>
              <w:rPr>
                <w:rFonts w:ascii="宋体" w:hAnsi="宋体"/>
                <w:color w:val="auto"/>
                <w:kern w:val="0"/>
                <w:szCs w:val="21"/>
              </w:rPr>
            </w:pPr>
          </w:p>
        </w:tc>
      </w:tr>
      <w:tr w14:paraId="500D67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2F6BA44">
            <w:pPr>
              <w:autoSpaceDE w:val="0"/>
              <w:autoSpaceDN w:val="0"/>
              <w:adjustRightInd w:val="0"/>
              <w:snapToGrid w:val="0"/>
              <w:jc w:val="left"/>
              <w:rPr>
                <w:rFonts w:ascii="宋体" w:hAnsi="宋体"/>
                <w:color w:val="auto"/>
                <w:kern w:val="0"/>
                <w:szCs w:val="21"/>
              </w:rPr>
            </w:pPr>
          </w:p>
        </w:tc>
        <w:tc>
          <w:tcPr>
            <w:tcW w:w="734" w:type="dxa"/>
          </w:tcPr>
          <w:p w14:paraId="4676005E">
            <w:pPr>
              <w:autoSpaceDE w:val="0"/>
              <w:autoSpaceDN w:val="0"/>
              <w:adjustRightInd w:val="0"/>
              <w:snapToGrid w:val="0"/>
              <w:jc w:val="left"/>
              <w:rPr>
                <w:rFonts w:ascii="宋体" w:hAnsi="宋体"/>
                <w:color w:val="auto"/>
                <w:kern w:val="0"/>
                <w:szCs w:val="21"/>
              </w:rPr>
            </w:pPr>
          </w:p>
        </w:tc>
        <w:tc>
          <w:tcPr>
            <w:tcW w:w="776" w:type="dxa"/>
          </w:tcPr>
          <w:p w14:paraId="573767B8">
            <w:pPr>
              <w:autoSpaceDE w:val="0"/>
              <w:autoSpaceDN w:val="0"/>
              <w:adjustRightInd w:val="0"/>
              <w:snapToGrid w:val="0"/>
              <w:jc w:val="left"/>
              <w:rPr>
                <w:rFonts w:ascii="宋体" w:hAnsi="宋体"/>
                <w:color w:val="auto"/>
                <w:kern w:val="0"/>
                <w:szCs w:val="21"/>
              </w:rPr>
            </w:pPr>
          </w:p>
        </w:tc>
        <w:tc>
          <w:tcPr>
            <w:tcW w:w="1167" w:type="dxa"/>
          </w:tcPr>
          <w:p w14:paraId="5FB82531">
            <w:pPr>
              <w:autoSpaceDE w:val="0"/>
              <w:autoSpaceDN w:val="0"/>
              <w:adjustRightInd w:val="0"/>
              <w:snapToGrid w:val="0"/>
              <w:jc w:val="left"/>
              <w:rPr>
                <w:rFonts w:ascii="宋体" w:hAnsi="宋体"/>
                <w:color w:val="auto"/>
                <w:kern w:val="0"/>
                <w:szCs w:val="21"/>
              </w:rPr>
            </w:pPr>
          </w:p>
        </w:tc>
        <w:tc>
          <w:tcPr>
            <w:tcW w:w="776" w:type="dxa"/>
          </w:tcPr>
          <w:p w14:paraId="58B1D07C">
            <w:pPr>
              <w:autoSpaceDE w:val="0"/>
              <w:autoSpaceDN w:val="0"/>
              <w:adjustRightInd w:val="0"/>
              <w:snapToGrid w:val="0"/>
              <w:jc w:val="left"/>
              <w:rPr>
                <w:rFonts w:ascii="宋体" w:hAnsi="宋体"/>
                <w:color w:val="auto"/>
                <w:kern w:val="0"/>
                <w:szCs w:val="21"/>
              </w:rPr>
            </w:pPr>
          </w:p>
        </w:tc>
        <w:tc>
          <w:tcPr>
            <w:tcW w:w="778" w:type="dxa"/>
          </w:tcPr>
          <w:p w14:paraId="1BCCA41E">
            <w:pPr>
              <w:autoSpaceDE w:val="0"/>
              <w:autoSpaceDN w:val="0"/>
              <w:adjustRightInd w:val="0"/>
              <w:snapToGrid w:val="0"/>
              <w:jc w:val="left"/>
              <w:rPr>
                <w:rFonts w:ascii="宋体" w:hAnsi="宋体"/>
                <w:color w:val="auto"/>
                <w:kern w:val="0"/>
                <w:szCs w:val="21"/>
              </w:rPr>
            </w:pPr>
          </w:p>
        </w:tc>
        <w:tc>
          <w:tcPr>
            <w:tcW w:w="776" w:type="dxa"/>
          </w:tcPr>
          <w:p w14:paraId="7D80EB12">
            <w:pPr>
              <w:autoSpaceDE w:val="0"/>
              <w:autoSpaceDN w:val="0"/>
              <w:adjustRightInd w:val="0"/>
              <w:snapToGrid w:val="0"/>
              <w:jc w:val="left"/>
              <w:rPr>
                <w:rFonts w:ascii="宋体" w:hAnsi="宋体"/>
                <w:color w:val="auto"/>
                <w:kern w:val="0"/>
                <w:szCs w:val="21"/>
              </w:rPr>
            </w:pPr>
          </w:p>
        </w:tc>
        <w:tc>
          <w:tcPr>
            <w:tcW w:w="2723" w:type="dxa"/>
          </w:tcPr>
          <w:p w14:paraId="70B0C2B8">
            <w:pPr>
              <w:autoSpaceDE w:val="0"/>
              <w:autoSpaceDN w:val="0"/>
              <w:adjustRightInd w:val="0"/>
              <w:snapToGrid w:val="0"/>
              <w:jc w:val="left"/>
              <w:rPr>
                <w:rFonts w:ascii="宋体" w:hAnsi="宋体"/>
                <w:color w:val="auto"/>
                <w:kern w:val="0"/>
                <w:szCs w:val="21"/>
              </w:rPr>
            </w:pPr>
          </w:p>
        </w:tc>
        <w:tc>
          <w:tcPr>
            <w:tcW w:w="896" w:type="dxa"/>
          </w:tcPr>
          <w:p w14:paraId="753BC72F">
            <w:pPr>
              <w:autoSpaceDE w:val="0"/>
              <w:autoSpaceDN w:val="0"/>
              <w:adjustRightInd w:val="0"/>
              <w:snapToGrid w:val="0"/>
              <w:jc w:val="left"/>
              <w:rPr>
                <w:rFonts w:ascii="宋体" w:hAnsi="宋体"/>
                <w:color w:val="auto"/>
                <w:kern w:val="0"/>
                <w:szCs w:val="21"/>
              </w:rPr>
            </w:pPr>
          </w:p>
        </w:tc>
      </w:tr>
      <w:tr w14:paraId="421EF3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37DDEB8">
            <w:pPr>
              <w:autoSpaceDE w:val="0"/>
              <w:autoSpaceDN w:val="0"/>
              <w:adjustRightInd w:val="0"/>
              <w:snapToGrid w:val="0"/>
              <w:jc w:val="left"/>
              <w:rPr>
                <w:rFonts w:ascii="宋体" w:hAnsi="宋体"/>
                <w:color w:val="auto"/>
                <w:kern w:val="0"/>
                <w:szCs w:val="21"/>
              </w:rPr>
            </w:pPr>
          </w:p>
        </w:tc>
        <w:tc>
          <w:tcPr>
            <w:tcW w:w="734" w:type="dxa"/>
          </w:tcPr>
          <w:p w14:paraId="6138C22B">
            <w:pPr>
              <w:autoSpaceDE w:val="0"/>
              <w:autoSpaceDN w:val="0"/>
              <w:adjustRightInd w:val="0"/>
              <w:snapToGrid w:val="0"/>
              <w:jc w:val="left"/>
              <w:rPr>
                <w:rFonts w:ascii="宋体" w:hAnsi="宋体"/>
                <w:color w:val="auto"/>
                <w:kern w:val="0"/>
                <w:szCs w:val="21"/>
              </w:rPr>
            </w:pPr>
          </w:p>
        </w:tc>
        <w:tc>
          <w:tcPr>
            <w:tcW w:w="776" w:type="dxa"/>
          </w:tcPr>
          <w:p w14:paraId="5829EA12">
            <w:pPr>
              <w:autoSpaceDE w:val="0"/>
              <w:autoSpaceDN w:val="0"/>
              <w:adjustRightInd w:val="0"/>
              <w:snapToGrid w:val="0"/>
              <w:jc w:val="left"/>
              <w:rPr>
                <w:rFonts w:ascii="宋体" w:hAnsi="宋体"/>
                <w:color w:val="auto"/>
                <w:kern w:val="0"/>
                <w:szCs w:val="21"/>
              </w:rPr>
            </w:pPr>
          </w:p>
        </w:tc>
        <w:tc>
          <w:tcPr>
            <w:tcW w:w="1167" w:type="dxa"/>
          </w:tcPr>
          <w:p w14:paraId="0413EC5C">
            <w:pPr>
              <w:autoSpaceDE w:val="0"/>
              <w:autoSpaceDN w:val="0"/>
              <w:adjustRightInd w:val="0"/>
              <w:snapToGrid w:val="0"/>
              <w:jc w:val="left"/>
              <w:rPr>
                <w:rFonts w:ascii="宋体" w:hAnsi="宋体"/>
                <w:color w:val="auto"/>
                <w:kern w:val="0"/>
                <w:szCs w:val="21"/>
              </w:rPr>
            </w:pPr>
          </w:p>
        </w:tc>
        <w:tc>
          <w:tcPr>
            <w:tcW w:w="776" w:type="dxa"/>
          </w:tcPr>
          <w:p w14:paraId="377E2E62">
            <w:pPr>
              <w:autoSpaceDE w:val="0"/>
              <w:autoSpaceDN w:val="0"/>
              <w:adjustRightInd w:val="0"/>
              <w:snapToGrid w:val="0"/>
              <w:jc w:val="left"/>
              <w:rPr>
                <w:rFonts w:ascii="宋体" w:hAnsi="宋体"/>
                <w:color w:val="auto"/>
                <w:kern w:val="0"/>
                <w:szCs w:val="21"/>
              </w:rPr>
            </w:pPr>
          </w:p>
        </w:tc>
        <w:tc>
          <w:tcPr>
            <w:tcW w:w="778" w:type="dxa"/>
          </w:tcPr>
          <w:p w14:paraId="20C7B803">
            <w:pPr>
              <w:autoSpaceDE w:val="0"/>
              <w:autoSpaceDN w:val="0"/>
              <w:adjustRightInd w:val="0"/>
              <w:snapToGrid w:val="0"/>
              <w:jc w:val="left"/>
              <w:rPr>
                <w:rFonts w:ascii="宋体" w:hAnsi="宋体"/>
                <w:color w:val="auto"/>
                <w:kern w:val="0"/>
                <w:szCs w:val="21"/>
              </w:rPr>
            </w:pPr>
          </w:p>
        </w:tc>
        <w:tc>
          <w:tcPr>
            <w:tcW w:w="776" w:type="dxa"/>
          </w:tcPr>
          <w:p w14:paraId="4182EF38">
            <w:pPr>
              <w:autoSpaceDE w:val="0"/>
              <w:autoSpaceDN w:val="0"/>
              <w:adjustRightInd w:val="0"/>
              <w:snapToGrid w:val="0"/>
              <w:jc w:val="left"/>
              <w:rPr>
                <w:rFonts w:ascii="宋体" w:hAnsi="宋体"/>
                <w:color w:val="auto"/>
                <w:kern w:val="0"/>
                <w:szCs w:val="21"/>
              </w:rPr>
            </w:pPr>
          </w:p>
        </w:tc>
        <w:tc>
          <w:tcPr>
            <w:tcW w:w="2723" w:type="dxa"/>
          </w:tcPr>
          <w:p w14:paraId="6A8FFCC9">
            <w:pPr>
              <w:autoSpaceDE w:val="0"/>
              <w:autoSpaceDN w:val="0"/>
              <w:adjustRightInd w:val="0"/>
              <w:snapToGrid w:val="0"/>
              <w:jc w:val="left"/>
              <w:rPr>
                <w:rFonts w:ascii="宋体" w:hAnsi="宋体"/>
                <w:color w:val="auto"/>
                <w:kern w:val="0"/>
                <w:szCs w:val="21"/>
              </w:rPr>
            </w:pPr>
          </w:p>
        </w:tc>
        <w:tc>
          <w:tcPr>
            <w:tcW w:w="896" w:type="dxa"/>
          </w:tcPr>
          <w:p w14:paraId="65A36BA6">
            <w:pPr>
              <w:autoSpaceDE w:val="0"/>
              <w:autoSpaceDN w:val="0"/>
              <w:adjustRightInd w:val="0"/>
              <w:snapToGrid w:val="0"/>
              <w:jc w:val="left"/>
              <w:rPr>
                <w:rFonts w:ascii="宋体" w:hAnsi="宋体"/>
                <w:color w:val="auto"/>
                <w:kern w:val="0"/>
                <w:szCs w:val="21"/>
              </w:rPr>
            </w:pPr>
          </w:p>
        </w:tc>
      </w:tr>
      <w:tr w14:paraId="368142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95AEBE9">
            <w:pPr>
              <w:autoSpaceDE w:val="0"/>
              <w:autoSpaceDN w:val="0"/>
              <w:adjustRightInd w:val="0"/>
              <w:snapToGrid w:val="0"/>
              <w:jc w:val="left"/>
              <w:rPr>
                <w:rFonts w:ascii="宋体" w:hAnsi="宋体"/>
                <w:color w:val="auto"/>
                <w:kern w:val="0"/>
                <w:szCs w:val="21"/>
              </w:rPr>
            </w:pPr>
          </w:p>
        </w:tc>
        <w:tc>
          <w:tcPr>
            <w:tcW w:w="734" w:type="dxa"/>
          </w:tcPr>
          <w:p w14:paraId="05902CC0">
            <w:pPr>
              <w:autoSpaceDE w:val="0"/>
              <w:autoSpaceDN w:val="0"/>
              <w:adjustRightInd w:val="0"/>
              <w:snapToGrid w:val="0"/>
              <w:jc w:val="left"/>
              <w:rPr>
                <w:rFonts w:ascii="宋体" w:hAnsi="宋体"/>
                <w:color w:val="auto"/>
                <w:kern w:val="0"/>
                <w:szCs w:val="21"/>
              </w:rPr>
            </w:pPr>
          </w:p>
        </w:tc>
        <w:tc>
          <w:tcPr>
            <w:tcW w:w="776" w:type="dxa"/>
          </w:tcPr>
          <w:p w14:paraId="7C0A6422">
            <w:pPr>
              <w:autoSpaceDE w:val="0"/>
              <w:autoSpaceDN w:val="0"/>
              <w:adjustRightInd w:val="0"/>
              <w:snapToGrid w:val="0"/>
              <w:jc w:val="left"/>
              <w:rPr>
                <w:rFonts w:ascii="宋体" w:hAnsi="宋体"/>
                <w:color w:val="auto"/>
                <w:kern w:val="0"/>
                <w:szCs w:val="21"/>
              </w:rPr>
            </w:pPr>
          </w:p>
        </w:tc>
        <w:tc>
          <w:tcPr>
            <w:tcW w:w="1167" w:type="dxa"/>
          </w:tcPr>
          <w:p w14:paraId="4669BF1E">
            <w:pPr>
              <w:autoSpaceDE w:val="0"/>
              <w:autoSpaceDN w:val="0"/>
              <w:adjustRightInd w:val="0"/>
              <w:snapToGrid w:val="0"/>
              <w:jc w:val="left"/>
              <w:rPr>
                <w:rFonts w:ascii="宋体" w:hAnsi="宋体"/>
                <w:color w:val="auto"/>
                <w:kern w:val="0"/>
                <w:szCs w:val="21"/>
              </w:rPr>
            </w:pPr>
          </w:p>
        </w:tc>
        <w:tc>
          <w:tcPr>
            <w:tcW w:w="776" w:type="dxa"/>
          </w:tcPr>
          <w:p w14:paraId="2801B13D">
            <w:pPr>
              <w:autoSpaceDE w:val="0"/>
              <w:autoSpaceDN w:val="0"/>
              <w:adjustRightInd w:val="0"/>
              <w:snapToGrid w:val="0"/>
              <w:jc w:val="left"/>
              <w:rPr>
                <w:rFonts w:ascii="宋体" w:hAnsi="宋体"/>
                <w:color w:val="auto"/>
                <w:kern w:val="0"/>
                <w:szCs w:val="21"/>
              </w:rPr>
            </w:pPr>
          </w:p>
        </w:tc>
        <w:tc>
          <w:tcPr>
            <w:tcW w:w="778" w:type="dxa"/>
          </w:tcPr>
          <w:p w14:paraId="665BF6E1">
            <w:pPr>
              <w:autoSpaceDE w:val="0"/>
              <w:autoSpaceDN w:val="0"/>
              <w:adjustRightInd w:val="0"/>
              <w:snapToGrid w:val="0"/>
              <w:jc w:val="left"/>
              <w:rPr>
                <w:rFonts w:ascii="宋体" w:hAnsi="宋体"/>
                <w:color w:val="auto"/>
                <w:kern w:val="0"/>
                <w:szCs w:val="21"/>
              </w:rPr>
            </w:pPr>
          </w:p>
        </w:tc>
        <w:tc>
          <w:tcPr>
            <w:tcW w:w="776" w:type="dxa"/>
          </w:tcPr>
          <w:p w14:paraId="0F1DC74C">
            <w:pPr>
              <w:autoSpaceDE w:val="0"/>
              <w:autoSpaceDN w:val="0"/>
              <w:adjustRightInd w:val="0"/>
              <w:snapToGrid w:val="0"/>
              <w:jc w:val="left"/>
              <w:rPr>
                <w:rFonts w:ascii="宋体" w:hAnsi="宋体"/>
                <w:color w:val="auto"/>
                <w:kern w:val="0"/>
                <w:szCs w:val="21"/>
              </w:rPr>
            </w:pPr>
          </w:p>
        </w:tc>
        <w:tc>
          <w:tcPr>
            <w:tcW w:w="2723" w:type="dxa"/>
          </w:tcPr>
          <w:p w14:paraId="1CF055F2">
            <w:pPr>
              <w:autoSpaceDE w:val="0"/>
              <w:autoSpaceDN w:val="0"/>
              <w:adjustRightInd w:val="0"/>
              <w:snapToGrid w:val="0"/>
              <w:jc w:val="left"/>
              <w:rPr>
                <w:rFonts w:ascii="宋体" w:hAnsi="宋体"/>
                <w:color w:val="auto"/>
                <w:kern w:val="0"/>
                <w:szCs w:val="21"/>
              </w:rPr>
            </w:pPr>
          </w:p>
        </w:tc>
        <w:tc>
          <w:tcPr>
            <w:tcW w:w="896" w:type="dxa"/>
          </w:tcPr>
          <w:p w14:paraId="58FABA0A">
            <w:pPr>
              <w:autoSpaceDE w:val="0"/>
              <w:autoSpaceDN w:val="0"/>
              <w:adjustRightInd w:val="0"/>
              <w:snapToGrid w:val="0"/>
              <w:jc w:val="left"/>
              <w:rPr>
                <w:rFonts w:ascii="宋体" w:hAnsi="宋体"/>
                <w:color w:val="auto"/>
                <w:kern w:val="0"/>
                <w:szCs w:val="21"/>
              </w:rPr>
            </w:pPr>
          </w:p>
        </w:tc>
      </w:tr>
      <w:tr w14:paraId="1FA846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75BB422">
            <w:pPr>
              <w:autoSpaceDE w:val="0"/>
              <w:autoSpaceDN w:val="0"/>
              <w:adjustRightInd w:val="0"/>
              <w:snapToGrid w:val="0"/>
              <w:jc w:val="left"/>
              <w:rPr>
                <w:rFonts w:ascii="宋体" w:hAnsi="宋体"/>
                <w:color w:val="auto"/>
                <w:kern w:val="0"/>
                <w:szCs w:val="21"/>
              </w:rPr>
            </w:pPr>
          </w:p>
        </w:tc>
        <w:tc>
          <w:tcPr>
            <w:tcW w:w="734" w:type="dxa"/>
          </w:tcPr>
          <w:p w14:paraId="651794FE">
            <w:pPr>
              <w:autoSpaceDE w:val="0"/>
              <w:autoSpaceDN w:val="0"/>
              <w:adjustRightInd w:val="0"/>
              <w:snapToGrid w:val="0"/>
              <w:jc w:val="left"/>
              <w:rPr>
                <w:rFonts w:ascii="宋体" w:hAnsi="宋体"/>
                <w:color w:val="auto"/>
                <w:kern w:val="0"/>
                <w:szCs w:val="21"/>
              </w:rPr>
            </w:pPr>
          </w:p>
        </w:tc>
        <w:tc>
          <w:tcPr>
            <w:tcW w:w="776" w:type="dxa"/>
          </w:tcPr>
          <w:p w14:paraId="7CC0A7AD">
            <w:pPr>
              <w:autoSpaceDE w:val="0"/>
              <w:autoSpaceDN w:val="0"/>
              <w:adjustRightInd w:val="0"/>
              <w:snapToGrid w:val="0"/>
              <w:jc w:val="left"/>
              <w:rPr>
                <w:rFonts w:ascii="宋体" w:hAnsi="宋体"/>
                <w:color w:val="auto"/>
                <w:kern w:val="0"/>
                <w:szCs w:val="21"/>
              </w:rPr>
            </w:pPr>
          </w:p>
        </w:tc>
        <w:tc>
          <w:tcPr>
            <w:tcW w:w="1167" w:type="dxa"/>
          </w:tcPr>
          <w:p w14:paraId="540FFE0B">
            <w:pPr>
              <w:autoSpaceDE w:val="0"/>
              <w:autoSpaceDN w:val="0"/>
              <w:adjustRightInd w:val="0"/>
              <w:snapToGrid w:val="0"/>
              <w:jc w:val="left"/>
              <w:rPr>
                <w:rFonts w:ascii="宋体" w:hAnsi="宋体"/>
                <w:color w:val="auto"/>
                <w:kern w:val="0"/>
                <w:szCs w:val="21"/>
              </w:rPr>
            </w:pPr>
          </w:p>
        </w:tc>
        <w:tc>
          <w:tcPr>
            <w:tcW w:w="776" w:type="dxa"/>
          </w:tcPr>
          <w:p w14:paraId="35498424">
            <w:pPr>
              <w:autoSpaceDE w:val="0"/>
              <w:autoSpaceDN w:val="0"/>
              <w:adjustRightInd w:val="0"/>
              <w:snapToGrid w:val="0"/>
              <w:jc w:val="left"/>
              <w:rPr>
                <w:rFonts w:ascii="宋体" w:hAnsi="宋体"/>
                <w:color w:val="auto"/>
                <w:kern w:val="0"/>
                <w:szCs w:val="21"/>
              </w:rPr>
            </w:pPr>
          </w:p>
        </w:tc>
        <w:tc>
          <w:tcPr>
            <w:tcW w:w="778" w:type="dxa"/>
          </w:tcPr>
          <w:p w14:paraId="581AB7BC">
            <w:pPr>
              <w:autoSpaceDE w:val="0"/>
              <w:autoSpaceDN w:val="0"/>
              <w:adjustRightInd w:val="0"/>
              <w:snapToGrid w:val="0"/>
              <w:jc w:val="left"/>
              <w:rPr>
                <w:rFonts w:ascii="宋体" w:hAnsi="宋体"/>
                <w:color w:val="auto"/>
                <w:kern w:val="0"/>
                <w:szCs w:val="21"/>
              </w:rPr>
            </w:pPr>
          </w:p>
        </w:tc>
        <w:tc>
          <w:tcPr>
            <w:tcW w:w="776" w:type="dxa"/>
          </w:tcPr>
          <w:p w14:paraId="4249C567">
            <w:pPr>
              <w:autoSpaceDE w:val="0"/>
              <w:autoSpaceDN w:val="0"/>
              <w:adjustRightInd w:val="0"/>
              <w:snapToGrid w:val="0"/>
              <w:jc w:val="left"/>
              <w:rPr>
                <w:rFonts w:ascii="宋体" w:hAnsi="宋体"/>
                <w:color w:val="auto"/>
                <w:kern w:val="0"/>
                <w:szCs w:val="21"/>
              </w:rPr>
            </w:pPr>
          </w:p>
        </w:tc>
        <w:tc>
          <w:tcPr>
            <w:tcW w:w="2723" w:type="dxa"/>
          </w:tcPr>
          <w:p w14:paraId="692D39B6">
            <w:pPr>
              <w:autoSpaceDE w:val="0"/>
              <w:autoSpaceDN w:val="0"/>
              <w:adjustRightInd w:val="0"/>
              <w:snapToGrid w:val="0"/>
              <w:jc w:val="left"/>
              <w:rPr>
                <w:rFonts w:ascii="宋体" w:hAnsi="宋体"/>
                <w:color w:val="auto"/>
                <w:kern w:val="0"/>
                <w:szCs w:val="21"/>
              </w:rPr>
            </w:pPr>
          </w:p>
        </w:tc>
        <w:tc>
          <w:tcPr>
            <w:tcW w:w="896" w:type="dxa"/>
          </w:tcPr>
          <w:p w14:paraId="3AB2E8C9">
            <w:pPr>
              <w:autoSpaceDE w:val="0"/>
              <w:autoSpaceDN w:val="0"/>
              <w:adjustRightInd w:val="0"/>
              <w:snapToGrid w:val="0"/>
              <w:jc w:val="left"/>
              <w:rPr>
                <w:rFonts w:ascii="宋体" w:hAnsi="宋体"/>
                <w:color w:val="auto"/>
                <w:kern w:val="0"/>
                <w:szCs w:val="21"/>
              </w:rPr>
            </w:pPr>
          </w:p>
        </w:tc>
      </w:tr>
      <w:tr w14:paraId="65E189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FEB9BA7">
            <w:pPr>
              <w:autoSpaceDE w:val="0"/>
              <w:autoSpaceDN w:val="0"/>
              <w:adjustRightInd w:val="0"/>
              <w:snapToGrid w:val="0"/>
              <w:jc w:val="left"/>
              <w:rPr>
                <w:rFonts w:ascii="宋体" w:hAnsi="宋体"/>
                <w:color w:val="auto"/>
                <w:kern w:val="0"/>
                <w:szCs w:val="21"/>
              </w:rPr>
            </w:pPr>
          </w:p>
        </w:tc>
        <w:tc>
          <w:tcPr>
            <w:tcW w:w="734" w:type="dxa"/>
          </w:tcPr>
          <w:p w14:paraId="3D003128">
            <w:pPr>
              <w:autoSpaceDE w:val="0"/>
              <w:autoSpaceDN w:val="0"/>
              <w:adjustRightInd w:val="0"/>
              <w:snapToGrid w:val="0"/>
              <w:jc w:val="left"/>
              <w:rPr>
                <w:rFonts w:ascii="宋体" w:hAnsi="宋体"/>
                <w:color w:val="auto"/>
                <w:kern w:val="0"/>
                <w:szCs w:val="21"/>
              </w:rPr>
            </w:pPr>
          </w:p>
        </w:tc>
        <w:tc>
          <w:tcPr>
            <w:tcW w:w="776" w:type="dxa"/>
          </w:tcPr>
          <w:p w14:paraId="4CBAD5EF">
            <w:pPr>
              <w:autoSpaceDE w:val="0"/>
              <w:autoSpaceDN w:val="0"/>
              <w:adjustRightInd w:val="0"/>
              <w:snapToGrid w:val="0"/>
              <w:jc w:val="left"/>
              <w:rPr>
                <w:rFonts w:ascii="宋体" w:hAnsi="宋体"/>
                <w:color w:val="auto"/>
                <w:kern w:val="0"/>
                <w:szCs w:val="21"/>
              </w:rPr>
            </w:pPr>
          </w:p>
        </w:tc>
        <w:tc>
          <w:tcPr>
            <w:tcW w:w="1167" w:type="dxa"/>
          </w:tcPr>
          <w:p w14:paraId="3558C53A">
            <w:pPr>
              <w:autoSpaceDE w:val="0"/>
              <w:autoSpaceDN w:val="0"/>
              <w:adjustRightInd w:val="0"/>
              <w:snapToGrid w:val="0"/>
              <w:jc w:val="left"/>
              <w:rPr>
                <w:rFonts w:ascii="宋体" w:hAnsi="宋体"/>
                <w:color w:val="auto"/>
                <w:kern w:val="0"/>
                <w:szCs w:val="21"/>
              </w:rPr>
            </w:pPr>
          </w:p>
        </w:tc>
        <w:tc>
          <w:tcPr>
            <w:tcW w:w="776" w:type="dxa"/>
          </w:tcPr>
          <w:p w14:paraId="3AF4B920">
            <w:pPr>
              <w:autoSpaceDE w:val="0"/>
              <w:autoSpaceDN w:val="0"/>
              <w:adjustRightInd w:val="0"/>
              <w:snapToGrid w:val="0"/>
              <w:jc w:val="left"/>
              <w:rPr>
                <w:rFonts w:ascii="宋体" w:hAnsi="宋体"/>
                <w:color w:val="auto"/>
                <w:kern w:val="0"/>
                <w:szCs w:val="21"/>
              </w:rPr>
            </w:pPr>
          </w:p>
        </w:tc>
        <w:tc>
          <w:tcPr>
            <w:tcW w:w="778" w:type="dxa"/>
          </w:tcPr>
          <w:p w14:paraId="650998D0">
            <w:pPr>
              <w:autoSpaceDE w:val="0"/>
              <w:autoSpaceDN w:val="0"/>
              <w:adjustRightInd w:val="0"/>
              <w:snapToGrid w:val="0"/>
              <w:jc w:val="left"/>
              <w:rPr>
                <w:rFonts w:ascii="宋体" w:hAnsi="宋体"/>
                <w:color w:val="auto"/>
                <w:kern w:val="0"/>
                <w:szCs w:val="21"/>
              </w:rPr>
            </w:pPr>
          </w:p>
        </w:tc>
        <w:tc>
          <w:tcPr>
            <w:tcW w:w="776" w:type="dxa"/>
          </w:tcPr>
          <w:p w14:paraId="00588A8D">
            <w:pPr>
              <w:autoSpaceDE w:val="0"/>
              <w:autoSpaceDN w:val="0"/>
              <w:adjustRightInd w:val="0"/>
              <w:snapToGrid w:val="0"/>
              <w:jc w:val="left"/>
              <w:rPr>
                <w:rFonts w:ascii="宋体" w:hAnsi="宋体"/>
                <w:color w:val="auto"/>
                <w:kern w:val="0"/>
                <w:szCs w:val="21"/>
              </w:rPr>
            </w:pPr>
          </w:p>
        </w:tc>
        <w:tc>
          <w:tcPr>
            <w:tcW w:w="2723" w:type="dxa"/>
          </w:tcPr>
          <w:p w14:paraId="05869895">
            <w:pPr>
              <w:autoSpaceDE w:val="0"/>
              <w:autoSpaceDN w:val="0"/>
              <w:adjustRightInd w:val="0"/>
              <w:snapToGrid w:val="0"/>
              <w:jc w:val="left"/>
              <w:rPr>
                <w:rFonts w:ascii="宋体" w:hAnsi="宋体"/>
                <w:color w:val="auto"/>
                <w:kern w:val="0"/>
                <w:szCs w:val="21"/>
              </w:rPr>
            </w:pPr>
          </w:p>
        </w:tc>
        <w:tc>
          <w:tcPr>
            <w:tcW w:w="896" w:type="dxa"/>
          </w:tcPr>
          <w:p w14:paraId="58924A69">
            <w:pPr>
              <w:autoSpaceDE w:val="0"/>
              <w:autoSpaceDN w:val="0"/>
              <w:adjustRightInd w:val="0"/>
              <w:snapToGrid w:val="0"/>
              <w:jc w:val="left"/>
              <w:rPr>
                <w:rFonts w:ascii="宋体" w:hAnsi="宋体"/>
                <w:color w:val="auto"/>
                <w:kern w:val="0"/>
                <w:szCs w:val="21"/>
              </w:rPr>
            </w:pPr>
          </w:p>
        </w:tc>
      </w:tr>
      <w:tr w14:paraId="4FC9CB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182136E">
            <w:pPr>
              <w:autoSpaceDE w:val="0"/>
              <w:autoSpaceDN w:val="0"/>
              <w:adjustRightInd w:val="0"/>
              <w:snapToGrid w:val="0"/>
              <w:jc w:val="left"/>
              <w:rPr>
                <w:rFonts w:ascii="宋体" w:hAnsi="宋体"/>
                <w:color w:val="auto"/>
                <w:kern w:val="0"/>
                <w:szCs w:val="21"/>
              </w:rPr>
            </w:pPr>
          </w:p>
        </w:tc>
        <w:tc>
          <w:tcPr>
            <w:tcW w:w="734" w:type="dxa"/>
          </w:tcPr>
          <w:p w14:paraId="3F978A92">
            <w:pPr>
              <w:autoSpaceDE w:val="0"/>
              <w:autoSpaceDN w:val="0"/>
              <w:adjustRightInd w:val="0"/>
              <w:snapToGrid w:val="0"/>
              <w:jc w:val="left"/>
              <w:rPr>
                <w:rFonts w:ascii="宋体" w:hAnsi="宋体"/>
                <w:color w:val="auto"/>
                <w:kern w:val="0"/>
                <w:szCs w:val="21"/>
              </w:rPr>
            </w:pPr>
          </w:p>
        </w:tc>
        <w:tc>
          <w:tcPr>
            <w:tcW w:w="776" w:type="dxa"/>
          </w:tcPr>
          <w:p w14:paraId="040EC367">
            <w:pPr>
              <w:autoSpaceDE w:val="0"/>
              <w:autoSpaceDN w:val="0"/>
              <w:adjustRightInd w:val="0"/>
              <w:snapToGrid w:val="0"/>
              <w:jc w:val="left"/>
              <w:rPr>
                <w:rFonts w:ascii="宋体" w:hAnsi="宋体"/>
                <w:color w:val="auto"/>
                <w:kern w:val="0"/>
                <w:szCs w:val="21"/>
              </w:rPr>
            </w:pPr>
          </w:p>
        </w:tc>
        <w:tc>
          <w:tcPr>
            <w:tcW w:w="1167" w:type="dxa"/>
          </w:tcPr>
          <w:p w14:paraId="4366DB1B">
            <w:pPr>
              <w:autoSpaceDE w:val="0"/>
              <w:autoSpaceDN w:val="0"/>
              <w:adjustRightInd w:val="0"/>
              <w:snapToGrid w:val="0"/>
              <w:jc w:val="left"/>
              <w:rPr>
                <w:rFonts w:ascii="宋体" w:hAnsi="宋体"/>
                <w:color w:val="auto"/>
                <w:kern w:val="0"/>
                <w:szCs w:val="21"/>
              </w:rPr>
            </w:pPr>
          </w:p>
        </w:tc>
        <w:tc>
          <w:tcPr>
            <w:tcW w:w="776" w:type="dxa"/>
          </w:tcPr>
          <w:p w14:paraId="1BD05E65">
            <w:pPr>
              <w:autoSpaceDE w:val="0"/>
              <w:autoSpaceDN w:val="0"/>
              <w:adjustRightInd w:val="0"/>
              <w:snapToGrid w:val="0"/>
              <w:jc w:val="left"/>
              <w:rPr>
                <w:rFonts w:ascii="宋体" w:hAnsi="宋体"/>
                <w:color w:val="auto"/>
                <w:kern w:val="0"/>
                <w:szCs w:val="21"/>
              </w:rPr>
            </w:pPr>
          </w:p>
        </w:tc>
        <w:tc>
          <w:tcPr>
            <w:tcW w:w="778" w:type="dxa"/>
          </w:tcPr>
          <w:p w14:paraId="1CDFE8AB">
            <w:pPr>
              <w:autoSpaceDE w:val="0"/>
              <w:autoSpaceDN w:val="0"/>
              <w:adjustRightInd w:val="0"/>
              <w:snapToGrid w:val="0"/>
              <w:jc w:val="left"/>
              <w:rPr>
                <w:rFonts w:ascii="宋体" w:hAnsi="宋体"/>
                <w:color w:val="auto"/>
                <w:kern w:val="0"/>
                <w:szCs w:val="21"/>
              </w:rPr>
            </w:pPr>
          </w:p>
        </w:tc>
        <w:tc>
          <w:tcPr>
            <w:tcW w:w="776" w:type="dxa"/>
          </w:tcPr>
          <w:p w14:paraId="689C34C3">
            <w:pPr>
              <w:autoSpaceDE w:val="0"/>
              <w:autoSpaceDN w:val="0"/>
              <w:adjustRightInd w:val="0"/>
              <w:snapToGrid w:val="0"/>
              <w:jc w:val="left"/>
              <w:rPr>
                <w:rFonts w:ascii="宋体" w:hAnsi="宋体"/>
                <w:color w:val="auto"/>
                <w:kern w:val="0"/>
                <w:szCs w:val="21"/>
              </w:rPr>
            </w:pPr>
          </w:p>
        </w:tc>
        <w:tc>
          <w:tcPr>
            <w:tcW w:w="2723" w:type="dxa"/>
          </w:tcPr>
          <w:p w14:paraId="6AA38656">
            <w:pPr>
              <w:autoSpaceDE w:val="0"/>
              <w:autoSpaceDN w:val="0"/>
              <w:adjustRightInd w:val="0"/>
              <w:snapToGrid w:val="0"/>
              <w:jc w:val="left"/>
              <w:rPr>
                <w:rFonts w:ascii="宋体" w:hAnsi="宋体"/>
                <w:color w:val="auto"/>
                <w:kern w:val="0"/>
                <w:szCs w:val="21"/>
              </w:rPr>
            </w:pPr>
          </w:p>
        </w:tc>
        <w:tc>
          <w:tcPr>
            <w:tcW w:w="896" w:type="dxa"/>
          </w:tcPr>
          <w:p w14:paraId="6538B1C0">
            <w:pPr>
              <w:autoSpaceDE w:val="0"/>
              <w:autoSpaceDN w:val="0"/>
              <w:adjustRightInd w:val="0"/>
              <w:snapToGrid w:val="0"/>
              <w:jc w:val="left"/>
              <w:rPr>
                <w:rFonts w:ascii="宋体" w:hAnsi="宋体"/>
                <w:color w:val="auto"/>
                <w:kern w:val="0"/>
                <w:szCs w:val="21"/>
              </w:rPr>
            </w:pPr>
          </w:p>
        </w:tc>
      </w:tr>
      <w:tr w14:paraId="7049F9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3119AC6">
            <w:pPr>
              <w:autoSpaceDE w:val="0"/>
              <w:autoSpaceDN w:val="0"/>
              <w:adjustRightInd w:val="0"/>
              <w:snapToGrid w:val="0"/>
              <w:jc w:val="left"/>
              <w:rPr>
                <w:rFonts w:ascii="宋体" w:hAnsi="宋体"/>
                <w:color w:val="auto"/>
                <w:kern w:val="0"/>
                <w:szCs w:val="21"/>
              </w:rPr>
            </w:pPr>
          </w:p>
        </w:tc>
        <w:tc>
          <w:tcPr>
            <w:tcW w:w="734" w:type="dxa"/>
          </w:tcPr>
          <w:p w14:paraId="66ED5B63">
            <w:pPr>
              <w:autoSpaceDE w:val="0"/>
              <w:autoSpaceDN w:val="0"/>
              <w:adjustRightInd w:val="0"/>
              <w:snapToGrid w:val="0"/>
              <w:jc w:val="left"/>
              <w:rPr>
                <w:rFonts w:ascii="宋体" w:hAnsi="宋体"/>
                <w:color w:val="auto"/>
                <w:kern w:val="0"/>
                <w:szCs w:val="21"/>
              </w:rPr>
            </w:pPr>
          </w:p>
        </w:tc>
        <w:tc>
          <w:tcPr>
            <w:tcW w:w="776" w:type="dxa"/>
          </w:tcPr>
          <w:p w14:paraId="0509C351">
            <w:pPr>
              <w:autoSpaceDE w:val="0"/>
              <w:autoSpaceDN w:val="0"/>
              <w:adjustRightInd w:val="0"/>
              <w:snapToGrid w:val="0"/>
              <w:jc w:val="left"/>
              <w:rPr>
                <w:rFonts w:ascii="宋体" w:hAnsi="宋体"/>
                <w:color w:val="auto"/>
                <w:kern w:val="0"/>
                <w:szCs w:val="21"/>
              </w:rPr>
            </w:pPr>
          </w:p>
        </w:tc>
        <w:tc>
          <w:tcPr>
            <w:tcW w:w="1167" w:type="dxa"/>
          </w:tcPr>
          <w:p w14:paraId="26A35C1D">
            <w:pPr>
              <w:autoSpaceDE w:val="0"/>
              <w:autoSpaceDN w:val="0"/>
              <w:adjustRightInd w:val="0"/>
              <w:snapToGrid w:val="0"/>
              <w:jc w:val="left"/>
              <w:rPr>
                <w:rFonts w:ascii="宋体" w:hAnsi="宋体"/>
                <w:color w:val="auto"/>
                <w:kern w:val="0"/>
                <w:szCs w:val="21"/>
              </w:rPr>
            </w:pPr>
          </w:p>
        </w:tc>
        <w:tc>
          <w:tcPr>
            <w:tcW w:w="776" w:type="dxa"/>
          </w:tcPr>
          <w:p w14:paraId="1DFC66A3">
            <w:pPr>
              <w:autoSpaceDE w:val="0"/>
              <w:autoSpaceDN w:val="0"/>
              <w:adjustRightInd w:val="0"/>
              <w:snapToGrid w:val="0"/>
              <w:jc w:val="left"/>
              <w:rPr>
                <w:rFonts w:ascii="宋体" w:hAnsi="宋体"/>
                <w:color w:val="auto"/>
                <w:kern w:val="0"/>
                <w:szCs w:val="21"/>
              </w:rPr>
            </w:pPr>
          </w:p>
        </w:tc>
        <w:tc>
          <w:tcPr>
            <w:tcW w:w="778" w:type="dxa"/>
          </w:tcPr>
          <w:p w14:paraId="45D40E31">
            <w:pPr>
              <w:autoSpaceDE w:val="0"/>
              <w:autoSpaceDN w:val="0"/>
              <w:adjustRightInd w:val="0"/>
              <w:snapToGrid w:val="0"/>
              <w:jc w:val="left"/>
              <w:rPr>
                <w:rFonts w:ascii="宋体" w:hAnsi="宋体"/>
                <w:color w:val="auto"/>
                <w:kern w:val="0"/>
                <w:szCs w:val="21"/>
              </w:rPr>
            </w:pPr>
          </w:p>
        </w:tc>
        <w:tc>
          <w:tcPr>
            <w:tcW w:w="776" w:type="dxa"/>
          </w:tcPr>
          <w:p w14:paraId="6CDA127B">
            <w:pPr>
              <w:autoSpaceDE w:val="0"/>
              <w:autoSpaceDN w:val="0"/>
              <w:adjustRightInd w:val="0"/>
              <w:snapToGrid w:val="0"/>
              <w:jc w:val="left"/>
              <w:rPr>
                <w:rFonts w:ascii="宋体" w:hAnsi="宋体"/>
                <w:color w:val="auto"/>
                <w:kern w:val="0"/>
                <w:szCs w:val="21"/>
              </w:rPr>
            </w:pPr>
          </w:p>
        </w:tc>
        <w:tc>
          <w:tcPr>
            <w:tcW w:w="2723" w:type="dxa"/>
          </w:tcPr>
          <w:p w14:paraId="06C8B2CB">
            <w:pPr>
              <w:autoSpaceDE w:val="0"/>
              <w:autoSpaceDN w:val="0"/>
              <w:adjustRightInd w:val="0"/>
              <w:snapToGrid w:val="0"/>
              <w:jc w:val="left"/>
              <w:rPr>
                <w:rFonts w:ascii="宋体" w:hAnsi="宋体"/>
                <w:color w:val="auto"/>
                <w:kern w:val="0"/>
                <w:szCs w:val="21"/>
              </w:rPr>
            </w:pPr>
          </w:p>
        </w:tc>
        <w:tc>
          <w:tcPr>
            <w:tcW w:w="896" w:type="dxa"/>
          </w:tcPr>
          <w:p w14:paraId="7189B17C">
            <w:pPr>
              <w:autoSpaceDE w:val="0"/>
              <w:autoSpaceDN w:val="0"/>
              <w:adjustRightInd w:val="0"/>
              <w:snapToGrid w:val="0"/>
              <w:jc w:val="left"/>
              <w:rPr>
                <w:rFonts w:ascii="宋体" w:hAnsi="宋体"/>
                <w:color w:val="auto"/>
                <w:kern w:val="0"/>
                <w:szCs w:val="21"/>
              </w:rPr>
            </w:pPr>
          </w:p>
        </w:tc>
      </w:tr>
      <w:tr w14:paraId="45505B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15A5F6D">
            <w:pPr>
              <w:autoSpaceDE w:val="0"/>
              <w:autoSpaceDN w:val="0"/>
              <w:adjustRightInd w:val="0"/>
              <w:snapToGrid w:val="0"/>
              <w:jc w:val="left"/>
              <w:rPr>
                <w:rFonts w:ascii="宋体" w:hAnsi="宋体"/>
                <w:color w:val="auto"/>
                <w:kern w:val="0"/>
                <w:szCs w:val="21"/>
              </w:rPr>
            </w:pPr>
          </w:p>
        </w:tc>
        <w:tc>
          <w:tcPr>
            <w:tcW w:w="734" w:type="dxa"/>
          </w:tcPr>
          <w:p w14:paraId="72EC79CD">
            <w:pPr>
              <w:autoSpaceDE w:val="0"/>
              <w:autoSpaceDN w:val="0"/>
              <w:adjustRightInd w:val="0"/>
              <w:snapToGrid w:val="0"/>
              <w:jc w:val="left"/>
              <w:rPr>
                <w:rFonts w:ascii="宋体" w:hAnsi="宋体"/>
                <w:color w:val="auto"/>
                <w:kern w:val="0"/>
                <w:szCs w:val="21"/>
              </w:rPr>
            </w:pPr>
          </w:p>
        </w:tc>
        <w:tc>
          <w:tcPr>
            <w:tcW w:w="776" w:type="dxa"/>
          </w:tcPr>
          <w:p w14:paraId="6F6455BC">
            <w:pPr>
              <w:autoSpaceDE w:val="0"/>
              <w:autoSpaceDN w:val="0"/>
              <w:adjustRightInd w:val="0"/>
              <w:snapToGrid w:val="0"/>
              <w:jc w:val="left"/>
              <w:rPr>
                <w:rFonts w:ascii="宋体" w:hAnsi="宋体"/>
                <w:color w:val="auto"/>
                <w:kern w:val="0"/>
                <w:szCs w:val="21"/>
              </w:rPr>
            </w:pPr>
          </w:p>
        </w:tc>
        <w:tc>
          <w:tcPr>
            <w:tcW w:w="1167" w:type="dxa"/>
          </w:tcPr>
          <w:p w14:paraId="1749946E">
            <w:pPr>
              <w:autoSpaceDE w:val="0"/>
              <w:autoSpaceDN w:val="0"/>
              <w:adjustRightInd w:val="0"/>
              <w:snapToGrid w:val="0"/>
              <w:jc w:val="left"/>
              <w:rPr>
                <w:rFonts w:ascii="宋体" w:hAnsi="宋体"/>
                <w:color w:val="auto"/>
                <w:kern w:val="0"/>
                <w:szCs w:val="21"/>
              </w:rPr>
            </w:pPr>
          </w:p>
        </w:tc>
        <w:tc>
          <w:tcPr>
            <w:tcW w:w="776" w:type="dxa"/>
          </w:tcPr>
          <w:p w14:paraId="786AE603">
            <w:pPr>
              <w:autoSpaceDE w:val="0"/>
              <w:autoSpaceDN w:val="0"/>
              <w:adjustRightInd w:val="0"/>
              <w:snapToGrid w:val="0"/>
              <w:jc w:val="left"/>
              <w:rPr>
                <w:rFonts w:ascii="宋体" w:hAnsi="宋体"/>
                <w:color w:val="auto"/>
                <w:kern w:val="0"/>
                <w:szCs w:val="21"/>
              </w:rPr>
            </w:pPr>
          </w:p>
        </w:tc>
        <w:tc>
          <w:tcPr>
            <w:tcW w:w="778" w:type="dxa"/>
          </w:tcPr>
          <w:p w14:paraId="53C086D3">
            <w:pPr>
              <w:autoSpaceDE w:val="0"/>
              <w:autoSpaceDN w:val="0"/>
              <w:adjustRightInd w:val="0"/>
              <w:snapToGrid w:val="0"/>
              <w:jc w:val="left"/>
              <w:rPr>
                <w:rFonts w:ascii="宋体" w:hAnsi="宋体"/>
                <w:color w:val="auto"/>
                <w:kern w:val="0"/>
                <w:szCs w:val="21"/>
              </w:rPr>
            </w:pPr>
          </w:p>
        </w:tc>
        <w:tc>
          <w:tcPr>
            <w:tcW w:w="776" w:type="dxa"/>
          </w:tcPr>
          <w:p w14:paraId="093BADB9">
            <w:pPr>
              <w:autoSpaceDE w:val="0"/>
              <w:autoSpaceDN w:val="0"/>
              <w:adjustRightInd w:val="0"/>
              <w:snapToGrid w:val="0"/>
              <w:jc w:val="left"/>
              <w:rPr>
                <w:rFonts w:ascii="宋体" w:hAnsi="宋体"/>
                <w:color w:val="auto"/>
                <w:kern w:val="0"/>
                <w:szCs w:val="21"/>
              </w:rPr>
            </w:pPr>
          </w:p>
        </w:tc>
        <w:tc>
          <w:tcPr>
            <w:tcW w:w="2723" w:type="dxa"/>
          </w:tcPr>
          <w:p w14:paraId="50F59E4B">
            <w:pPr>
              <w:autoSpaceDE w:val="0"/>
              <w:autoSpaceDN w:val="0"/>
              <w:adjustRightInd w:val="0"/>
              <w:snapToGrid w:val="0"/>
              <w:jc w:val="left"/>
              <w:rPr>
                <w:rFonts w:ascii="宋体" w:hAnsi="宋体"/>
                <w:color w:val="auto"/>
                <w:kern w:val="0"/>
                <w:szCs w:val="21"/>
              </w:rPr>
            </w:pPr>
          </w:p>
        </w:tc>
        <w:tc>
          <w:tcPr>
            <w:tcW w:w="896" w:type="dxa"/>
          </w:tcPr>
          <w:p w14:paraId="1B142B20">
            <w:pPr>
              <w:autoSpaceDE w:val="0"/>
              <w:autoSpaceDN w:val="0"/>
              <w:adjustRightInd w:val="0"/>
              <w:snapToGrid w:val="0"/>
              <w:jc w:val="left"/>
              <w:rPr>
                <w:rFonts w:ascii="宋体" w:hAnsi="宋体"/>
                <w:color w:val="auto"/>
                <w:kern w:val="0"/>
                <w:szCs w:val="21"/>
              </w:rPr>
            </w:pPr>
          </w:p>
        </w:tc>
      </w:tr>
      <w:tr w14:paraId="6A41A3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C817FFF">
            <w:pPr>
              <w:autoSpaceDE w:val="0"/>
              <w:autoSpaceDN w:val="0"/>
              <w:adjustRightInd w:val="0"/>
              <w:snapToGrid w:val="0"/>
              <w:jc w:val="left"/>
              <w:rPr>
                <w:rFonts w:ascii="宋体" w:hAnsi="宋体"/>
                <w:color w:val="auto"/>
                <w:kern w:val="0"/>
                <w:szCs w:val="21"/>
              </w:rPr>
            </w:pPr>
          </w:p>
        </w:tc>
        <w:tc>
          <w:tcPr>
            <w:tcW w:w="734" w:type="dxa"/>
          </w:tcPr>
          <w:p w14:paraId="7F0F6BE3">
            <w:pPr>
              <w:autoSpaceDE w:val="0"/>
              <w:autoSpaceDN w:val="0"/>
              <w:adjustRightInd w:val="0"/>
              <w:snapToGrid w:val="0"/>
              <w:jc w:val="left"/>
              <w:rPr>
                <w:rFonts w:ascii="宋体" w:hAnsi="宋体"/>
                <w:color w:val="auto"/>
                <w:kern w:val="0"/>
                <w:szCs w:val="21"/>
              </w:rPr>
            </w:pPr>
          </w:p>
        </w:tc>
        <w:tc>
          <w:tcPr>
            <w:tcW w:w="776" w:type="dxa"/>
          </w:tcPr>
          <w:p w14:paraId="1E21969B">
            <w:pPr>
              <w:autoSpaceDE w:val="0"/>
              <w:autoSpaceDN w:val="0"/>
              <w:adjustRightInd w:val="0"/>
              <w:snapToGrid w:val="0"/>
              <w:jc w:val="left"/>
              <w:rPr>
                <w:rFonts w:ascii="宋体" w:hAnsi="宋体"/>
                <w:color w:val="auto"/>
                <w:kern w:val="0"/>
                <w:szCs w:val="21"/>
              </w:rPr>
            </w:pPr>
          </w:p>
        </w:tc>
        <w:tc>
          <w:tcPr>
            <w:tcW w:w="1167" w:type="dxa"/>
          </w:tcPr>
          <w:p w14:paraId="10C7BE89">
            <w:pPr>
              <w:autoSpaceDE w:val="0"/>
              <w:autoSpaceDN w:val="0"/>
              <w:adjustRightInd w:val="0"/>
              <w:snapToGrid w:val="0"/>
              <w:jc w:val="left"/>
              <w:rPr>
                <w:rFonts w:ascii="宋体" w:hAnsi="宋体"/>
                <w:color w:val="auto"/>
                <w:kern w:val="0"/>
                <w:szCs w:val="21"/>
              </w:rPr>
            </w:pPr>
          </w:p>
        </w:tc>
        <w:tc>
          <w:tcPr>
            <w:tcW w:w="776" w:type="dxa"/>
          </w:tcPr>
          <w:p w14:paraId="7FB86BA5">
            <w:pPr>
              <w:autoSpaceDE w:val="0"/>
              <w:autoSpaceDN w:val="0"/>
              <w:adjustRightInd w:val="0"/>
              <w:snapToGrid w:val="0"/>
              <w:jc w:val="left"/>
              <w:rPr>
                <w:rFonts w:ascii="宋体" w:hAnsi="宋体"/>
                <w:color w:val="auto"/>
                <w:kern w:val="0"/>
                <w:szCs w:val="21"/>
              </w:rPr>
            </w:pPr>
          </w:p>
        </w:tc>
        <w:tc>
          <w:tcPr>
            <w:tcW w:w="778" w:type="dxa"/>
          </w:tcPr>
          <w:p w14:paraId="5E376930">
            <w:pPr>
              <w:autoSpaceDE w:val="0"/>
              <w:autoSpaceDN w:val="0"/>
              <w:adjustRightInd w:val="0"/>
              <w:snapToGrid w:val="0"/>
              <w:jc w:val="left"/>
              <w:rPr>
                <w:rFonts w:ascii="宋体" w:hAnsi="宋体"/>
                <w:color w:val="auto"/>
                <w:kern w:val="0"/>
                <w:szCs w:val="21"/>
              </w:rPr>
            </w:pPr>
          </w:p>
        </w:tc>
        <w:tc>
          <w:tcPr>
            <w:tcW w:w="776" w:type="dxa"/>
          </w:tcPr>
          <w:p w14:paraId="7325637E">
            <w:pPr>
              <w:autoSpaceDE w:val="0"/>
              <w:autoSpaceDN w:val="0"/>
              <w:adjustRightInd w:val="0"/>
              <w:snapToGrid w:val="0"/>
              <w:jc w:val="left"/>
              <w:rPr>
                <w:rFonts w:ascii="宋体" w:hAnsi="宋体"/>
                <w:color w:val="auto"/>
                <w:kern w:val="0"/>
                <w:szCs w:val="21"/>
              </w:rPr>
            </w:pPr>
          </w:p>
        </w:tc>
        <w:tc>
          <w:tcPr>
            <w:tcW w:w="2723" w:type="dxa"/>
          </w:tcPr>
          <w:p w14:paraId="19CC8B97">
            <w:pPr>
              <w:autoSpaceDE w:val="0"/>
              <w:autoSpaceDN w:val="0"/>
              <w:adjustRightInd w:val="0"/>
              <w:snapToGrid w:val="0"/>
              <w:jc w:val="left"/>
              <w:rPr>
                <w:rFonts w:ascii="宋体" w:hAnsi="宋体"/>
                <w:color w:val="auto"/>
                <w:kern w:val="0"/>
                <w:szCs w:val="21"/>
              </w:rPr>
            </w:pPr>
          </w:p>
        </w:tc>
        <w:tc>
          <w:tcPr>
            <w:tcW w:w="896" w:type="dxa"/>
          </w:tcPr>
          <w:p w14:paraId="07B1FC12">
            <w:pPr>
              <w:autoSpaceDE w:val="0"/>
              <w:autoSpaceDN w:val="0"/>
              <w:adjustRightInd w:val="0"/>
              <w:snapToGrid w:val="0"/>
              <w:jc w:val="left"/>
              <w:rPr>
                <w:rFonts w:ascii="宋体" w:hAnsi="宋体"/>
                <w:color w:val="auto"/>
                <w:kern w:val="0"/>
                <w:szCs w:val="21"/>
              </w:rPr>
            </w:pPr>
          </w:p>
        </w:tc>
      </w:tr>
    </w:tbl>
    <w:p w14:paraId="2ADD9795">
      <w:pPr>
        <w:spacing w:line="20" w:lineRule="exact"/>
        <w:jc w:val="center"/>
        <w:rPr>
          <w:rFonts w:ascii="宋体" w:hAnsi="宋体"/>
          <w:color w:val="auto"/>
          <w:szCs w:val="21"/>
        </w:rPr>
      </w:pPr>
    </w:p>
    <w:p w14:paraId="430C84E8">
      <w:pPr>
        <w:spacing w:line="360" w:lineRule="auto"/>
        <w:ind w:firstLine="420" w:firstLineChars="200"/>
        <w:jc w:val="left"/>
        <w:rPr>
          <w:rFonts w:ascii="宋体" w:hAnsi="宋体"/>
          <w:color w:val="auto"/>
          <w:szCs w:val="21"/>
        </w:rPr>
      </w:pPr>
      <w:r>
        <w:rPr>
          <w:rFonts w:hint="eastAsia" w:ascii="宋体" w:hAnsi="宋体"/>
          <w:color w:val="auto"/>
          <w:szCs w:val="21"/>
        </w:rPr>
        <w:t>备注：本表仅填项目经理、项目技术负责人相关信息</w:t>
      </w:r>
    </w:p>
    <w:p w14:paraId="2091C800">
      <w:pPr>
        <w:spacing w:line="360" w:lineRule="auto"/>
        <w:ind w:firstLine="640"/>
        <w:jc w:val="center"/>
        <w:rPr>
          <w:rFonts w:ascii="宋体" w:hAnsi="宋体"/>
          <w:color w:val="auto"/>
          <w:sz w:val="32"/>
          <w:szCs w:val="32"/>
        </w:rPr>
      </w:pPr>
      <w:r>
        <w:rPr>
          <w:rFonts w:ascii="宋体" w:hAnsi="宋体"/>
          <w:color w:val="auto"/>
          <w:sz w:val="32"/>
          <w:szCs w:val="32"/>
        </w:rPr>
        <w:br w:type="page"/>
      </w:r>
      <w:r>
        <w:rPr>
          <w:rFonts w:hint="eastAsia" w:ascii="宋体" w:hAnsi="宋体"/>
          <w:color w:val="auto"/>
          <w:sz w:val="32"/>
          <w:szCs w:val="32"/>
        </w:rPr>
        <w:t>项目经理及项目技术负责人简历表</w:t>
      </w:r>
      <w:bookmarkEnd w:id="2353"/>
      <w:bookmarkEnd w:id="2354"/>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4776D2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4DB65D9">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姓名</w:t>
            </w:r>
          </w:p>
        </w:tc>
        <w:tc>
          <w:tcPr>
            <w:tcW w:w="1190" w:type="dxa"/>
            <w:gridSpan w:val="2"/>
            <w:vAlign w:val="center"/>
          </w:tcPr>
          <w:p w14:paraId="7EFF255B">
            <w:pPr>
              <w:autoSpaceDE w:val="0"/>
              <w:autoSpaceDN w:val="0"/>
              <w:adjustRightInd w:val="0"/>
              <w:snapToGrid w:val="0"/>
              <w:jc w:val="center"/>
              <w:rPr>
                <w:rFonts w:ascii="宋体" w:hAnsi="宋体"/>
                <w:color w:val="auto"/>
                <w:kern w:val="0"/>
                <w:szCs w:val="21"/>
              </w:rPr>
            </w:pPr>
          </w:p>
        </w:tc>
        <w:tc>
          <w:tcPr>
            <w:tcW w:w="1020" w:type="dxa"/>
            <w:vAlign w:val="center"/>
          </w:tcPr>
          <w:p w14:paraId="10A39E9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年龄</w:t>
            </w:r>
          </w:p>
        </w:tc>
        <w:tc>
          <w:tcPr>
            <w:tcW w:w="1175" w:type="dxa"/>
            <w:vAlign w:val="center"/>
          </w:tcPr>
          <w:p w14:paraId="576804F8">
            <w:pPr>
              <w:autoSpaceDE w:val="0"/>
              <w:autoSpaceDN w:val="0"/>
              <w:adjustRightInd w:val="0"/>
              <w:snapToGrid w:val="0"/>
              <w:jc w:val="center"/>
              <w:rPr>
                <w:rFonts w:ascii="宋体" w:hAnsi="宋体"/>
                <w:color w:val="auto"/>
                <w:kern w:val="0"/>
                <w:szCs w:val="21"/>
              </w:rPr>
            </w:pPr>
          </w:p>
        </w:tc>
        <w:tc>
          <w:tcPr>
            <w:tcW w:w="2346" w:type="dxa"/>
            <w:gridSpan w:val="3"/>
            <w:vAlign w:val="center"/>
          </w:tcPr>
          <w:p w14:paraId="1DB84B2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学历</w:t>
            </w:r>
          </w:p>
        </w:tc>
        <w:tc>
          <w:tcPr>
            <w:tcW w:w="2528" w:type="dxa"/>
            <w:vAlign w:val="center"/>
          </w:tcPr>
          <w:p w14:paraId="394A1950">
            <w:pPr>
              <w:autoSpaceDE w:val="0"/>
              <w:autoSpaceDN w:val="0"/>
              <w:adjustRightInd w:val="0"/>
              <w:snapToGrid w:val="0"/>
              <w:jc w:val="center"/>
              <w:rPr>
                <w:rFonts w:ascii="宋体" w:hAnsi="宋体"/>
                <w:color w:val="auto"/>
                <w:kern w:val="0"/>
                <w:szCs w:val="21"/>
              </w:rPr>
            </w:pPr>
          </w:p>
        </w:tc>
      </w:tr>
      <w:tr w14:paraId="3A7341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0E13982">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职称</w:t>
            </w:r>
          </w:p>
        </w:tc>
        <w:tc>
          <w:tcPr>
            <w:tcW w:w="1190" w:type="dxa"/>
            <w:gridSpan w:val="2"/>
            <w:vAlign w:val="center"/>
          </w:tcPr>
          <w:p w14:paraId="3F0D3C7F">
            <w:pPr>
              <w:autoSpaceDE w:val="0"/>
              <w:autoSpaceDN w:val="0"/>
              <w:adjustRightInd w:val="0"/>
              <w:snapToGrid w:val="0"/>
              <w:jc w:val="center"/>
              <w:rPr>
                <w:rFonts w:ascii="宋体" w:hAnsi="宋体"/>
                <w:color w:val="auto"/>
                <w:kern w:val="0"/>
                <w:szCs w:val="21"/>
              </w:rPr>
            </w:pPr>
          </w:p>
        </w:tc>
        <w:tc>
          <w:tcPr>
            <w:tcW w:w="1020" w:type="dxa"/>
            <w:vAlign w:val="center"/>
          </w:tcPr>
          <w:p w14:paraId="7CB2C2E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职务</w:t>
            </w:r>
          </w:p>
        </w:tc>
        <w:tc>
          <w:tcPr>
            <w:tcW w:w="1175" w:type="dxa"/>
            <w:vAlign w:val="center"/>
          </w:tcPr>
          <w:p w14:paraId="30D23EE6">
            <w:pPr>
              <w:autoSpaceDE w:val="0"/>
              <w:autoSpaceDN w:val="0"/>
              <w:adjustRightInd w:val="0"/>
              <w:snapToGrid w:val="0"/>
              <w:jc w:val="center"/>
              <w:rPr>
                <w:rFonts w:ascii="宋体" w:hAnsi="宋体"/>
                <w:color w:val="auto"/>
                <w:kern w:val="0"/>
                <w:szCs w:val="21"/>
              </w:rPr>
            </w:pPr>
          </w:p>
        </w:tc>
        <w:tc>
          <w:tcPr>
            <w:tcW w:w="2346" w:type="dxa"/>
            <w:gridSpan w:val="3"/>
            <w:vAlign w:val="center"/>
          </w:tcPr>
          <w:p w14:paraId="5BF5CD1D">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拟在本合同任职</w:t>
            </w:r>
          </w:p>
        </w:tc>
        <w:tc>
          <w:tcPr>
            <w:tcW w:w="2528" w:type="dxa"/>
            <w:vAlign w:val="center"/>
          </w:tcPr>
          <w:p w14:paraId="0E2BBB0B">
            <w:pPr>
              <w:autoSpaceDE w:val="0"/>
              <w:autoSpaceDN w:val="0"/>
              <w:adjustRightInd w:val="0"/>
              <w:snapToGrid w:val="0"/>
              <w:jc w:val="center"/>
              <w:rPr>
                <w:rFonts w:ascii="宋体" w:hAnsi="宋体"/>
                <w:color w:val="auto"/>
                <w:kern w:val="0"/>
                <w:szCs w:val="21"/>
              </w:rPr>
            </w:pPr>
          </w:p>
        </w:tc>
      </w:tr>
      <w:tr w14:paraId="5C91FE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D73B80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毕业学校</w:t>
            </w:r>
          </w:p>
        </w:tc>
        <w:tc>
          <w:tcPr>
            <w:tcW w:w="8259" w:type="dxa"/>
            <w:gridSpan w:val="8"/>
            <w:vAlign w:val="center"/>
          </w:tcPr>
          <w:p w14:paraId="1D2613B1">
            <w:pPr>
              <w:tabs>
                <w:tab w:val="left" w:pos="2820"/>
                <w:tab w:val="left" w:pos="408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年</w:t>
            </w:r>
            <w:r>
              <w:rPr>
                <w:rFonts w:ascii="宋体" w:hAnsi="宋体"/>
                <w:color w:val="auto"/>
                <w:spacing w:val="-1"/>
                <w:kern w:val="0"/>
                <w:szCs w:val="21"/>
              </w:rPr>
              <w:t>毕</w:t>
            </w:r>
            <w:r>
              <w:rPr>
                <w:rFonts w:ascii="宋体" w:hAnsi="宋体"/>
                <w:color w:val="auto"/>
                <w:kern w:val="0"/>
                <w:szCs w:val="21"/>
              </w:rPr>
              <w:t>业于</w:t>
            </w:r>
            <w:r>
              <w:rPr>
                <w:rFonts w:ascii="宋体" w:hAnsi="宋体"/>
                <w:color w:val="auto"/>
                <w:kern w:val="0"/>
                <w:szCs w:val="21"/>
              </w:rPr>
              <w:tab/>
            </w:r>
            <w:r>
              <w:rPr>
                <w:rFonts w:ascii="宋体" w:hAnsi="宋体"/>
                <w:color w:val="auto"/>
                <w:kern w:val="0"/>
                <w:szCs w:val="21"/>
              </w:rPr>
              <w:t>学校</w:t>
            </w:r>
            <w:r>
              <w:rPr>
                <w:rFonts w:ascii="宋体" w:hAnsi="宋体"/>
                <w:color w:val="auto"/>
                <w:kern w:val="0"/>
                <w:szCs w:val="21"/>
              </w:rPr>
              <w:tab/>
            </w:r>
            <w:r>
              <w:rPr>
                <w:rFonts w:ascii="宋体" w:hAnsi="宋体"/>
                <w:color w:val="auto"/>
                <w:kern w:val="0"/>
                <w:szCs w:val="21"/>
              </w:rPr>
              <w:t>专业</w:t>
            </w:r>
          </w:p>
        </w:tc>
      </w:tr>
      <w:tr w14:paraId="111BBB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55DCD76C">
            <w:pPr>
              <w:autoSpaceDE w:val="0"/>
              <w:autoSpaceDN w:val="0"/>
              <w:adjustRightInd w:val="0"/>
              <w:snapToGrid w:val="0"/>
              <w:jc w:val="center"/>
              <w:rPr>
                <w:rFonts w:ascii="宋体" w:hAnsi="宋体"/>
                <w:color w:val="auto"/>
                <w:kern w:val="0"/>
                <w:szCs w:val="21"/>
              </w:rPr>
            </w:pPr>
            <w:r>
              <w:rPr>
                <w:rFonts w:ascii="宋体" w:hAnsi="宋体"/>
                <w:color w:val="auto"/>
                <w:kern w:val="0"/>
                <w:szCs w:val="21"/>
              </w:rPr>
              <w:t>主要工作经历</w:t>
            </w:r>
          </w:p>
        </w:tc>
      </w:tr>
      <w:tr w14:paraId="121724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1BA3F46">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时间</w:t>
            </w:r>
          </w:p>
        </w:tc>
        <w:tc>
          <w:tcPr>
            <w:tcW w:w="3768" w:type="dxa"/>
            <w:gridSpan w:val="4"/>
            <w:vAlign w:val="center"/>
          </w:tcPr>
          <w:p w14:paraId="0193EBD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参加过的类似项目</w:t>
            </w:r>
          </w:p>
        </w:tc>
        <w:tc>
          <w:tcPr>
            <w:tcW w:w="1388" w:type="dxa"/>
            <w:vAlign w:val="center"/>
          </w:tcPr>
          <w:p w14:paraId="1AE15CE7">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担任职务</w:t>
            </w:r>
          </w:p>
        </w:tc>
        <w:tc>
          <w:tcPr>
            <w:tcW w:w="2706" w:type="dxa"/>
            <w:gridSpan w:val="2"/>
            <w:vAlign w:val="center"/>
          </w:tcPr>
          <w:p w14:paraId="05042D91">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发包人及联系电话</w:t>
            </w:r>
          </w:p>
        </w:tc>
      </w:tr>
      <w:tr w14:paraId="0C3B77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4F470D1">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1D74051">
            <w:pPr>
              <w:autoSpaceDE w:val="0"/>
              <w:autoSpaceDN w:val="0"/>
              <w:adjustRightInd w:val="0"/>
              <w:snapToGrid w:val="0"/>
              <w:jc w:val="center"/>
              <w:rPr>
                <w:rFonts w:ascii="宋体" w:hAnsi="宋体"/>
                <w:color w:val="auto"/>
                <w:kern w:val="0"/>
                <w:szCs w:val="21"/>
              </w:rPr>
            </w:pPr>
          </w:p>
        </w:tc>
        <w:tc>
          <w:tcPr>
            <w:tcW w:w="1388" w:type="dxa"/>
            <w:vAlign w:val="center"/>
          </w:tcPr>
          <w:p w14:paraId="3B4931CB">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3D00E03">
            <w:pPr>
              <w:autoSpaceDE w:val="0"/>
              <w:autoSpaceDN w:val="0"/>
              <w:adjustRightInd w:val="0"/>
              <w:snapToGrid w:val="0"/>
              <w:jc w:val="center"/>
              <w:rPr>
                <w:rFonts w:ascii="宋体" w:hAnsi="宋体"/>
                <w:color w:val="auto"/>
                <w:kern w:val="0"/>
                <w:szCs w:val="21"/>
              </w:rPr>
            </w:pPr>
          </w:p>
        </w:tc>
      </w:tr>
      <w:tr w14:paraId="7998A9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5BB312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6AAFDE49">
            <w:pPr>
              <w:autoSpaceDE w:val="0"/>
              <w:autoSpaceDN w:val="0"/>
              <w:adjustRightInd w:val="0"/>
              <w:snapToGrid w:val="0"/>
              <w:jc w:val="center"/>
              <w:rPr>
                <w:rFonts w:ascii="宋体" w:hAnsi="宋体"/>
                <w:color w:val="auto"/>
                <w:kern w:val="0"/>
                <w:szCs w:val="21"/>
              </w:rPr>
            </w:pPr>
          </w:p>
        </w:tc>
        <w:tc>
          <w:tcPr>
            <w:tcW w:w="1388" w:type="dxa"/>
            <w:vAlign w:val="center"/>
          </w:tcPr>
          <w:p w14:paraId="5A4D2924">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289FA20">
            <w:pPr>
              <w:autoSpaceDE w:val="0"/>
              <w:autoSpaceDN w:val="0"/>
              <w:adjustRightInd w:val="0"/>
              <w:snapToGrid w:val="0"/>
              <w:jc w:val="center"/>
              <w:rPr>
                <w:rFonts w:ascii="宋体" w:hAnsi="宋体"/>
                <w:color w:val="auto"/>
                <w:kern w:val="0"/>
                <w:szCs w:val="21"/>
              </w:rPr>
            </w:pPr>
          </w:p>
        </w:tc>
      </w:tr>
      <w:tr w14:paraId="47C70E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354687A">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10D63472">
            <w:pPr>
              <w:autoSpaceDE w:val="0"/>
              <w:autoSpaceDN w:val="0"/>
              <w:adjustRightInd w:val="0"/>
              <w:snapToGrid w:val="0"/>
              <w:jc w:val="center"/>
              <w:rPr>
                <w:rFonts w:ascii="宋体" w:hAnsi="宋体"/>
                <w:color w:val="auto"/>
                <w:kern w:val="0"/>
                <w:szCs w:val="21"/>
              </w:rPr>
            </w:pPr>
          </w:p>
        </w:tc>
        <w:tc>
          <w:tcPr>
            <w:tcW w:w="1388" w:type="dxa"/>
            <w:vAlign w:val="center"/>
          </w:tcPr>
          <w:p w14:paraId="6B0A70C6">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0F7439BB">
            <w:pPr>
              <w:autoSpaceDE w:val="0"/>
              <w:autoSpaceDN w:val="0"/>
              <w:adjustRightInd w:val="0"/>
              <w:snapToGrid w:val="0"/>
              <w:jc w:val="center"/>
              <w:rPr>
                <w:rFonts w:ascii="宋体" w:hAnsi="宋体"/>
                <w:color w:val="auto"/>
                <w:kern w:val="0"/>
                <w:szCs w:val="21"/>
              </w:rPr>
            </w:pPr>
          </w:p>
        </w:tc>
      </w:tr>
      <w:tr w14:paraId="3C598B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0942D0D">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1C9AC1B">
            <w:pPr>
              <w:autoSpaceDE w:val="0"/>
              <w:autoSpaceDN w:val="0"/>
              <w:adjustRightInd w:val="0"/>
              <w:snapToGrid w:val="0"/>
              <w:jc w:val="center"/>
              <w:rPr>
                <w:rFonts w:ascii="宋体" w:hAnsi="宋体"/>
                <w:color w:val="auto"/>
                <w:kern w:val="0"/>
                <w:szCs w:val="21"/>
              </w:rPr>
            </w:pPr>
          </w:p>
        </w:tc>
        <w:tc>
          <w:tcPr>
            <w:tcW w:w="1388" w:type="dxa"/>
            <w:vAlign w:val="center"/>
          </w:tcPr>
          <w:p w14:paraId="0D26B386">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AB7AB18">
            <w:pPr>
              <w:autoSpaceDE w:val="0"/>
              <w:autoSpaceDN w:val="0"/>
              <w:adjustRightInd w:val="0"/>
              <w:snapToGrid w:val="0"/>
              <w:jc w:val="center"/>
              <w:rPr>
                <w:rFonts w:ascii="宋体" w:hAnsi="宋体"/>
                <w:color w:val="auto"/>
                <w:kern w:val="0"/>
                <w:szCs w:val="21"/>
              </w:rPr>
            </w:pPr>
          </w:p>
        </w:tc>
      </w:tr>
      <w:tr w14:paraId="4062EC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F5BA61D">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619B31E5">
            <w:pPr>
              <w:autoSpaceDE w:val="0"/>
              <w:autoSpaceDN w:val="0"/>
              <w:adjustRightInd w:val="0"/>
              <w:snapToGrid w:val="0"/>
              <w:jc w:val="center"/>
              <w:rPr>
                <w:rFonts w:ascii="宋体" w:hAnsi="宋体"/>
                <w:color w:val="auto"/>
                <w:kern w:val="0"/>
                <w:szCs w:val="21"/>
              </w:rPr>
            </w:pPr>
          </w:p>
        </w:tc>
        <w:tc>
          <w:tcPr>
            <w:tcW w:w="1388" w:type="dxa"/>
            <w:vAlign w:val="center"/>
          </w:tcPr>
          <w:p w14:paraId="44EEBD3C">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7C69BFB4">
            <w:pPr>
              <w:autoSpaceDE w:val="0"/>
              <w:autoSpaceDN w:val="0"/>
              <w:adjustRightInd w:val="0"/>
              <w:snapToGrid w:val="0"/>
              <w:jc w:val="center"/>
              <w:rPr>
                <w:rFonts w:ascii="宋体" w:hAnsi="宋体"/>
                <w:color w:val="auto"/>
                <w:kern w:val="0"/>
                <w:szCs w:val="21"/>
              </w:rPr>
            </w:pPr>
          </w:p>
        </w:tc>
      </w:tr>
      <w:tr w14:paraId="796BD7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9168373">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40F9981E">
            <w:pPr>
              <w:autoSpaceDE w:val="0"/>
              <w:autoSpaceDN w:val="0"/>
              <w:adjustRightInd w:val="0"/>
              <w:snapToGrid w:val="0"/>
              <w:jc w:val="center"/>
              <w:rPr>
                <w:rFonts w:ascii="宋体" w:hAnsi="宋体"/>
                <w:color w:val="auto"/>
                <w:kern w:val="0"/>
                <w:szCs w:val="21"/>
              </w:rPr>
            </w:pPr>
          </w:p>
        </w:tc>
        <w:tc>
          <w:tcPr>
            <w:tcW w:w="1388" w:type="dxa"/>
            <w:vAlign w:val="center"/>
          </w:tcPr>
          <w:p w14:paraId="76080168">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154DEB8">
            <w:pPr>
              <w:autoSpaceDE w:val="0"/>
              <w:autoSpaceDN w:val="0"/>
              <w:adjustRightInd w:val="0"/>
              <w:snapToGrid w:val="0"/>
              <w:jc w:val="center"/>
              <w:rPr>
                <w:rFonts w:ascii="宋体" w:hAnsi="宋体"/>
                <w:color w:val="auto"/>
                <w:kern w:val="0"/>
                <w:szCs w:val="21"/>
              </w:rPr>
            </w:pPr>
          </w:p>
        </w:tc>
      </w:tr>
      <w:tr w14:paraId="3BCBD8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39FA31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75B6BA9E">
            <w:pPr>
              <w:autoSpaceDE w:val="0"/>
              <w:autoSpaceDN w:val="0"/>
              <w:adjustRightInd w:val="0"/>
              <w:snapToGrid w:val="0"/>
              <w:jc w:val="center"/>
              <w:rPr>
                <w:rFonts w:ascii="宋体" w:hAnsi="宋体"/>
                <w:color w:val="auto"/>
                <w:kern w:val="0"/>
                <w:szCs w:val="21"/>
              </w:rPr>
            </w:pPr>
          </w:p>
        </w:tc>
        <w:tc>
          <w:tcPr>
            <w:tcW w:w="1388" w:type="dxa"/>
            <w:vAlign w:val="center"/>
          </w:tcPr>
          <w:p w14:paraId="1E673FDC">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C73E013">
            <w:pPr>
              <w:autoSpaceDE w:val="0"/>
              <w:autoSpaceDN w:val="0"/>
              <w:adjustRightInd w:val="0"/>
              <w:snapToGrid w:val="0"/>
              <w:jc w:val="center"/>
              <w:rPr>
                <w:rFonts w:ascii="宋体" w:hAnsi="宋体"/>
                <w:color w:val="auto"/>
                <w:kern w:val="0"/>
                <w:szCs w:val="21"/>
              </w:rPr>
            </w:pPr>
          </w:p>
        </w:tc>
      </w:tr>
      <w:tr w14:paraId="2A0D83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9DE91E1">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487023B0">
            <w:pPr>
              <w:autoSpaceDE w:val="0"/>
              <w:autoSpaceDN w:val="0"/>
              <w:adjustRightInd w:val="0"/>
              <w:snapToGrid w:val="0"/>
              <w:jc w:val="center"/>
              <w:rPr>
                <w:rFonts w:ascii="宋体" w:hAnsi="宋体"/>
                <w:color w:val="auto"/>
                <w:kern w:val="0"/>
                <w:szCs w:val="21"/>
              </w:rPr>
            </w:pPr>
          </w:p>
        </w:tc>
        <w:tc>
          <w:tcPr>
            <w:tcW w:w="1388" w:type="dxa"/>
            <w:vAlign w:val="center"/>
          </w:tcPr>
          <w:p w14:paraId="1CD90B13">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206B317">
            <w:pPr>
              <w:autoSpaceDE w:val="0"/>
              <w:autoSpaceDN w:val="0"/>
              <w:adjustRightInd w:val="0"/>
              <w:snapToGrid w:val="0"/>
              <w:jc w:val="center"/>
              <w:rPr>
                <w:rFonts w:ascii="宋体" w:hAnsi="宋体"/>
                <w:color w:val="auto"/>
                <w:kern w:val="0"/>
                <w:szCs w:val="21"/>
              </w:rPr>
            </w:pPr>
          </w:p>
        </w:tc>
      </w:tr>
      <w:tr w14:paraId="4DBFC2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32D7B9F">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3A14EFD7">
            <w:pPr>
              <w:autoSpaceDE w:val="0"/>
              <w:autoSpaceDN w:val="0"/>
              <w:adjustRightInd w:val="0"/>
              <w:snapToGrid w:val="0"/>
              <w:jc w:val="center"/>
              <w:rPr>
                <w:rFonts w:ascii="宋体" w:hAnsi="宋体"/>
                <w:color w:val="auto"/>
                <w:kern w:val="0"/>
                <w:szCs w:val="21"/>
              </w:rPr>
            </w:pPr>
          </w:p>
        </w:tc>
        <w:tc>
          <w:tcPr>
            <w:tcW w:w="1388" w:type="dxa"/>
            <w:vAlign w:val="center"/>
          </w:tcPr>
          <w:p w14:paraId="06513DA5">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4C4DF04F">
            <w:pPr>
              <w:autoSpaceDE w:val="0"/>
              <w:autoSpaceDN w:val="0"/>
              <w:adjustRightInd w:val="0"/>
              <w:snapToGrid w:val="0"/>
              <w:jc w:val="center"/>
              <w:rPr>
                <w:rFonts w:ascii="宋体" w:hAnsi="宋体"/>
                <w:color w:val="auto"/>
                <w:kern w:val="0"/>
                <w:szCs w:val="21"/>
              </w:rPr>
            </w:pPr>
          </w:p>
        </w:tc>
      </w:tr>
      <w:tr w14:paraId="754C58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795F1F7">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5DDC90E0">
            <w:pPr>
              <w:autoSpaceDE w:val="0"/>
              <w:autoSpaceDN w:val="0"/>
              <w:adjustRightInd w:val="0"/>
              <w:snapToGrid w:val="0"/>
              <w:jc w:val="center"/>
              <w:rPr>
                <w:rFonts w:ascii="宋体" w:hAnsi="宋体"/>
                <w:color w:val="auto"/>
                <w:kern w:val="0"/>
                <w:szCs w:val="21"/>
              </w:rPr>
            </w:pPr>
          </w:p>
        </w:tc>
        <w:tc>
          <w:tcPr>
            <w:tcW w:w="1388" w:type="dxa"/>
            <w:vAlign w:val="center"/>
          </w:tcPr>
          <w:p w14:paraId="102D5B22">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AA6DA32">
            <w:pPr>
              <w:autoSpaceDE w:val="0"/>
              <w:autoSpaceDN w:val="0"/>
              <w:adjustRightInd w:val="0"/>
              <w:snapToGrid w:val="0"/>
              <w:jc w:val="center"/>
              <w:rPr>
                <w:rFonts w:ascii="宋体" w:hAnsi="宋体"/>
                <w:color w:val="auto"/>
                <w:kern w:val="0"/>
                <w:szCs w:val="21"/>
              </w:rPr>
            </w:pPr>
          </w:p>
        </w:tc>
      </w:tr>
      <w:tr w14:paraId="07DDD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2C5F167">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299D215">
            <w:pPr>
              <w:autoSpaceDE w:val="0"/>
              <w:autoSpaceDN w:val="0"/>
              <w:adjustRightInd w:val="0"/>
              <w:snapToGrid w:val="0"/>
              <w:jc w:val="center"/>
              <w:rPr>
                <w:rFonts w:ascii="宋体" w:hAnsi="宋体"/>
                <w:color w:val="auto"/>
                <w:kern w:val="0"/>
                <w:szCs w:val="21"/>
              </w:rPr>
            </w:pPr>
          </w:p>
        </w:tc>
        <w:tc>
          <w:tcPr>
            <w:tcW w:w="1388" w:type="dxa"/>
            <w:vAlign w:val="center"/>
          </w:tcPr>
          <w:p w14:paraId="70ECE200">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38C1A3CF">
            <w:pPr>
              <w:autoSpaceDE w:val="0"/>
              <w:autoSpaceDN w:val="0"/>
              <w:adjustRightInd w:val="0"/>
              <w:snapToGrid w:val="0"/>
              <w:jc w:val="center"/>
              <w:rPr>
                <w:rFonts w:ascii="宋体" w:hAnsi="宋体"/>
                <w:color w:val="auto"/>
                <w:kern w:val="0"/>
                <w:szCs w:val="21"/>
              </w:rPr>
            </w:pPr>
          </w:p>
        </w:tc>
      </w:tr>
      <w:tr w14:paraId="5DE4AB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01B093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1944E661">
            <w:pPr>
              <w:autoSpaceDE w:val="0"/>
              <w:autoSpaceDN w:val="0"/>
              <w:adjustRightInd w:val="0"/>
              <w:snapToGrid w:val="0"/>
              <w:jc w:val="center"/>
              <w:rPr>
                <w:rFonts w:ascii="宋体" w:hAnsi="宋体"/>
                <w:color w:val="auto"/>
                <w:kern w:val="0"/>
                <w:szCs w:val="21"/>
              </w:rPr>
            </w:pPr>
          </w:p>
        </w:tc>
        <w:tc>
          <w:tcPr>
            <w:tcW w:w="1388" w:type="dxa"/>
            <w:vAlign w:val="center"/>
          </w:tcPr>
          <w:p w14:paraId="3E4EB4E4">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03B2C583">
            <w:pPr>
              <w:autoSpaceDE w:val="0"/>
              <w:autoSpaceDN w:val="0"/>
              <w:adjustRightInd w:val="0"/>
              <w:snapToGrid w:val="0"/>
              <w:jc w:val="center"/>
              <w:rPr>
                <w:rFonts w:ascii="宋体" w:hAnsi="宋体"/>
                <w:color w:val="auto"/>
                <w:kern w:val="0"/>
                <w:szCs w:val="21"/>
              </w:rPr>
            </w:pPr>
          </w:p>
        </w:tc>
      </w:tr>
      <w:tr w14:paraId="04D370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63E3512">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CA0EE54">
            <w:pPr>
              <w:autoSpaceDE w:val="0"/>
              <w:autoSpaceDN w:val="0"/>
              <w:adjustRightInd w:val="0"/>
              <w:snapToGrid w:val="0"/>
              <w:jc w:val="center"/>
              <w:rPr>
                <w:rFonts w:ascii="宋体" w:hAnsi="宋体"/>
                <w:color w:val="auto"/>
                <w:kern w:val="0"/>
                <w:szCs w:val="21"/>
              </w:rPr>
            </w:pPr>
          </w:p>
        </w:tc>
        <w:tc>
          <w:tcPr>
            <w:tcW w:w="1388" w:type="dxa"/>
            <w:vAlign w:val="center"/>
          </w:tcPr>
          <w:p w14:paraId="6B750065">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816E2FE">
            <w:pPr>
              <w:autoSpaceDE w:val="0"/>
              <w:autoSpaceDN w:val="0"/>
              <w:adjustRightInd w:val="0"/>
              <w:snapToGrid w:val="0"/>
              <w:jc w:val="center"/>
              <w:rPr>
                <w:rFonts w:ascii="宋体" w:hAnsi="宋体"/>
                <w:color w:val="auto"/>
                <w:kern w:val="0"/>
                <w:szCs w:val="21"/>
              </w:rPr>
            </w:pPr>
          </w:p>
        </w:tc>
      </w:tr>
    </w:tbl>
    <w:p w14:paraId="093CAA66">
      <w:pPr>
        <w:spacing w:line="360" w:lineRule="auto"/>
        <w:rPr>
          <w:rFonts w:ascii="宋体" w:hAnsi="宋体"/>
          <w:color w:val="auto"/>
        </w:rPr>
      </w:pPr>
      <w:bookmarkStart w:id="2359" w:name="_Toc224103515"/>
    </w:p>
    <w:p w14:paraId="2A33EB1A">
      <w:pPr>
        <w:pStyle w:val="5"/>
        <w:spacing w:before="0" w:line="240" w:lineRule="auto"/>
        <w:jc w:val="center"/>
        <w:rPr>
          <w:rFonts w:ascii="宋体" w:hAnsi="宋体"/>
          <w:b w:val="0"/>
          <w:color w:val="auto"/>
        </w:rPr>
      </w:pPr>
      <w:bookmarkStart w:id="2360" w:name="_Toc287620834"/>
      <w:bookmarkStart w:id="2361" w:name="_Toc509218864"/>
      <w:bookmarkStart w:id="2362" w:name="_Toc430530550"/>
      <w:bookmarkStart w:id="2363" w:name="_Toc277082660"/>
      <w:bookmarkStart w:id="2364" w:name="_Toc14486"/>
      <w:bookmarkStart w:id="2365" w:name="_Toc534185841"/>
      <w:bookmarkStart w:id="2366" w:name="_Toc287607888"/>
      <w:r>
        <w:rPr>
          <w:rFonts w:hint="eastAsia" w:ascii="宋体" w:hAnsi="宋体"/>
          <w:b w:val="0"/>
          <w:color w:val="auto"/>
        </w:rPr>
        <w:t>（五）近年财务状况表</w:t>
      </w:r>
      <w:bookmarkEnd w:id="2359"/>
      <w:bookmarkEnd w:id="2360"/>
      <w:bookmarkEnd w:id="2361"/>
      <w:bookmarkEnd w:id="2362"/>
      <w:bookmarkEnd w:id="2363"/>
      <w:bookmarkEnd w:id="2364"/>
      <w:bookmarkEnd w:id="2365"/>
      <w:bookmarkEnd w:id="2366"/>
    </w:p>
    <w:p w14:paraId="5DC93887">
      <w:pPr>
        <w:adjustRightInd w:val="0"/>
        <w:snapToGrid w:val="0"/>
        <w:spacing w:line="360" w:lineRule="auto"/>
        <w:rPr>
          <w:rFonts w:ascii="宋体" w:hAnsi="宋体"/>
          <w:color w:val="auto"/>
        </w:rPr>
      </w:pPr>
      <w:r>
        <w:rPr>
          <w:rFonts w:ascii="宋体" w:hAnsi="宋体"/>
          <w:color w:val="auto"/>
        </w:rPr>
        <w:br w:type="page"/>
      </w:r>
    </w:p>
    <w:p w14:paraId="403835C4">
      <w:pPr>
        <w:pStyle w:val="5"/>
        <w:spacing w:before="0" w:line="240" w:lineRule="auto"/>
        <w:jc w:val="center"/>
        <w:rPr>
          <w:rFonts w:ascii="宋体" w:hAnsi="宋体"/>
          <w:b w:val="0"/>
          <w:color w:val="auto"/>
        </w:rPr>
      </w:pPr>
      <w:bookmarkStart w:id="2367" w:name="_Toc13355"/>
      <w:bookmarkStart w:id="2368" w:name="_Toc430530551"/>
      <w:bookmarkStart w:id="2369" w:name="_Toc287607889"/>
      <w:bookmarkStart w:id="2370" w:name="_Toc534185842"/>
      <w:bookmarkStart w:id="2371" w:name="_Toc287620835"/>
      <w:bookmarkStart w:id="2372" w:name="_Toc277082661"/>
      <w:bookmarkStart w:id="2373" w:name="_Toc224103516"/>
      <w:bookmarkStart w:id="2374" w:name="_Toc509218865"/>
      <w:r>
        <w:rPr>
          <w:rFonts w:ascii="宋体" w:hAnsi="宋体"/>
          <w:b w:val="0"/>
          <w:color w:val="auto"/>
        </w:rPr>
        <w:t>（六）类似项目情况表</w:t>
      </w:r>
      <w:bookmarkEnd w:id="2367"/>
      <w:bookmarkEnd w:id="2368"/>
      <w:bookmarkEnd w:id="2369"/>
      <w:bookmarkEnd w:id="2370"/>
      <w:bookmarkEnd w:id="2371"/>
      <w:bookmarkEnd w:id="2372"/>
      <w:bookmarkEnd w:id="2373"/>
      <w:bookmarkEnd w:id="2374"/>
    </w:p>
    <w:tbl>
      <w:tblPr>
        <w:tblStyle w:val="45"/>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77ECC0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663B9F3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项目名称</w:t>
            </w:r>
          </w:p>
        </w:tc>
        <w:tc>
          <w:tcPr>
            <w:tcW w:w="8027" w:type="dxa"/>
            <w:vAlign w:val="center"/>
          </w:tcPr>
          <w:p w14:paraId="7912F16D">
            <w:pPr>
              <w:autoSpaceDE w:val="0"/>
              <w:autoSpaceDN w:val="0"/>
              <w:adjustRightInd w:val="0"/>
              <w:snapToGrid w:val="0"/>
              <w:jc w:val="center"/>
              <w:rPr>
                <w:rFonts w:ascii="宋体" w:hAnsi="宋体"/>
                <w:color w:val="auto"/>
                <w:kern w:val="0"/>
                <w:szCs w:val="21"/>
              </w:rPr>
            </w:pPr>
          </w:p>
        </w:tc>
      </w:tr>
      <w:tr w14:paraId="2C6AF1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17E060A9">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项目所在地</w:t>
            </w:r>
          </w:p>
        </w:tc>
        <w:tc>
          <w:tcPr>
            <w:tcW w:w="8027" w:type="dxa"/>
            <w:vAlign w:val="center"/>
          </w:tcPr>
          <w:p w14:paraId="216E3769">
            <w:pPr>
              <w:autoSpaceDE w:val="0"/>
              <w:autoSpaceDN w:val="0"/>
              <w:adjustRightInd w:val="0"/>
              <w:snapToGrid w:val="0"/>
              <w:jc w:val="center"/>
              <w:rPr>
                <w:rFonts w:ascii="宋体" w:hAnsi="宋体"/>
                <w:color w:val="auto"/>
                <w:kern w:val="0"/>
                <w:szCs w:val="21"/>
              </w:rPr>
            </w:pPr>
          </w:p>
        </w:tc>
      </w:tr>
      <w:tr w14:paraId="0DC571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4FDC96A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发包人名称</w:t>
            </w:r>
          </w:p>
        </w:tc>
        <w:tc>
          <w:tcPr>
            <w:tcW w:w="8027" w:type="dxa"/>
            <w:vAlign w:val="center"/>
          </w:tcPr>
          <w:p w14:paraId="4AFA51F7">
            <w:pPr>
              <w:autoSpaceDE w:val="0"/>
              <w:autoSpaceDN w:val="0"/>
              <w:adjustRightInd w:val="0"/>
              <w:snapToGrid w:val="0"/>
              <w:jc w:val="center"/>
              <w:rPr>
                <w:rFonts w:ascii="宋体" w:hAnsi="宋体"/>
                <w:color w:val="auto"/>
                <w:kern w:val="0"/>
                <w:szCs w:val="21"/>
              </w:rPr>
            </w:pPr>
          </w:p>
        </w:tc>
      </w:tr>
      <w:tr w14:paraId="4E151D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09B625D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发包人地址</w:t>
            </w:r>
          </w:p>
        </w:tc>
        <w:tc>
          <w:tcPr>
            <w:tcW w:w="8027" w:type="dxa"/>
            <w:vAlign w:val="center"/>
          </w:tcPr>
          <w:p w14:paraId="58F0E870">
            <w:pPr>
              <w:autoSpaceDE w:val="0"/>
              <w:autoSpaceDN w:val="0"/>
              <w:adjustRightInd w:val="0"/>
              <w:snapToGrid w:val="0"/>
              <w:jc w:val="center"/>
              <w:rPr>
                <w:rFonts w:ascii="宋体" w:hAnsi="宋体"/>
                <w:color w:val="auto"/>
                <w:kern w:val="0"/>
                <w:szCs w:val="21"/>
              </w:rPr>
            </w:pPr>
          </w:p>
        </w:tc>
      </w:tr>
      <w:tr w14:paraId="0F3B9F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757C903F">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发包人电话</w:t>
            </w:r>
          </w:p>
        </w:tc>
        <w:tc>
          <w:tcPr>
            <w:tcW w:w="8027" w:type="dxa"/>
            <w:vAlign w:val="center"/>
          </w:tcPr>
          <w:p w14:paraId="5F6E0670">
            <w:pPr>
              <w:autoSpaceDE w:val="0"/>
              <w:autoSpaceDN w:val="0"/>
              <w:adjustRightInd w:val="0"/>
              <w:snapToGrid w:val="0"/>
              <w:jc w:val="center"/>
              <w:rPr>
                <w:rFonts w:ascii="宋体" w:hAnsi="宋体"/>
                <w:color w:val="auto"/>
                <w:kern w:val="0"/>
                <w:szCs w:val="21"/>
              </w:rPr>
            </w:pPr>
          </w:p>
        </w:tc>
      </w:tr>
      <w:tr w14:paraId="45647E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3D1093D8">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合同价格</w:t>
            </w:r>
          </w:p>
        </w:tc>
        <w:tc>
          <w:tcPr>
            <w:tcW w:w="8027" w:type="dxa"/>
            <w:vAlign w:val="center"/>
          </w:tcPr>
          <w:p w14:paraId="2E135B6E">
            <w:pPr>
              <w:autoSpaceDE w:val="0"/>
              <w:autoSpaceDN w:val="0"/>
              <w:adjustRightInd w:val="0"/>
              <w:snapToGrid w:val="0"/>
              <w:jc w:val="center"/>
              <w:rPr>
                <w:rFonts w:ascii="宋体" w:hAnsi="宋体"/>
                <w:color w:val="auto"/>
                <w:kern w:val="0"/>
                <w:szCs w:val="21"/>
              </w:rPr>
            </w:pPr>
          </w:p>
        </w:tc>
      </w:tr>
      <w:tr w14:paraId="5ECCE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63E282DB">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开工日期</w:t>
            </w:r>
          </w:p>
        </w:tc>
        <w:tc>
          <w:tcPr>
            <w:tcW w:w="8027" w:type="dxa"/>
            <w:vAlign w:val="center"/>
          </w:tcPr>
          <w:p w14:paraId="18EA6CCE">
            <w:pPr>
              <w:autoSpaceDE w:val="0"/>
              <w:autoSpaceDN w:val="0"/>
              <w:adjustRightInd w:val="0"/>
              <w:snapToGrid w:val="0"/>
              <w:jc w:val="center"/>
              <w:rPr>
                <w:rFonts w:ascii="宋体" w:hAnsi="宋体"/>
                <w:color w:val="auto"/>
                <w:kern w:val="0"/>
                <w:szCs w:val="21"/>
              </w:rPr>
            </w:pPr>
          </w:p>
        </w:tc>
      </w:tr>
      <w:tr w14:paraId="082403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287A79F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竣工日期</w:t>
            </w:r>
          </w:p>
        </w:tc>
        <w:tc>
          <w:tcPr>
            <w:tcW w:w="8027" w:type="dxa"/>
            <w:vAlign w:val="center"/>
          </w:tcPr>
          <w:p w14:paraId="52DF5331">
            <w:pPr>
              <w:autoSpaceDE w:val="0"/>
              <w:autoSpaceDN w:val="0"/>
              <w:adjustRightInd w:val="0"/>
              <w:snapToGrid w:val="0"/>
              <w:jc w:val="center"/>
              <w:rPr>
                <w:rFonts w:ascii="宋体" w:hAnsi="宋体"/>
                <w:color w:val="auto"/>
                <w:kern w:val="0"/>
                <w:szCs w:val="21"/>
              </w:rPr>
            </w:pPr>
          </w:p>
        </w:tc>
      </w:tr>
      <w:tr w14:paraId="2DDCDC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46728ED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承担的工作</w:t>
            </w:r>
          </w:p>
        </w:tc>
        <w:tc>
          <w:tcPr>
            <w:tcW w:w="8027" w:type="dxa"/>
            <w:vAlign w:val="center"/>
          </w:tcPr>
          <w:p w14:paraId="32178052">
            <w:pPr>
              <w:autoSpaceDE w:val="0"/>
              <w:autoSpaceDN w:val="0"/>
              <w:adjustRightInd w:val="0"/>
              <w:snapToGrid w:val="0"/>
              <w:jc w:val="center"/>
              <w:rPr>
                <w:rFonts w:ascii="宋体" w:hAnsi="宋体"/>
                <w:color w:val="auto"/>
                <w:kern w:val="0"/>
                <w:szCs w:val="21"/>
              </w:rPr>
            </w:pPr>
          </w:p>
        </w:tc>
      </w:tr>
      <w:tr w14:paraId="424427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60E2175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工程质量</w:t>
            </w:r>
          </w:p>
        </w:tc>
        <w:tc>
          <w:tcPr>
            <w:tcW w:w="8027" w:type="dxa"/>
            <w:vAlign w:val="center"/>
          </w:tcPr>
          <w:p w14:paraId="6B2B3E7C">
            <w:pPr>
              <w:autoSpaceDE w:val="0"/>
              <w:autoSpaceDN w:val="0"/>
              <w:adjustRightInd w:val="0"/>
              <w:snapToGrid w:val="0"/>
              <w:jc w:val="center"/>
              <w:rPr>
                <w:rFonts w:ascii="宋体" w:hAnsi="宋体"/>
                <w:color w:val="auto"/>
                <w:kern w:val="0"/>
                <w:szCs w:val="21"/>
              </w:rPr>
            </w:pPr>
          </w:p>
        </w:tc>
      </w:tr>
      <w:tr w14:paraId="6F1789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3886C53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项目经理</w:t>
            </w:r>
          </w:p>
        </w:tc>
        <w:tc>
          <w:tcPr>
            <w:tcW w:w="8027" w:type="dxa"/>
            <w:vAlign w:val="center"/>
          </w:tcPr>
          <w:p w14:paraId="227B0092">
            <w:pPr>
              <w:autoSpaceDE w:val="0"/>
              <w:autoSpaceDN w:val="0"/>
              <w:adjustRightInd w:val="0"/>
              <w:snapToGrid w:val="0"/>
              <w:jc w:val="center"/>
              <w:rPr>
                <w:rFonts w:ascii="宋体" w:hAnsi="宋体"/>
                <w:color w:val="auto"/>
                <w:kern w:val="0"/>
                <w:szCs w:val="21"/>
              </w:rPr>
            </w:pPr>
          </w:p>
        </w:tc>
      </w:tr>
      <w:tr w14:paraId="36C20B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2B8E830D">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技术负责人</w:t>
            </w:r>
          </w:p>
        </w:tc>
        <w:tc>
          <w:tcPr>
            <w:tcW w:w="8027" w:type="dxa"/>
            <w:vAlign w:val="center"/>
          </w:tcPr>
          <w:p w14:paraId="7EB46D46">
            <w:pPr>
              <w:autoSpaceDE w:val="0"/>
              <w:autoSpaceDN w:val="0"/>
              <w:adjustRightInd w:val="0"/>
              <w:snapToGrid w:val="0"/>
              <w:jc w:val="center"/>
              <w:rPr>
                <w:rFonts w:ascii="宋体" w:hAnsi="宋体"/>
                <w:color w:val="auto"/>
                <w:kern w:val="0"/>
                <w:szCs w:val="21"/>
              </w:rPr>
            </w:pPr>
          </w:p>
        </w:tc>
      </w:tr>
      <w:tr w14:paraId="369A35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vAlign w:val="center"/>
          </w:tcPr>
          <w:p w14:paraId="6C4E30DA">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总监理工程师及电话</w:t>
            </w:r>
          </w:p>
        </w:tc>
        <w:tc>
          <w:tcPr>
            <w:tcW w:w="8027" w:type="dxa"/>
            <w:vAlign w:val="center"/>
          </w:tcPr>
          <w:p w14:paraId="6A6612E7">
            <w:pPr>
              <w:autoSpaceDE w:val="0"/>
              <w:autoSpaceDN w:val="0"/>
              <w:adjustRightInd w:val="0"/>
              <w:snapToGrid w:val="0"/>
              <w:jc w:val="center"/>
              <w:rPr>
                <w:rFonts w:ascii="宋体" w:hAnsi="宋体"/>
                <w:color w:val="auto"/>
                <w:kern w:val="0"/>
                <w:szCs w:val="21"/>
              </w:rPr>
            </w:pPr>
          </w:p>
        </w:tc>
      </w:tr>
      <w:tr w14:paraId="2A4730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720DAB2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项目描述</w:t>
            </w:r>
          </w:p>
        </w:tc>
        <w:tc>
          <w:tcPr>
            <w:tcW w:w="8027" w:type="dxa"/>
            <w:vAlign w:val="center"/>
          </w:tcPr>
          <w:p w14:paraId="5D13589E">
            <w:pPr>
              <w:autoSpaceDE w:val="0"/>
              <w:autoSpaceDN w:val="0"/>
              <w:adjustRightInd w:val="0"/>
              <w:snapToGrid w:val="0"/>
              <w:jc w:val="center"/>
              <w:rPr>
                <w:rFonts w:ascii="宋体" w:hAnsi="宋体"/>
                <w:color w:val="auto"/>
                <w:kern w:val="0"/>
                <w:szCs w:val="21"/>
              </w:rPr>
            </w:pPr>
          </w:p>
        </w:tc>
      </w:tr>
      <w:tr w14:paraId="096B2C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77DBEA1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备注</w:t>
            </w:r>
          </w:p>
        </w:tc>
        <w:tc>
          <w:tcPr>
            <w:tcW w:w="8027" w:type="dxa"/>
            <w:vAlign w:val="center"/>
          </w:tcPr>
          <w:p w14:paraId="62A60D9A">
            <w:pPr>
              <w:autoSpaceDE w:val="0"/>
              <w:autoSpaceDN w:val="0"/>
              <w:adjustRightInd w:val="0"/>
              <w:snapToGrid w:val="0"/>
              <w:jc w:val="center"/>
              <w:rPr>
                <w:rFonts w:ascii="宋体" w:hAnsi="宋体"/>
                <w:color w:val="auto"/>
                <w:kern w:val="0"/>
                <w:szCs w:val="21"/>
              </w:rPr>
            </w:pPr>
          </w:p>
        </w:tc>
      </w:tr>
    </w:tbl>
    <w:p w14:paraId="1E258F84">
      <w:pPr>
        <w:pStyle w:val="5"/>
        <w:spacing w:before="0" w:line="360" w:lineRule="auto"/>
        <w:jc w:val="center"/>
        <w:rPr>
          <w:rFonts w:ascii="宋体" w:hAnsi="宋体"/>
          <w:b w:val="0"/>
          <w:color w:val="auto"/>
        </w:rPr>
      </w:pPr>
      <w:bookmarkStart w:id="2375" w:name="_Toc287607893"/>
      <w:bookmarkStart w:id="2376" w:name="_Toc430530552"/>
      <w:bookmarkStart w:id="2377" w:name="_Toc509218866"/>
      <w:bookmarkStart w:id="2378" w:name="_Toc277082663"/>
      <w:bookmarkStart w:id="2379" w:name="_Toc287620839"/>
      <w:bookmarkStart w:id="2380" w:name="_Toc534185843"/>
      <w:bookmarkStart w:id="2381" w:name="_Toc224103520"/>
      <w:bookmarkStart w:id="2382" w:name="_Toc5612"/>
      <w:r>
        <w:rPr>
          <w:rFonts w:ascii="宋体" w:hAnsi="宋体"/>
          <w:b w:val="0"/>
          <w:color w:val="auto"/>
        </w:rPr>
        <w:t>（七）</w:t>
      </w:r>
      <w:bookmarkEnd w:id="2375"/>
      <w:bookmarkEnd w:id="2376"/>
      <w:bookmarkEnd w:id="2377"/>
      <w:bookmarkEnd w:id="2378"/>
      <w:bookmarkEnd w:id="2379"/>
      <w:bookmarkEnd w:id="2380"/>
      <w:bookmarkEnd w:id="2381"/>
      <w:r>
        <w:rPr>
          <w:rFonts w:hint="eastAsia" w:ascii="宋体" w:hAnsi="宋体"/>
          <w:b w:val="0"/>
          <w:color w:val="auto"/>
        </w:rPr>
        <w:t>承诺</w:t>
      </w:r>
      <w:bookmarkEnd w:id="2382"/>
    </w:p>
    <w:p w14:paraId="23A91447">
      <w:pPr>
        <w:snapToGrid w:val="0"/>
        <w:spacing w:line="380" w:lineRule="exact"/>
        <w:rPr>
          <w:rFonts w:ascii="宋体" w:hAnsi="宋体"/>
          <w:color w:val="auto"/>
          <w:szCs w:val="21"/>
          <w:u w:val="single"/>
        </w:rPr>
      </w:pPr>
      <w:r>
        <w:rPr>
          <w:rFonts w:hint="eastAsia" w:ascii="宋体" w:hAnsi="宋体"/>
          <w:color w:val="auto"/>
          <w:szCs w:val="21"/>
          <w:u w:val="single"/>
        </w:rPr>
        <w:t xml:space="preserve">        （采购人名称）</w:t>
      </w:r>
      <w:r>
        <w:rPr>
          <w:rFonts w:hint="eastAsia" w:ascii="宋体" w:hAnsi="宋体"/>
          <w:color w:val="auto"/>
          <w:szCs w:val="21"/>
        </w:rPr>
        <w:t>：</w:t>
      </w:r>
    </w:p>
    <w:p w14:paraId="6FA4F4B4">
      <w:pPr>
        <w:snapToGrid w:val="0"/>
        <w:spacing w:line="380" w:lineRule="exact"/>
        <w:ind w:firstLine="420" w:firstLineChars="200"/>
        <w:rPr>
          <w:rFonts w:ascii="宋体" w:hAnsi="宋体"/>
          <w:color w:val="auto"/>
          <w:szCs w:val="21"/>
        </w:rPr>
      </w:pPr>
      <w:r>
        <w:rPr>
          <w:rFonts w:hint="eastAsia" w:ascii="宋体" w:hAnsi="宋体"/>
          <w:color w:val="auto"/>
          <w:szCs w:val="21"/>
        </w:rPr>
        <w:t>我公司</w:t>
      </w:r>
      <w:r>
        <w:rPr>
          <w:rFonts w:hint="eastAsia" w:ascii="宋体" w:hAnsi="宋体"/>
          <w:color w:val="auto"/>
          <w:szCs w:val="21"/>
          <w:u w:val="single"/>
        </w:rPr>
        <w:t xml:space="preserve">        （投标人名称）</w:t>
      </w:r>
      <w:r>
        <w:rPr>
          <w:rFonts w:hint="eastAsia" w:ascii="宋体" w:hAnsi="宋体"/>
          <w:color w:val="auto"/>
          <w:szCs w:val="21"/>
        </w:rPr>
        <w:t>参加了贵单位</w:t>
      </w:r>
      <w:r>
        <w:rPr>
          <w:rFonts w:hint="eastAsia" w:ascii="宋体" w:hAnsi="宋体"/>
          <w:color w:val="auto"/>
          <w:szCs w:val="21"/>
          <w:u w:val="single"/>
        </w:rPr>
        <w:t xml:space="preserve">        （项目名称）</w:t>
      </w:r>
      <w:r>
        <w:rPr>
          <w:rFonts w:hint="eastAsia" w:ascii="宋体" w:hAnsi="宋体"/>
          <w:color w:val="auto"/>
          <w:szCs w:val="21"/>
        </w:rPr>
        <w:t>的投标，自愿作出以下承诺：</w:t>
      </w:r>
    </w:p>
    <w:p w14:paraId="64229DCF">
      <w:pPr>
        <w:snapToGrid w:val="0"/>
        <w:spacing w:line="380" w:lineRule="exact"/>
        <w:ind w:firstLine="420" w:firstLineChars="200"/>
        <w:rPr>
          <w:rFonts w:ascii="宋体" w:hAnsi="宋体"/>
          <w:color w:val="auto"/>
          <w:szCs w:val="21"/>
        </w:rPr>
      </w:pPr>
      <w:r>
        <w:rPr>
          <w:rFonts w:hint="eastAsia" w:ascii="宋体" w:hAnsi="宋体"/>
          <w:color w:val="auto"/>
          <w:szCs w:val="21"/>
        </w:rPr>
        <w:t>1、我公司投标截止日投标资格情况不存在下列情形之一：</w:t>
      </w:r>
    </w:p>
    <w:p w14:paraId="60ED8149">
      <w:pPr>
        <w:snapToGrid w:val="0"/>
        <w:spacing w:line="380" w:lineRule="exact"/>
        <w:ind w:firstLine="420" w:firstLineChars="200"/>
        <w:jc w:val="left"/>
        <w:rPr>
          <w:rFonts w:ascii="宋体" w:hAnsi="宋体"/>
          <w:color w:val="auto"/>
          <w:szCs w:val="21"/>
        </w:rPr>
      </w:pPr>
      <w:r>
        <w:rPr>
          <w:rFonts w:hint="eastAsia" w:ascii="宋体" w:hAnsi="宋体"/>
          <w:color w:val="auto"/>
          <w:szCs w:val="21"/>
        </w:rPr>
        <w:t>（1）被人民法院列入失信被执行人名单且在被执行期内；</w:t>
      </w:r>
    </w:p>
    <w:p w14:paraId="74EE63DA">
      <w:pPr>
        <w:snapToGrid w:val="0"/>
        <w:spacing w:line="380" w:lineRule="exact"/>
        <w:ind w:firstLine="420" w:firstLineChars="200"/>
        <w:rPr>
          <w:rFonts w:ascii="宋体" w:hAnsi="宋体"/>
          <w:color w:val="auto"/>
          <w:szCs w:val="21"/>
        </w:rPr>
      </w:pPr>
      <w:r>
        <w:rPr>
          <w:rFonts w:hint="eastAsia" w:ascii="宋体" w:hAnsi="宋体"/>
          <w:color w:val="auto"/>
          <w:szCs w:val="21"/>
        </w:rPr>
        <w:t>（2）被列入《重庆市工程建设领域采购投标信用管理暂行办法》规定的重点关注名单且记分达到12分且在记分有效期内；</w:t>
      </w:r>
    </w:p>
    <w:p w14:paraId="615F5FA0">
      <w:pPr>
        <w:snapToGrid w:val="0"/>
        <w:spacing w:line="380" w:lineRule="exact"/>
        <w:ind w:firstLine="420" w:firstLineChars="200"/>
        <w:rPr>
          <w:rFonts w:ascii="宋体" w:hAnsi="宋体"/>
          <w:color w:val="auto"/>
          <w:szCs w:val="21"/>
        </w:rPr>
      </w:pPr>
      <w:r>
        <w:rPr>
          <w:rFonts w:hint="eastAsia" w:ascii="宋体" w:hAnsi="宋体"/>
          <w:color w:val="auto"/>
          <w:szCs w:val="21"/>
        </w:rPr>
        <w:t>（3）被列入《重庆市工程建设领域采购投标信用管理暂行办法》规定的黑名单且在记分有效期内；</w:t>
      </w:r>
    </w:p>
    <w:p w14:paraId="44D4F1E8">
      <w:pPr>
        <w:snapToGrid w:val="0"/>
        <w:spacing w:line="380" w:lineRule="exact"/>
        <w:ind w:firstLine="420" w:firstLineChars="200"/>
        <w:rPr>
          <w:rFonts w:ascii="宋体" w:hAnsi="宋体"/>
          <w:color w:val="auto"/>
          <w:szCs w:val="21"/>
        </w:rPr>
      </w:pPr>
      <w:r>
        <w:rPr>
          <w:rFonts w:hint="eastAsia" w:ascii="宋体" w:hAnsi="宋体"/>
          <w:color w:val="auto"/>
          <w:szCs w:val="21"/>
        </w:rPr>
        <w:t>（4）被国家、重庆市（含市或任意区县）有关行政部门处以暂停投标资格行政处罚，且在处罚期限内；</w:t>
      </w:r>
    </w:p>
    <w:p w14:paraId="05C55F41">
      <w:pPr>
        <w:snapToGrid w:val="0"/>
        <w:spacing w:line="380" w:lineRule="exact"/>
        <w:ind w:firstLine="420" w:firstLineChars="200"/>
        <w:rPr>
          <w:rFonts w:ascii="宋体" w:hAnsi="宋体"/>
          <w:color w:val="auto"/>
          <w:szCs w:val="21"/>
        </w:rPr>
      </w:pPr>
      <w:r>
        <w:rPr>
          <w:rFonts w:hint="eastAsia" w:ascii="宋体" w:hAnsi="宋体"/>
          <w:color w:val="auto"/>
          <w:szCs w:val="21"/>
        </w:rPr>
        <w:t>（5）被重庆市住房和城乡建设主管部门暂停在渝承揽新业务且在暂停期内。</w:t>
      </w:r>
    </w:p>
    <w:p w14:paraId="1AEB44F0">
      <w:pPr>
        <w:snapToGrid w:val="0"/>
        <w:spacing w:line="380" w:lineRule="exact"/>
        <w:ind w:firstLine="420" w:firstLineChars="200"/>
        <w:rPr>
          <w:rFonts w:ascii="宋体" w:hAnsi="宋体"/>
          <w:color w:val="auto"/>
          <w:szCs w:val="21"/>
        </w:rPr>
      </w:pPr>
      <w:r>
        <w:rPr>
          <w:rFonts w:hint="eastAsia" w:ascii="宋体" w:hAnsi="宋体"/>
          <w:color w:val="auto"/>
          <w:szCs w:val="21"/>
        </w:rPr>
        <w:t>2、我公司拟派的项目经理按注册建造师的相关规定到岗履职和未被禁止参与投标。</w:t>
      </w:r>
    </w:p>
    <w:p w14:paraId="0A20CF88">
      <w:pPr>
        <w:snapToGrid w:val="0"/>
        <w:spacing w:line="380" w:lineRule="exact"/>
        <w:ind w:firstLine="420" w:firstLineChars="200"/>
        <w:rPr>
          <w:rFonts w:ascii="宋体" w:hAnsi="宋体"/>
          <w:color w:val="auto"/>
          <w:szCs w:val="21"/>
        </w:rPr>
      </w:pPr>
      <w:r>
        <w:rPr>
          <w:rFonts w:hint="eastAsia" w:ascii="宋体" w:hAnsi="宋体"/>
          <w:color w:val="auto"/>
          <w:szCs w:val="21"/>
        </w:rPr>
        <w:t>2.1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22C43C5A">
      <w:pPr>
        <w:snapToGrid w:val="0"/>
        <w:spacing w:line="380" w:lineRule="exact"/>
        <w:ind w:firstLine="420" w:firstLineChars="200"/>
        <w:rPr>
          <w:rFonts w:ascii="宋体" w:hAnsi="宋体"/>
          <w:color w:val="auto"/>
          <w:szCs w:val="21"/>
        </w:rPr>
      </w:pPr>
      <w:r>
        <w:rPr>
          <w:rFonts w:hint="eastAsia" w:ascii="宋体" w:hAnsi="宋体"/>
          <w:color w:val="auto"/>
          <w:szCs w:val="21"/>
        </w:rPr>
        <w:t>2.2拟派的项目经理未被重庆市住房和城乡建设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6A1BE479">
      <w:pPr>
        <w:snapToGrid w:val="0"/>
        <w:spacing w:line="380" w:lineRule="exact"/>
        <w:ind w:firstLine="420" w:firstLineChars="200"/>
        <w:rPr>
          <w:rFonts w:ascii="宋体" w:hAnsi="宋体"/>
          <w:color w:val="auto"/>
          <w:szCs w:val="21"/>
        </w:rPr>
      </w:pPr>
      <w:r>
        <w:rPr>
          <w:rFonts w:hint="eastAsia" w:ascii="宋体" w:hAnsi="宋体"/>
          <w:color w:val="auto"/>
          <w:szCs w:val="21"/>
        </w:rPr>
        <w:t>2.3为保证我公司拟派的项目经理到本项目到岗履职，我公司还承诺：</w:t>
      </w:r>
    </w:p>
    <w:p w14:paraId="469B4B64">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若我公司拟派本项目的项目经理有在其他项目任职的情形的（或有在其他项目中标或拟中标的情形的），应在收到中标通知书后</w:t>
      </w:r>
      <w:r>
        <w:rPr>
          <w:rFonts w:hint="eastAsia" w:ascii="宋体" w:hAnsi="宋体"/>
          <w:color w:val="auto"/>
          <w:szCs w:val="21"/>
          <w:u w:val="single"/>
        </w:rPr>
        <w:t xml:space="preserve"> 14 </w:t>
      </w:r>
      <w:r>
        <w:rPr>
          <w:rFonts w:hint="eastAsia" w:ascii="宋体" w:hAnsi="宋体"/>
          <w:color w:val="auto"/>
          <w:szCs w:val="21"/>
        </w:rPr>
        <w:t>日（7～30日）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采购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2C13F244">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若我公司拟派项目经理放弃在其他项目任职的将提供：①经业主或建设单位同意任职变更的文件；②负责项目监管的行业行政主管部门出具同意任职变更的证明材料。</w:t>
      </w:r>
    </w:p>
    <w:p w14:paraId="3D30052B">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若我公司拟派项目经理放弃在其他项目中标或拟中标的将提供：①经中标或拟中标的其他项目建设单位同意的放弃中标函。</w:t>
      </w:r>
    </w:p>
    <w:p w14:paraId="2701A06A">
      <w:pPr>
        <w:snapToGrid w:val="0"/>
        <w:spacing w:line="380" w:lineRule="exact"/>
        <w:ind w:firstLine="420" w:firstLineChars="200"/>
        <w:rPr>
          <w:rFonts w:ascii="宋体" w:hAnsi="宋体"/>
          <w:color w:val="auto"/>
          <w:szCs w:val="21"/>
        </w:rPr>
      </w:pPr>
      <w:r>
        <w:rPr>
          <w:rFonts w:hint="eastAsia" w:ascii="宋体" w:hAnsi="宋体"/>
          <w:color w:val="auto"/>
          <w:szCs w:val="21"/>
        </w:rPr>
        <w:t>3、我公司若中标，在签订合同之前，将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我公司为其缴纳的养老保险证明材料。中标后不能满足该要求的，取消我公司中标资格，给采购人造成损失的，我公司依法承担违约赔偿责任。</w:t>
      </w:r>
    </w:p>
    <w:p w14:paraId="10E471A5">
      <w:pPr>
        <w:snapToGrid w:val="0"/>
        <w:spacing w:line="380" w:lineRule="exact"/>
        <w:ind w:firstLine="420" w:firstLineChars="200"/>
        <w:rPr>
          <w:rFonts w:ascii="宋体" w:hAnsi="宋体"/>
          <w:color w:val="auto"/>
          <w:szCs w:val="21"/>
        </w:rPr>
      </w:pPr>
      <w:r>
        <w:rPr>
          <w:rFonts w:hint="eastAsia" w:ascii="宋体" w:hAnsi="宋体"/>
          <w:color w:val="auto"/>
          <w:szCs w:val="21"/>
        </w:rPr>
        <w:t>4、我公司在资格审查部分中提供的相关证明材料真实有效，不存在弄虚作假情形。采购人在合同签订前均有权对我司提供的资料（如业绩截图信息等相关证明材料）进行核实，若发现弄虚作假，取消中标资格，并按相关法律法规报采购投标监督部门处理，投标保证金不予退还，我司自愿承担因此造成的相关责任并赔偿相应损失。</w:t>
      </w:r>
    </w:p>
    <w:p w14:paraId="615ED321">
      <w:pPr>
        <w:snapToGrid w:val="0"/>
        <w:spacing w:line="380" w:lineRule="exact"/>
        <w:ind w:firstLine="420" w:firstLineChars="200"/>
        <w:rPr>
          <w:rFonts w:ascii="宋体" w:hAnsi="宋体"/>
          <w:color w:val="auto"/>
          <w:szCs w:val="21"/>
        </w:rPr>
      </w:pPr>
      <w:r>
        <w:rPr>
          <w:rFonts w:hint="eastAsia" w:ascii="宋体" w:hAnsi="宋体"/>
          <w:color w:val="auto"/>
          <w:szCs w:val="21"/>
        </w:rPr>
        <w:t>5、我公司不存在第二章 投标人须知第 1.4.3 项规定的任何一种情形。</w:t>
      </w:r>
    </w:p>
    <w:p w14:paraId="5FD119B0">
      <w:pPr>
        <w:snapToGrid w:val="0"/>
        <w:spacing w:line="380" w:lineRule="exact"/>
        <w:ind w:firstLine="420" w:firstLineChars="200"/>
        <w:rPr>
          <w:rFonts w:ascii="宋体" w:hAnsi="宋体"/>
          <w:color w:val="auto"/>
          <w:szCs w:val="21"/>
        </w:rPr>
      </w:pPr>
      <w:r>
        <w:rPr>
          <w:rFonts w:hint="eastAsia" w:ascii="宋体" w:hAnsi="宋体"/>
          <w:color w:val="auto"/>
          <w:szCs w:val="21"/>
        </w:rPr>
        <w:t>6、我公司的投标文件符合第二章 投标人须知第 1.3.1 项的规定。</w:t>
      </w:r>
    </w:p>
    <w:p w14:paraId="3915884F">
      <w:pPr>
        <w:snapToGrid w:val="0"/>
        <w:spacing w:line="380" w:lineRule="exact"/>
        <w:ind w:firstLine="420" w:firstLineChars="200"/>
        <w:rPr>
          <w:rFonts w:ascii="宋体" w:hAnsi="宋体"/>
          <w:color w:val="auto"/>
          <w:szCs w:val="21"/>
        </w:rPr>
      </w:pPr>
      <w:r>
        <w:rPr>
          <w:rFonts w:hint="eastAsia" w:ascii="宋体" w:hAnsi="宋体"/>
          <w:color w:val="auto"/>
          <w:szCs w:val="21"/>
        </w:rPr>
        <w:t>7、我公司的投标文件符合第四章 合同条款及格式规定，投标文件中没有采购人不能接受的条件。</w:t>
      </w:r>
    </w:p>
    <w:p w14:paraId="6849D336">
      <w:pPr>
        <w:snapToGrid w:val="0"/>
        <w:spacing w:line="380" w:lineRule="exact"/>
        <w:ind w:firstLine="420" w:firstLineChars="200"/>
        <w:rPr>
          <w:rFonts w:ascii="宋体" w:hAnsi="宋体"/>
          <w:color w:val="auto"/>
          <w:szCs w:val="21"/>
        </w:rPr>
      </w:pPr>
      <w:r>
        <w:rPr>
          <w:rFonts w:hint="eastAsia" w:ascii="宋体" w:hAnsi="宋体"/>
          <w:color w:val="auto"/>
          <w:szCs w:val="21"/>
        </w:rPr>
        <w:t>8、我公司的投标文件符合第七章 技术标准和要求（如有）。</w:t>
      </w:r>
    </w:p>
    <w:p w14:paraId="6C6BD217">
      <w:pPr>
        <w:snapToGrid w:val="0"/>
        <w:spacing w:line="380" w:lineRule="exact"/>
        <w:ind w:firstLine="420" w:firstLineChars="200"/>
        <w:rPr>
          <w:rFonts w:ascii="宋体" w:hAnsi="宋体"/>
          <w:color w:val="auto"/>
          <w:szCs w:val="21"/>
        </w:rPr>
      </w:pPr>
    </w:p>
    <w:p w14:paraId="4153A719">
      <w:pPr>
        <w:tabs>
          <w:tab w:val="left" w:pos="4200"/>
          <w:tab w:val="left" w:pos="4620"/>
        </w:tabs>
        <w:autoSpaceDE w:val="0"/>
        <w:autoSpaceDN w:val="0"/>
        <w:adjustRightInd w:val="0"/>
        <w:snapToGrid w:val="0"/>
        <w:spacing w:line="380" w:lineRule="exact"/>
        <w:ind w:firstLine="420" w:firstLineChars="200"/>
        <w:jc w:val="left"/>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13CCB6F5">
      <w:pPr>
        <w:tabs>
          <w:tab w:val="left" w:pos="6300"/>
        </w:tabs>
        <w:autoSpaceDE w:val="0"/>
        <w:autoSpaceDN w:val="0"/>
        <w:adjustRightInd w:val="0"/>
        <w:snapToGrid w:val="0"/>
        <w:spacing w:line="380" w:lineRule="exact"/>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76FDDDA3">
      <w:pPr>
        <w:snapToGrid w:val="0"/>
        <w:spacing w:line="380" w:lineRule="exact"/>
        <w:ind w:firstLine="420" w:firstLineChars="200"/>
        <w:jc w:val="right"/>
        <w:rPr>
          <w:rFonts w:ascii="宋体" w:hAnsi="宋体"/>
          <w:color w:val="auto"/>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7060F97C">
      <w:pPr>
        <w:rPr>
          <w:color w:val="auto"/>
        </w:rPr>
      </w:pPr>
    </w:p>
    <w:p w14:paraId="0B167F83">
      <w:pPr>
        <w:rPr>
          <w:rFonts w:ascii="宋体" w:hAnsi="宋体"/>
          <w:color w:val="auto"/>
          <w:szCs w:val="21"/>
        </w:rPr>
      </w:pPr>
    </w:p>
    <w:p w14:paraId="120E0113">
      <w:pPr>
        <w:rPr>
          <w:rFonts w:ascii="宋体" w:hAnsi="宋体"/>
          <w:szCs w:val="21"/>
        </w:rPr>
      </w:pPr>
    </w:p>
    <w:sectPr>
      <w:headerReference r:id="rId3" w:type="default"/>
      <w:footerReference r:id="rId4" w:type="default"/>
      <w:footerReference r:id="rId5" w:type="even"/>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方正仿宋简体">
    <w:altName w:val="Arial Unicode MS"/>
    <w:panose1 w:val="02000000000000000000"/>
    <w:charset w:val="86"/>
    <w:family w:val="auto"/>
    <w:pitch w:val="default"/>
    <w:sig w:usb0="00000000" w:usb1="00000000" w:usb2="00000012" w:usb3="00000000" w:csb0="00040001"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方正仿宋_GBK">
    <w:panose1 w:val="03000509000000000000"/>
    <w:charset w:val="86"/>
    <w:family w:val="script"/>
    <w:pitch w:val="default"/>
    <w:sig w:usb0="00000001" w:usb1="080E0000" w:usb2="00000000" w:usb3="00000000" w:csb0="00040000" w:csb1="00000000"/>
  </w:font>
  <w:font w:name="Microsoft Sans Serif">
    <w:panose1 w:val="020B0604020202020204"/>
    <w:charset w:val="00"/>
    <w:family w:val="swiss"/>
    <w:pitch w:val="default"/>
    <w:sig w:usb0="E1002AFF" w:usb1="C0000002"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DAE76">
    <w:pPr>
      <w:pStyle w:val="29"/>
      <w:jc w:val="center"/>
    </w:pPr>
    <w:r>
      <w:t xml:space="preserve">- </w:t>
    </w:r>
    <w:r>
      <w:fldChar w:fldCharType="begin"/>
    </w:r>
    <w:r>
      <w:instrText xml:space="preserve"> PAGE </w:instrText>
    </w:r>
    <w:r>
      <w:fldChar w:fldCharType="separate"/>
    </w:r>
    <w:r>
      <w:t>6</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03475">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00446B9E">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3339C">
    <w:pPr>
      <w:pStyle w:val="30"/>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392B9888"/>
    <w:multiLevelType w:val="singleLevel"/>
    <w:tmpl w:val="392B9888"/>
    <w:lvl w:ilvl="0" w:tentative="0">
      <w:start w:val="1"/>
      <w:numFmt w:val="decimal"/>
      <w:suff w:val="nothing"/>
      <w:lvlText w:val="%1、"/>
      <w:lvlJc w:val="left"/>
    </w:lvl>
  </w:abstractNum>
  <w:abstractNum w:abstractNumId="2">
    <w:nsid w:val="44865ECE"/>
    <w:multiLevelType w:val="singleLevel"/>
    <w:tmpl w:val="44865ECE"/>
    <w:lvl w:ilvl="0" w:tentative="0">
      <w:start w:val="2"/>
      <w:numFmt w:val="chineseCounting"/>
      <w:suff w:val="space"/>
      <w:lvlText w:val="第%1章"/>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mirrorMargins w:val="1"/>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mZDRmMzQyOTc1NDBlZGMyNDA3YTlmZWIyYmQzOWIifQ=="/>
  </w:docVars>
  <w:rsids>
    <w:rsidRoot w:val="00172A27"/>
    <w:rsid w:val="00001345"/>
    <w:rsid w:val="00001A09"/>
    <w:rsid w:val="00001B1E"/>
    <w:rsid w:val="000027C8"/>
    <w:rsid w:val="0000285A"/>
    <w:rsid w:val="00002D86"/>
    <w:rsid w:val="00003A3F"/>
    <w:rsid w:val="00005443"/>
    <w:rsid w:val="00005E79"/>
    <w:rsid w:val="000067A3"/>
    <w:rsid w:val="000068FD"/>
    <w:rsid w:val="00014531"/>
    <w:rsid w:val="00014DF1"/>
    <w:rsid w:val="00015333"/>
    <w:rsid w:val="00015C9C"/>
    <w:rsid w:val="0001647D"/>
    <w:rsid w:val="0001650A"/>
    <w:rsid w:val="000165A8"/>
    <w:rsid w:val="0001665A"/>
    <w:rsid w:val="00016AC9"/>
    <w:rsid w:val="00017F2D"/>
    <w:rsid w:val="00020EB1"/>
    <w:rsid w:val="00021228"/>
    <w:rsid w:val="000215EB"/>
    <w:rsid w:val="00022747"/>
    <w:rsid w:val="00022F4C"/>
    <w:rsid w:val="00023AD6"/>
    <w:rsid w:val="00023B7F"/>
    <w:rsid w:val="00024492"/>
    <w:rsid w:val="00025644"/>
    <w:rsid w:val="00025750"/>
    <w:rsid w:val="0002592F"/>
    <w:rsid w:val="00025DD0"/>
    <w:rsid w:val="0002735F"/>
    <w:rsid w:val="000301A4"/>
    <w:rsid w:val="000316FE"/>
    <w:rsid w:val="00031AE7"/>
    <w:rsid w:val="00031F42"/>
    <w:rsid w:val="00032255"/>
    <w:rsid w:val="0003256A"/>
    <w:rsid w:val="00032B15"/>
    <w:rsid w:val="00033076"/>
    <w:rsid w:val="00033847"/>
    <w:rsid w:val="000347EB"/>
    <w:rsid w:val="00034B81"/>
    <w:rsid w:val="00035320"/>
    <w:rsid w:val="0003558C"/>
    <w:rsid w:val="000355D8"/>
    <w:rsid w:val="00035E2F"/>
    <w:rsid w:val="00036551"/>
    <w:rsid w:val="000365B0"/>
    <w:rsid w:val="0003673D"/>
    <w:rsid w:val="00037549"/>
    <w:rsid w:val="00037672"/>
    <w:rsid w:val="000407E9"/>
    <w:rsid w:val="000415C5"/>
    <w:rsid w:val="000418B4"/>
    <w:rsid w:val="000426A8"/>
    <w:rsid w:val="000426EA"/>
    <w:rsid w:val="000434B1"/>
    <w:rsid w:val="000437CD"/>
    <w:rsid w:val="00044029"/>
    <w:rsid w:val="00046EAC"/>
    <w:rsid w:val="000477EA"/>
    <w:rsid w:val="00050329"/>
    <w:rsid w:val="00050A2B"/>
    <w:rsid w:val="00050F21"/>
    <w:rsid w:val="00053B37"/>
    <w:rsid w:val="00053DC4"/>
    <w:rsid w:val="00054784"/>
    <w:rsid w:val="00054C30"/>
    <w:rsid w:val="00054D78"/>
    <w:rsid w:val="00054F64"/>
    <w:rsid w:val="0005572F"/>
    <w:rsid w:val="00057103"/>
    <w:rsid w:val="000578DC"/>
    <w:rsid w:val="00057D13"/>
    <w:rsid w:val="00061927"/>
    <w:rsid w:val="00061B42"/>
    <w:rsid w:val="0006245E"/>
    <w:rsid w:val="00062D58"/>
    <w:rsid w:val="00063C01"/>
    <w:rsid w:val="000640B5"/>
    <w:rsid w:val="000654D9"/>
    <w:rsid w:val="00065C93"/>
    <w:rsid w:val="00065F0A"/>
    <w:rsid w:val="000677BF"/>
    <w:rsid w:val="00067885"/>
    <w:rsid w:val="00067E50"/>
    <w:rsid w:val="0007009B"/>
    <w:rsid w:val="000703E1"/>
    <w:rsid w:val="00070444"/>
    <w:rsid w:val="0007082A"/>
    <w:rsid w:val="00070C09"/>
    <w:rsid w:val="00070DB4"/>
    <w:rsid w:val="00072AEF"/>
    <w:rsid w:val="00072C40"/>
    <w:rsid w:val="0007377C"/>
    <w:rsid w:val="00073E89"/>
    <w:rsid w:val="00074445"/>
    <w:rsid w:val="00074926"/>
    <w:rsid w:val="000753AE"/>
    <w:rsid w:val="0007662F"/>
    <w:rsid w:val="00077788"/>
    <w:rsid w:val="000777DB"/>
    <w:rsid w:val="00080479"/>
    <w:rsid w:val="00080C91"/>
    <w:rsid w:val="00081030"/>
    <w:rsid w:val="00081E58"/>
    <w:rsid w:val="00084056"/>
    <w:rsid w:val="00084085"/>
    <w:rsid w:val="00084154"/>
    <w:rsid w:val="000843AE"/>
    <w:rsid w:val="00084AD3"/>
    <w:rsid w:val="00085720"/>
    <w:rsid w:val="00085DDD"/>
    <w:rsid w:val="00086F23"/>
    <w:rsid w:val="000874F6"/>
    <w:rsid w:val="00090828"/>
    <w:rsid w:val="0009083C"/>
    <w:rsid w:val="00090A07"/>
    <w:rsid w:val="00090FA6"/>
    <w:rsid w:val="00090FD7"/>
    <w:rsid w:val="000925AC"/>
    <w:rsid w:val="000927A3"/>
    <w:rsid w:val="00092F8F"/>
    <w:rsid w:val="0009358F"/>
    <w:rsid w:val="00094007"/>
    <w:rsid w:val="00095189"/>
    <w:rsid w:val="0009559A"/>
    <w:rsid w:val="00095DEF"/>
    <w:rsid w:val="000967E2"/>
    <w:rsid w:val="00096C42"/>
    <w:rsid w:val="00097C86"/>
    <w:rsid w:val="000A0398"/>
    <w:rsid w:val="000A0D3C"/>
    <w:rsid w:val="000A2AF4"/>
    <w:rsid w:val="000A2CA5"/>
    <w:rsid w:val="000A3817"/>
    <w:rsid w:val="000A41FD"/>
    <w:rsid w:val="000A4A55"/>
    <w:rsid w:val="000A569B"/>
    <w:rsid w:val="000A7403"/>
    <w:rsid w:val="000A7D07"/>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4579"/>
    <w:rsid w:val="000C463E"/>
    <w:rsid w:val="000C4E06"/>
    <w:rsid w:val="000C5056"/>
    <w:rsid w:val="000C52AB"/>
    <w:rsid w:val="000C5AA2"/>
    <w:rsid w:val="000C5C93"/>
    <w:rsid w:val="000C5D12"/>
    <w:rsid w:val="000C6F15"/>
    <w:rsid w:val="000C6F2A"/>
    <w:rsid w:val="000C7B08"/>
    <w:rsid w:val="000D1F8D"/>
    <w:rsid w:val="000D21F1"/>
    <w:rsid w:val="000D252E"/>
    <w:rsid w:val="000D2ED1"/>
    <w:rsid w:val="000D3548"/>
    <w:rsid w:val="000D3551"/>
    <w:rsid w:val="000D35B5"/>
    <w:rsid w:val="000D42D0"/>
    <w:rsid w:val="000D5211"/>
    <w:rsid w:val="000D5B51"/>
    <w:rsid w:val="000D65FC"/>
    <w:rsid w:val="000D6B45"/>
    <w:rsid w:val="000D6FB3"/>
    <w:rsid w:val="000D7254"/>
    <w:rsid w:val="000D753D"/>
    <w:rsid w:val="000D76E1"/>
    <w:rsid w:val="000D7823"/>
    <w:rsid w:val="000E0DB3"/>
    <w:rsid w:val="000E10A5"/>
    <w:rsid w:val="000E1407"/>
    <w:rsid w:val="000E1A63"/>
    <w:rsid w:val="000E33CF"/>
    <w:rsid w:val="000E4C3D"/>
    <w:rsid w:val="000E6849"/>
    <w:rsid w:val="000E72B9"/>
    <w:rsid w:val="000F05AB"/>
    <w:rsid w:val="000F091D"/>
    <w:rsid w:val="000F1B68"/>
    <w:rsid w:val="000F2179"/>
    <w:rsid w:val="000F278B"/>
    <w:rsid w:val="000F2955"/>
    <w:rsid w:val="000F2C67"/>
    <w:rsid w:val="000F40C0"/>
    <w:rsid w:val="000F45C8"/>
    <w:rsid w:val="000F4BBE"/>
    <w:rsid w:val="000F50C6"/>
    <w:rsid w:val="000F51EA"/>
    <w:rsid w:val="000F5AD4"/>
    <w:rsid w:val="000F64F2"/>
    <w:rsid w:val="000F7CF5"/>
    <w:rsid w:val="00100471"/>
    <w:rsid w:val="001019D6"/>
    <w:rsid w:val="00101E5F"/>
    <w:rsid w:val="001025D9"/>
    <w:rsid w:val="00102EBB"/>
    <w:rsid w:val="00104353"/>
    <w:rsid w:val="00105F22"/>
    <w:rsid w:val="001062D4"/>
    <w:rsid w:val="00106436"/>
    <w:rsid w:val="001066B1"/>
    <w:rsid w:val="00107DA6"/>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2046B"/>
    <w:rsid w:val="001209B5"/>
    <w:rsid w:val="00120E02"/>
    <w:rsid w:val="001214C7"/>
    <w:rsid w:val="00121F6B"/>
    <w:rsid w:val="001222A9"/>
    <w:rsid w:val="00122362"/>
    <w:rsid w:val="0012259E"/>
    <w:rsid w:val="001228C8"/>
    <w:rsid w:val="00122C0D"/>
    <w:rsid w:val="00122D4D"/>
    <w:rsid w:val="0012481C"/>
    <w:rsid w:val="001269FF"/>
    <w:rsid w:val="001303A1"/>
    <w:rsid w:val="001303B7"/>
    <w:rsid w:val="00131D1B"/>
    <w:rsid w:val="0013230C"/>
    <w:rsid w:val="00132B99"/>
    <w:rsid w:val="00132BF1"/>
    <w:rsid w:val="001330BB"/>
    <w:rsid w:val="00133492"/>
    <w:rsid w:val="001339C6"/>
    <w:rsid w:val="00134327"/>
    <w:rsid w:val="001347A9"/>
    <w:rsid w:val="00134D30"/>
    <w:rsid w:val="00135872"/>
    <w:rsid w:val="00136173"/>
    <w:rsid w:val="00136D1E"/>
    <w:rsid w:val="001377F8"/>
    <w:rsid w:val="00137F99"/>
    <w:rsid w:val="0014023E"/>
    <w:rsid w:val="0014084B"/>
    <w:rsid w:val="001440F2"/>
    <w:rsid w:val="00145318"/>
    <w:rsid w:val="001455A1"/>
    <w:rsid w:val="0014562A"/>
    <w:rsid w:val="00145AE6"/>
    <w:rsid w:val="00145F46"/>
    <w:rsid w:val="001460D9"/>
    <w:rsid w:val="001466BF"/>
    <w:rsid w:val="00146976"/>
    <w:rsid w:val="00146C44"/>
    <w:rsid w:val="001477E7"/>
    <w:rsid w:val="00147FD9"/>
    <w:rsid w:val="00150025"/>
    <w:rsid w:val="00150964"/>
    <w:rsid w:val="00150A27"/>
    <w:rsid w:val="00150F2A"/>
    <w:rsid w:val="00152078"/>
    <w:rsid w:val="001544B9"/>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DEA"/>
    <w:rsid w:val="00172F37"/>
    <w:rsid w:val="00174134"/>
    <w:rsid w:val="001745A8"/>
    <w:rsid w:val="00175461"/>
    <w:rsid w:val="00176A64"/>
    <w:rsid w:val="00176B11"/>
    <w:rsid w:val="00176C6C"/>
    <w:rsid w:val="00177E29"/>
    <w:rsid w:val="00177F0D"/>
    <w:rsid w:val="00177F8E"/>
    <w:rsid w:val="00180176"/>
    <w:rsid w:val="001806AD"/>
    <w:rsid w:val="00181796"/>
    <w:rsid w:val="001818BD"/>
    <w:rsid w:val="0018204B"/>
    <w:rsid w:val="00182F9F"/>
    <w:rsid w:val="00184528"/>
    <w:rsid w:val="00184AF6"/>
    <w:rsid w:val="00184E18"/>
    <w:rsid w:val="001862DC"/>
    <w:rsid w:val="00186401"/>
    <w:rsid w:val="00186442"/>
    <w:rsid w:val="001866A1"/>
    <w:rsid w:val="001923EA"/>
    <w:rsid w:val="00192735"/>
    <w:rsid w:val="00192FBA"/>
    <w:rsid w:val="001930C8"/>
    <w:rsid w:val="00193696"/>
    <w:rsid w:val="00193B46"/>
    <w:rsid w:val="00193EC6"/>
    <w:rsid w:val="0019411E"/>
    <w:rsid w:val="001947FB"/>
    <w:rsid w:val="00195720"/>
    <w:rsid w:val="001958B9"/>
    <w:rsid w:val="00196CDD"/>
    <w:rsid w:val="001975C9"/>
    <w:rsid w:val="001A065E"/>
    <w:rsid w:val="001A189F"/>
    <w:rsid w:val="001A1CB9"/>
    <w:rsid w:val="001A293D"/>
    <w:rsid w:val="001A2A77"/>
    <w:rsid w:val="001A3908"/>
    <w:rsid w:val="001A3A5A"/>
    <w:rsid w:val="001A42B3"/>
    <w:rsid w:val="001A4457"/>
    <w:rsid w:val="001A5133"/>
    <w:rsid w:val="001A5A72"/>
    <w:rsid w:val="001A619F"/>
    <w:rsid w:val="001A6DCB"/>
    <w:rsid w:val="001A773A"/>
    <w:rsid w:val="001A77C4"/>
    <w:rsid w:val="001A7BE0"/>
    <w:rsid w:val="001B15C6"/>
    <w:rsid w:val="001B17D1"/>
    <w:rsid w:val="001B229E"/>
    <w:rsid w:val="001B2416"/>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6DA"/>
    <w:rsid w:val="001D17FB"/>
    <w:rsid w:val="001D1AC7"/>
    <w:rsid w:val="001D2271"/>
    <w:rsid w:val="001D23D8"/>
    <w:rsid w:val="001D251C"/>
    <w:rsid w:val="001D3B3D"/>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C16"/>
    <w:rsid w:val="001E394D"/>
    <w:rsid w:val="001E39AA"/>
    <w:rsid w:val="001E3AAF"/>
    <w:rsid w:val="001E3D84"/>
    <w:rsid w:val="001E4F0E"/>
    <w:rsid w:val="001E594C"/>
    <w:rsid w:val="001E6BFA"/>
    <w:rsid w:val="001E6F59"/>
    <w:rsid w:val="001F07E9"/>
    <w:rsid w:val="001F0D0C"/>
    <w:rsid w:val="001F11F5"/>
    <w:rsid w:val="001F12EE"/>
    <w:rsid w:val="001F24B9"/>
    <w:rsid w:val="001F31AC"/>
    <w:rsid w:val="001F3815"/>
    <w:rsid w:val="001F3DB0"/>
    <w:rsid w:val="001F3E77"/>
    <w:rsid w:val="001F57A7"/>
    <w:rsid w:val="001F5A67"/>
    <w:rsid w:val="001F6B1B"/>
    <w:rsid w:val="001F7FF6"/>
    <w:rsid w:val="00200EBF"/>
    <w:rsid w:val="00203225"/>
    <w:rsid w:val="00204651"/>
    <w:rsid w:val="00204D75"/>
    <w:rsid w:val="002050D7"/>
    <w:rsid w:val="002051B0"/>
    <w:rsid w:val="00205225"/>
    <w:rsid w:val="00205413"/>
    <w:rsid w:val="00205AEF"/>
    <w:rsid w:val="00205D72"/>
    <w:rsid w:val="0020686F"/>
    <w:rsid w:val="002076AA"/>
    <w:rsid w:val="0021027A"/>
    <w:rsid w:val="00210879"/>
    <w:rsid w:val="00212A14"/>
    <w:rsid w:val="00214D7A"/>
    <w:rsid w:val="00214D88"/>
    <w:rsid w:val="00215286"/>
    <w:rsid w:val="00215906"/>
    <w:rsid w:val="002159C6"/>
    <w:rsid w:val="00215A2A"/>
    <w:rsid w:val="00215CE0"/>
    <w:rsid w:val="00215DA1"/>
    <w:rsid w:val="00216156"/>
    <w:rsid w:val="0021687E"/>
    <w:rsid w:val="002168E9"/>
    <w:rsid w:val="0021733C"/>
    <w:rsid w:val="002207FA"/>
    <w:rsid w:val="00221627"/>
    <w:rsid w:val="00221E51"/>
    <w:rsid w:val="00221F8E"/>
    <w:rsid w:val="00221FE1"/>
    <w:rsid w:val="002220C5"/>
    <w:rsid w:val="00222689"/>
    <w:rsid w:val="00223852"/>
    <w:rsid w:val="00223ADA"/>
    <w:rsid w:val="002244C0"/>
    <w:rsid w:val="002245B9"/>
    <w:rsid w:val="00224A21"/>
    <w:rsid w:val="00225099"/>
    <w:rsid w:val="002250CA"/>
    <w:rsid w:val="0022607A"/>
    <w:rsid w:val="00226152"/>
    <w:rsid w:val="00226456"/>
    <w:rsid w:val="002264D0"/>
    <w:rsid w:val="00226703"/>
    <w:rsid w:val="002270BE"/>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76F0"/>
    <w:rsid w:val="00247DA6"/>
    <w:rsid w:val="00251F81"/>
    <w:rsid w:val="0025253B"/>
    <w:rsid w:val="002526AC"/>
    <w:rsid w:val="00252997"/>
    <w:rsid w:val="002534E3"/>
    <w:rsid w:val="00253DE9"/>
    <w:rsid w:val="00254512"/>
    <w:rsid w:val="00254725"/>
    <w:rsid w:val="002555DD"/>
    <w:rsid w:val="002555E1"/>
    <w:rsid w:val="00255C94"/>
    <w:rsid w:val="00257031"/>
    <w:rsid w:val="00257CB4"/>
    <w:rsid w:val="002603C8"/>
    <w:rsid w:val="0026138C"/>
    <w:rsid w:val="00262012"/>
    <w:rsid w:val="00263DE8"/>
    <w:rsid w:val="0026466E"/>
    <w:rsid w:val="00264D7B"/>
    <w:rsid w:val="00264EBF"/>
    <w:rsid w:val="00265DD9"/>
    <w:rsid w:val="002667EA"/>
    <w:rsid w:val="00266ABA"/>
    <w:rsid w:val="00266C56"/>
    <w:rsid w:val="00267A99"/>
    <w:rsid w:val="002702C1"/>
    <w:rsid w:val="00271889"/>
    <w:rsid w:val="0027264B"/>
    <w:rsid w:val="002736CE"/>
    <w:rsid w:val="002740E8"/>
    <w:rsid w:val="002742E2"/>
    <w:rsid w:val="00274CFD"/>
    <w:rsid w:val="00274ED6"/>
    <w:rsid w:val="002752C6"/>
    <w:rsid w:val="002755EF"/>
    <w:rsid w:val="0027586B"/>
    <w:rsid w:val="00276BC6"/>
    <w:rsid w:val="00276C59"/>
    <w:rsid w:val="0027792D"/>
    <w:rsid w:val="00281357"/>
    <w:rsid w:val="00282A25"/>
    <w:rsid w:val="00282F72"/>
    <w:rsid w:val="002830A8"/>
    <w:rsid w:val="00283515"/>
    <w:rsid w:val="00283721"/>
    <w:rsid w:val="00283BAD"/>
    <w:rsid w:val="0028466A"/>
    <w:rsid w:val="002846E8"/>
    <w:rsid w:val="002849BD"/>
    <w:rsid w:val="00284F98"/>
    <w:rsid w:val="0028561D"/>
    <w:rsid w:val="00285FF7"/>
    <w:rsid w:val="002860F1"/>
    <w:rsid w:val="002907E7"/>
    <w:rsid w:val="00291148"/>
    <w:rsid w:val="00292278"/>
    <w:rsid w:val="00295263"/>
    <w:rsid w:val="0029555F"/>
    <w:rsid w:val="00295590"/>
    <w:rsid w:val="0029631A"/>
    <w:rsid w:val="00297BEE"/>
    <w:rsid w:val="002A05DC"/>
    <w:rsid w:val="002A0F20"/>
    <w:rsid w:val="002A104F"/>
    <w:rsid w:val="002A13A2"/>
    <w:rsid w:val="002A3274"/>
    <w:rsid w:val="002A32D9"/>
    <w:rsid w:val="002A3CF1"/>
    <w:rsid w:val="002A59B9"/>
    <w:rsid w:val="002A5DA4"/>
    <w:rsid w:val="002A5E8D"/>
    <w:rsid w:val="002A68CD"/>
    <w:rsid w:val="002A7905"/>
    <w:rsid w:val="002B13CB"/>
    <w:rsid w:val="002B14EA"/>
    <w:rsid w:val="002B1854"/>
    <w:rsid w:val="002B1A20"/>
    <w:rsid w:val="002B1A51"/>
    <w:rsid w:val="002B2AE1"/>
    <w:rsid w:val="002B3159"/>
    <w:rsid w:val="002B3A8F"/>
    <w:rsid w:val="002B3E1F"/>
    <w:rsid w:val="002B4646"/>
    <w:rsid w:val="002B5324"/>
    <w:rsid w:val="002B5C76"/>
    <w:rsid w:val="002B5C91"/>
    <w:rsid w:val="002B5F4B"/>
    <w:rsid w:val="002B6603"/>
    <w:rsid w:val="002B6F5F"/>
    <w:rsid w:val="002C0828"/>
    <w:rsid w:val="002C124B"/>
    <w:rsid w:val="002C1A0B"/>
    <w:rsid w:val="002C33AF"/>
    <w:rsid w:val="002C370D"/>
    <w:rsid w:val="002C3B75"/>
    <w:rsid w:val="002C450A"/>
    <w:rsid w:val="002C47E9"/>
    <w:rsid w:val="002C4E26"/>
    <w:rsid w:val="002C4E6C"/>
    <w:rsid w:val="002C5092"/>
    <w:rsid w:val="002C54BF"/>
    <w:rsid w:val="002C5519"/>
    <w:rsid w:val="002C59CD"/>
    <w:rsid w:val="002C67E5"/>
    <w:rsid w:val="002C6D0D"/>
    <w:rsid w:val="002C6F5D"/>
    <w:rsid w:val="002D0639"/>
    <w:rsid w:val="002D08F4"/>
    <w:rsid w:val="002D097F"/>
    <w:rsid w:val="002D0D0C"/>
    <w:rsid w:val="002D1258"/>
    <w:rsid w:val="002D13E8"/>
    <w:rsid w:val="002D1976"/>
    <w:rsid w:val="002D2807"/>
    <w:rsid w:val="002D2D97"/>
    <w:rsid w:val="002D3BDF"/>
    <w:rsid w:val="002D426C"/>
    <w:rsid w:val="002D4721"/>
    <w:rsid w:val="002D472F"/>
    <w:rsid w:val="002D4803"/>
    <w:rsid w:val="002D6CDA"/>
    <w:rsid w:val="002D6EFD"/>
    <w:rsid w:val="002E0D86"/>
    <w:rsid w:val="002E16AE"/>
    <w:rsid w:val="002E1795"/>
    <w:rsid w:val="002E1871"/>
    <w:rsid w:val="002E1A25"/>
    <w:rsid w:val="002E1C38"/>
    <w:rsid w:val="002E2633"/>
    <w:rsid w:val="002E3521"/>
    <w:rsid w:val="002E37F4"/>
    <w:rsid w:val="002E4286"/>
    <w:rsid w:val="002E43A5"/>
    <w:rsid w:val="002E5665"/>
    <w:rsid w:val="002E6D4B"/>
    <w:rsid w:val="002E7318"/>
    <w:rsid w:val="002E7617"/>
    <w:rsid w:val="002E7C56"/>
    <w:rsid w:val="002E7D8E"/>
    <w:rsid w:val="002F0408"/>
    <w:rsid w:val="002F06FF"/>
    <w:rsid w:val="002F210E"/>
    <w:rsid w:val="002F27B6"/>
    <w:rsid w:val="002F2B50"/>
    <w:rsid w:val="002F3027"/>
    <w:rsid w:val="002F3CDE"/>
    <w:rsid w:val="002F405F"/>
    <w:rsid w:val="002F491B"/>
    <w:rsid w:val="002F4953"/>
    <w:rsid w:val="002F4ACB"/>
    <w:rsid w:val="002F7430"/>
    <w:rsid w:val="002F777B"/>
    <w:rsid w:val="00300191"/>
    <w:rsid w:val="00300414"/>
    <w:rsid w:val="00300578"/>
    <w:rsid w:val="00300AAF"/>
    <w:rsid w:val="00300F8D"/>
    <w:rsid w:val="00304FC4"/>
    <w:rsid w:val="003059F4"/>
    <w:rsid w:val="0030689E"/>
    <w:rsid w:val="003068D7"/>
    <w:rsid w:val="003071B2"/>
    <w:rsid w:val="00307599"/>
    <w:rsid w:val="003075B8"/>
    <w:rsid w:val="00310399"/>
    <w:rsid w:val="00310D8D"/>
    <w:rsid w:val="0031445A"/>
    <w:rsid w:val="003149F6"/>
    <w:rsid w:val="00315977"/>
    <w:rsid w:val="00316368"/>
    <w:rsid w:val="003174B4"/>
    <w:rsid w:val="0032047A"/>
    <w:rsid w:val="00320939"/>
    <w:rsid w:val="00320F9D"/>
    <w:rsid w:val="00321B76"/>
    <w:rsid w:val="00321BBE"/>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2EE0"/>
    <w:rsid w:val="00333E90"/>
    <w:rsid w:val="00334C69"/>
    <w:rsid w:val="00334E81"/>
    <w:rsid w:val="00335E6A"/>
    <w:rsid w:val="00337322"/>
    <w:rsid w:val="0034006A"/>
    <w:rsid w:val="00340CDE"/>
    <w:rsid w:val="0034133E"/>
    <w:rsid w:val="003415A1"/>
    <w:rsid w:val="00341D9F"/>
    <w:rsid w:val="00342048"/>
    <w:rsid w:val="00342994"/>
    <w:rsid w:val="00342F54"/>
    <w:rsid w:val="00343735"/>
    <w:rsid w:val="00343803"/>
    <w:rsid w:val="00343F87"/>
    <w:rsid w:val="00345DCC"/>
    <w:rsid w:val="00346101"/>
    <w:rsid w:val="00346CAB"/>
    <w:rsid w:val="00347C24"/>
    <w:rsid w:val="00347EB1"/>
    <w:rsid w:val="003508F6"/>
    <w:rsid w:val="00351DDB"/>
    <w:rsid w:val="00351FF3"/>
    <w:rsid w:val="00352B90"/>
    <w:rsid w:val="00353231"/>
    <w:rsid w:val="00353F39"/>
    <w:rsid w:val="00354D6E"/>
    <w:rsid w:val="0035514C"/>
    <w:rsid w:val="00356084"/>
    <w:rsid w:val="00356522"/>
    <w:rsid w:val="003568C0"/>
    <w:rsid w:val="003569AC"/>
    <w:rsid w:val="00356E07"/>
    <w:rsid w:val="0036056A"/>
    <w:rsid w:val="003642D2"/>
    <w:rsid w:val="0036450C"/>
    <w:rsid w:val="00364574"/>
    <w:rsid w:val="0036468B"/>
    <w:rsid w:val="0036546D"/>
    <w:rsid w:val="003664C3"/>
    <w:rsid w:val="003675A1"/>
    <w:rsid w:val="0036773D"/>
    <w:rsid w:val="00367FEB"/>
    <w:rsid w:val="003711C1"/>
    <w:rsid w:val="00371BC3"/>
    <w:rsid w:val="00371CBE"/>
    <w:rsid w:val="003721BA"/>
    <w:rsid w:val="00372C24"/>
    <w:rsid w:val="00372C38"/>
    <w:rsid w:val="00372C9E"/>
    <w:rsid w:val="0037332F"/>
    <w:rsid w:val="00373AD4"/>
    <w:rsid w:val="0037428F"/>
    <w:rsid w:val="00374539"/>
    <w:rsid w:val="003747BD"/>
    <w:rsid w:val="00374DD5"/>
    <w:rsid w:val="0037591D"/>
    <w:rsid w:val="00376E05"/>
    <w:rsid w:val="0037720A"/>
    <w:rsid w:val="003774FC"/>
    <w:rsid w:val="00377F5B"/>
    <w:rsid w:val="0038006D"/>
    <w:rsid w:val="00381EB9"/>
    <w:rsid w:val="0038206D"/>
    <w:rsid w:val="00383A81"/>
    <w:rsid w:val="00383D6A"/>
    <w:rsid w:val="00384693"/>
    <w:rsid w:val="00385DC1"/>
    <w:rsid w:val="00385F02"/>
    <w:rsid w:val="0038641A"/>
    <w:rsid w:val="00386DED"/>
    <w:rsid w:val="0038719C"/>
    <w:rsid w:val="00390E97"/>
    <w:rsid w:val="0039125A"/>
    <w:rsid w:val="003924AE"/>
    <w:rsid w:val="00392E76"/>
    <w:rsid w:val="00393BF6"/>
    <w:rsid w:val="00393F1C"/>
    <w:rsid w:val="00393F6E"/>
    <w:rsid w:val="00394276"/>
    <w:rsid w:val="00394BA4"/>
    <w:rsid w:val="0039597A"/>
    <w:rsid w:val="0039697D"/>
    <w:rsid w:val="00396DAE"/>
    <w:rsid w:val="0039750E"/>
    <w:rsid w:val="00397618"/>
    <w:rsid w:val="00397731"/>
    <w:rsid w:val="00397EA7"/>
    <w:rsid w:val="003A1350"/>
    <w:rsid w:val="003A17CE"/>
    <w:rsid w:val="003A1920"/>
    <w:rsid w:val="003A1A61"/>
    <w:rsid w:val="003A1B4C"/>
    <w:rsid w:val="003A2C3E"/>
    <w:rsid w:val="003A2D49"/>
    <w:rsid w:val="003A3487"/>
    <w:rsid w:val="003A5228"/>
    <w:rsid w:val="003A583A"/>
    <w:rsid w:val="003A591A"/>
    <w:rsid w:val="003A5F2B"/>
    <w:rsid w:val="003A722D"/>
    <w:rsid w:val="003B01FB"/>
    <w:rsid w:val="003B0557"/>
    <w:rsid w:val="003B0E02"/>
    <w:rsid w:val="003B0FDA"/>
    <w:rsid w:val="003B1656"/>
    <w:rsid w:val="003B231B"/>
    <w:rsid w:val="003B3157"/>
    <w:rsid w:val="003B3FC0"/>
    <w:rsid w:val="003B4786"/>
    <w:rsid w:val="003B56E2"/>
    <w:rsid w:val="003B5926"/>
    <w:rsid w:val="003B602A"/>
    <w:rsid w:val="003B71D0"/>
    <w:rsid w:val="003B7450"/>
    <w:rsid w:val="003B767F"/>
    <w:rsid w:val="003C2C74"/>
    <w:rsid w:val="003C3055"/>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20D"/>
    <w:rsid w:val="003E64DA"/>
    <w:rsid w:val="003E6F86"/>
    <w:rsid w:val="003F111F"/>
    <w:rsid w:val="003F1441"/>
    <w:rsid w:val="003F1A7F"/>
    <w:rsid w:val="003F330F"/>
    <w:rsid w:val="003F36C9"/>
    <w:rsid w:val="003F43BB"/>
    <w:rsid w:val="003F441E"/>
    <w:rsid w:val="003F4A7C"/>
    <w:rsid w:val="003F5144"/>
    <w:rsid w:val="003F584D"/>
    <w:rsid w:val="003F5DC0"/>
    <w:rsid w:val="003F73B2"/>
    <w:rsid w:val="00400538"/>
    <w:rsid w:val="0040067C"/>
    <w:rsid w:val="004011E6"/>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10BE9"/>
    <w:rsid w:val="004117D4"/>
    <w:rsid w:val="00411C6C"/>
    <w:rsid w:val="004133BA"/>
    <w:rsid w:val="00413638"/>
    <w:rsid w:val="00413B4D"/>
    <w:rsid w:val="00413ED4"/>
    <w:rsid w:val="00414B0A"/>
    <w:rsid w:val="00414B6F"/>
    <w:rsid w:val="00414DD6"/>
    <w:rsid w:val="004159EE"/>
    <w:rsid w:val="0041663C"/>
    <w:rsid w:val="00417D6B"/>
    <w:rsid w:val="00422EB1"/>
    <w:rsid w:val="00422F2E"/>
    <w:rsid w:val="0042336B"/>
    <w:rsid w:val="004237E6"/>
    <w:rsid w:val="00424573"/>
    <w:rsid w:val="00425258"/>
    <w:rsid w:val="0042547A"/>
    <w:rsid w:val="0042551A"/>
    <w:rsid w:val="00425FAD"/>
    <w:rsid w:val="00426C16"/>
    <w:rsid w:val="00426CCD"/>
    <w:rsid w:val="00426F2C"/>
    <w:rsid w:val="00426F58"/>
    <w:rsid w:val="0042720C"/>
    <w:rsid w:val="004307C5"/>
    <w:rsid w:val="00430AD8"/>
    <w:rsid w:val="00430E04"/>
    <w:rsid w:val="00433728"/>
    <w:rsid w:val="004338FB"/>
    <w:rsid w:val="00433CB6"/>
    <w:rsid w:val="00433E54"/>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AA8"/>
    <w:rsid w:val="00444AFB"/>
    <w:rsid w:val="00444F38"/>
    <w:rsid w:val="00445781"/>
    <w:rsid w:val="004468EF"/>
    <w:rsid w:val="00446F78"/>
    <w:rsid w:val="00450535"/>
    <w:rsid w:val="00450551"/>
    <w:rsid w:val="00450E73"/>
    <w:rsid w:val="00451333"/>
    <w:rsid w:val="00451AD8"/>
    <w:rsid w:val="00452BA8"/>
    <w:rsid w:val="00452C04"/>
    <w:rsid w:val="00452C3B"/>
    <w:rsid w:val="00453AEE"/>
    <w:rsid w:val="0045516B"/>
    <w:rsid w:val="00455783"/>
    <w:rsid w:val="00455C4E"/>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7813"/>
    <w:rsid w:val="004704EB"/>
    <w:rsid w:val="00470B02"/>
    <w:rsid w:val="00470D29"/>
    <w:rsid w:val="004738CC"/>
    <w:rsid w:val="00473922"/>
    <w:rsid w:val="00473BE0"/>
    <w:rsid w:val="004742F2"/>
    <w:rsid w:val="004749A9"/>
    <w:rsid w:val="00474B56"/>
    <w:rsid w:val="00474B70"/>
    <w:rsid w:val="004750DD"/>
    <w:rsid w:val="0047645E"/>
    <w:rsid w:val="004779E1"/>
    <w:rsid w:val="00477CA6"/>
    <w:rsid w:val="00477F89"/>
    <w:rsid w:val="0048030D"/>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7B07"/>
    <w:rsid w:val="00497F32"/>
    <w:rsid w:val="004A0046"/>
    <w:rsid w:val="004A14A9"/>
    <w:rsid w:val="004A195A"/>
    <w:rsid w:val="004A2078"/>
    <w:rsid w:val="004A2959"/>
    <w:rsid w:val="004A3BE1"/>
    <w:rsid w:val="004A45C0"/>
    <w:rsid w:val="004A46D2"/>
    <w:rsid w:val="004A4B79"/>
    <w:rsid w:val="004A5051"/>
    <w:rsid w:val="004A7153"/>
    <w:rsid w:val="004A7948"/>
    <w:rsid w:val="004A7ADA"/>
    <w:rsid w:val="004B04F6"/>
    <w:rsid w:val="004B0657"/>
    <w:rsid w:val="004B134A"/>
    <w:rsid w:val="004B147C"/>
    <w:rsid w:val="004B256E"/>
    <w:rsid w:val="004B2D58"/>
    <w:rsid w:val="004B53F7"/>
    <w:rsid w:val="004B709E"/>
    <w:rsid w:val="004C0B6B"/>
    <w:rsid w:val="004C0FA9"/>
    <w:rsid w:val="004C1884"/>
    <w:rsid w:val="004C1AFC"/>
    <w:rsid w:val="004C3A86"/>
    <w:rsid w:val="004C52F8"/>
    <w:rsid w:val="004C552D"/>
    <w:rsid w:val="004C5E6B"/>
    <w:rsid w:val="004C6663"/>
    <w:rsid w:val="004C70BF"/>
    <w:rsid w:val="004D011B"/>
    <w:rsid w:val="004D0B12"/>
    <w:rsid w:val="004D0F84"/>
    <w:rsid w:val="004D1CA0"/>
    <w:rsid w:val="004D23CC"/>
    <w:rsid w:val="004D2C26"/>
    <w:rsid w:val="004D3D5B"/>
    <w:rsid w:val="004D51D6"/>
    <w:rsid w:val="004D62A4"/>
    <w:rsid w:val="004D646A"/>
    <w:rsid w:val="004D6CB7"/>
    <w:rsid w:val="004D7170"/>
    <w:rsid w:val="004D786D"/>
    <w:rsid w:val="004D79D7"/>
    <w:rsid w:val="004E104C"/>
    <w:rsid w:val="004E20A4"/>
    <w:rsid w:val="004E25EB"/>
    <w:rsid w:val="004E2FF4"/>
    <w:rsid w:val="004E37B5"/>
    <w:rsid w:val="004E3C1F"/>
    <w:rsid w:val="004E42F1"/>
    <w:rsid w:val="004E4817"/>
    <w:rsid w:val="004E5189"/>
    <w:rsid w:val="004E5C08"/>
    <w:rsid w:val="004E61F6"/>
    <w:rsid w:val="004E6478"/>
    <w:rsid w:val="004E670B"/>
    <w:rsid w:val="004E6B0B"/>
    <w:rsid w:val="004E755F"/>
    <w:rsid w:val="004E79D0"/>
    <w:rsid w:val="004F18EA"/>
    <w:rsid w:val="004F210D"/>
    <w:rsid w:val="004F22A2"/>
    <w:rsid w:val="004F2678"/>
    <w:rsid w:val="004F2D46"/>
    <w:rsid w:val="004F2DD9"/>
    <w:rsid w:val="004F3119"/>
    <w:rsid w:val="004F4D07"/>
    <w:rsid w:val="004F58BD"/>
    <w:rsid w:val="004F6936"/>
    <w:rsid w:val="004F6BD5"/>
    <w:rsid w:val="004F74C3"/>
    <w:rsid w:val="004F7829"/>
    <w:rsid w:val="004F7B94"/>
    <w:rsid w:val="00500041"/>
    <w:rsid w:val="00500514"/>
    <w:rsid w:val="005005B7"/>
    <w:rsid w:val="0050073E"/>
    <w:rsid w:val="0050188D"/>
    <w:rsid w:val="0050241E"/>
    <w:rsid w:val="0050246E"/>
    <w:rsid w:val="005024B2"/>
    <w:rsid w:val="005041DF"/>
    <w:rsid w:val="00504207"/>
    <w:rsid w:val="005049DE"/>
    <w:rsid w:val="00504DDF"/>
    <w:rsid w:val="00505034"/>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025"/>
    <w:rsid w:val="00515A9C"/>
    <w:rsid w:val="0051682C"/>
    <w:rsid w:val="00516A7C"/>
    <w:rsid w:val="00516B9F"/>
    <w:rsid w:val="00517675"/>
    <w:rsid w:val="0052022B"/>
    <w:rsid w:val="005202FC"/>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0C3D"/>
    <w:rsid w:val="0053229A"/>
    <w:rsid w:val="0053293B"/>
    <w:rsid w:val="005333D5"/>
    <w:rsid w:val="00533882"/>
    <w:rsid w:val="00533A0E"/>
    <w:rsid w:val="005341E3"/>
    <w:rsid w:val="0053428F"/>
    <w:rsid w:val="005348C6"/>
    <w:rsid w:val="00536682"/>
    <w:rsid w:val="005369A9"/>
    <w:rsid w:val="005374EA"/>
    <w:rsid w:val="00537BE1"/>
    <w:rsid w:val="005405A8"/>
    <w:rsid w:val="00540675"/>
    <w:rsid w:val="005413F9"/>
    <w:rsid w:val="005417DF"/>
    <w:rsid w:val="00541A86"/>
    <w:rsid w:val="0054235C"/>
    <w:rsid w:val="0054329C"/>
    <w:rsid w:val="00543AC4"/>
    <w:rsid w:val="00545811"/>
    <w:rsid w:val="00545BF2"/>
    <w:rsid w:val="0054791B"/>
    <w:rsid w:val="00550520"/>
    <w:rsid w:val="00551A81"/>
    <w:rsid w:val="0055250D"/>
    <w:rsid w:val="00552BFC"/>
    <w:rsid w:val="00554298"/>
    <w:rsid w:val="00555BE1"/>
    <w:rsid w:val="0055676A"/>
    <w:rsid w:val="005567C4"/>
    <w:rsid w:val="00557913"/>
    <w:rsid w:val="00560AC2"/>
    <w:rsid w:val="00560BB3"/>
    <w:rsid w:val="00561FA5"/>
    <w:rsid w:val="00562C60"/>
    <w:rsid w:val="00563644"/>
    <w:rsid w:val="00563773"/>
    <w:rsid w:val="00563AEA"/>
    <w:rsid w:val="00563DD0"/>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597C"/>
    <w:rsid w:val="0057633C"/>
    <w:rsid w:val="005766A1"/>
    <w:rsid w:val="0057676F"/>
    <w:rsid w:val="005769A2"/>
    <w:rsid w:val="00576C7A"/>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90A"/>
    <w:rsid w:val="00590842"/>
    <w:rsid w:val="00590CDB"/>
    <w:rsid w:val="00591928"/>
    <w:rsid w:val="00591A75"/>
    <w:rsid w:val="00591D65"/>
    <w:rsid w:val="00591E4B"/>
    <w:rsid w:val="00592A43"/>
    <w:rsid w:val="00592E82"/>
    <w:rsid w:val="00593350"/>
    <w:rsid w:val="00593DC3"/>
    <w:rsid w:val="00593E6C"/>
    <w:rsid w:val="0059433A"/>
    <w:rsid w:val="00594ADE"/>
    <w:rsid w:val="00594ECA"/>
    <w:rsid w:val="00595505"/>
    <w:rsid w:val="005964EC"/>
    <w:rsid w:val="00596AB7"/>
    <w:rsid w:val="00596D1F"/>
    <w:rsid w:val="00597CA5"/>
    <w:rsid w:val="00597F04"/>
    <w:rsid w:val="005A1261"/>
    <w:rsid w:val="005A1DB5"/>
    <w:rsid w:val="005A406C"/>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F87"/>
    <w:rsid w:val="005B542D"/>
    <w:rsid w:val="005B5D9A"/>
    <w:rsid w:val="005B677B"/>
    <w:rsid w:val="005B7D9A"/>
    <w:rsid w:val="005C1A57"/>
    <w:rsid w:val="005C1C8B"/>
    <w:rsid w:val="005C2504"/>
    <w:rsid w:val="005C354E"/>
    <w:rsid w:val="005C41C5"/>
    <w:rsid w:val="005C5B5C"/>
    <w:rsid w:val="005D1036"/>
    <w:rsid w:val="005D1A4D"/>
    <w:rsid w:val="005D213D"/>
    <w:rsid w:val="005D22BA"/>
    <w:rsid w:val="005D2E9B"/>
    <w:rsid w:val="005D35F9"/>
    <w:rsid w:val="005D4D8B"/>
    <w:rsid w:val="005D5BBA"/>
    <w:rsid w:val="005D629A"/>
    <w:rsid w:val="005D7183"/>
    <w:rsid w:val="005E0730"/>
    <w:rsid w:val="005E0759"/>
    <w:rsid w:val="005E0A8E"/>
    <w:rsid w:val="005E124F"/>
    <w:rsid w:val="005E16C5"/>
    <w:rsid w:val="005E1D48"/>
    <w:rsid w:val="005E1FF0"/>
    <w:rsid w:val="005E26FB"/>
    <w:rsid w:val="005E2B27"/>
    <w:rsid w:val="005E2F31"/>
    <w:rsid w:val="005E3EB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DE4"/>
    <w:rsid w:val="006002F0"/>
    <w:rsid w:val="0060077C"/>
    <w:rsid w:val="00600CD2"/>
    <w:rsid w:val="00600F4E"/>
    <w:rsid w:val="00601949"/>
    <w:rsid w:val="00602468"/>
    <w:rsid w:val="006028D2"/>
    <w:rsid w:val="006042C2"/>
    <w:rsid w:val="00605D03"/>
    <w:rsid w:val="00605DDB"/>
    <w:rsid w:val="006061FB"/>
    <w:rsid w:val="00606EC0"/>
    <w:rsid w:val="00607AE9"/>
    <w:rsid w:val="00607B18"/>
    <w:rsid w:val="00610ED1"/>
    <w:rsid w:val="006112E4"/>
    <w:rsid w:val="006132AB"/>
    <w:rsid w:val="00613EE3"/>
    <w:rsid w:val="00613FE1"/>
    <w:rsid w:val="006140DF"/>
    <w:rsid w:val="00614799"/>
    <w:rsid w:val="00615DDA"/>
    <w:rsid w:val="006167A3"/>
    <w:rsid w:val="00616DC1"/>
    <w:rsid w:val="00616DC5"/>
    <w:rsid w:val="006176A7"/>
    <w:rsid w:val="00621192"/>
    <w:rsid w:val="00621B85"/>
    <w:rsid w:val="0062208C"/>
    <w:rsid w:val="0062287B"/>
    <w:rsid w:val="00623C2F"/>
    <w:rsid w:val="006242A7"/>
    <w:rsid w:val="0062464B"/>
    <w:rsid w:val="00624C04"/>
    <w:rsid w:val="00625243"/>
    <w:rsid w:val="00626A94"/>
    <w:rsid w:val="0062773D"/>
    <w:rsid w:val="0062794E"/>
    <w:rsid w:val="00627EF5"/>
    <w:rsid w:val="006303C8"/>
    <w:rsid w:val="0063110A"/>
    <w:rsid w:val="006313F2"/>
    <w:rsid w:val="006317AC"/>
    <w:rsid w:val="0063297F"/>
    <w:rsid w:val="006365A4"/>
    <w:rsid w:val="0063688A"/>
    <w:rsid w:val="00637C91"/>
    <w:rsid w:val="00640A23"/>
    <w:rsid w:val="00641343"/>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7CD"/>
    <w:rsid w:val="00651C3D"/>
    <w:rsid w:val="00651CC5"/>
    <w:rsid w:val="00651DFD"/>
    <w:rsid w:val="00652286"/>
    <w:rsid w:val="006527CC"/>
    <w:rsid w:val="00652B48"/>
    <w:rsid w:val="00653B6F"/>
    <w:rsid w:val="006549EA"/>
    <w:rsid w:val="00654A45"/>
    <w:rsid w:val="00654D9A"/>
    <w:rsid w:val="0065537B"/>
    <w:rsid w:val="006555FB"/>
    <w:rsid w:val="0065672C"/>
    <w:rsid w:val="0065683F"/>
    <w:rsid w:val="00656D03"/>
    <w:rsid w:val="0066042B"/>
    <w:rsid w:val="00660879"/>
    <w:rsid w:val="00661519"/>
    <w:rsid w:val="0066358C"/>
    <w:rsid w:val="006650EA"/>
    <w:rsid w:val="00665508"/>
    <w:rsid w:val="0066562C"/>
    <w:rsid w:val="00666821"/>
    <w:rsid w:val="00670350"/>
    <w:rsid w:val="00670441"/>
    <w:rsid w:val="006718E5"/>
    <w:rsid w:val="00671A10"/>
    <w:rsid w:val="00672CE5"/>
    <w:rsid w:val="00673818"/>
    <w:rsid w:val="00674103"/>
    <w:rsid w:val="00674F36"/>
    <w:rsid w:val="00674FDB"/>
    <w:rsid w:val="006753A4"/>
    <w:rsid w:val="00675DD9"/>
    <w:rsid w:val="006760D5"/>
    <w:rsid w:val="0067643C"/>
    <w:rsid w:val="00676C1D"/>
    <w:rsid w:val="00677D27"/>
    <w:rsid w:val="006800ED"/>
    <w:rsid w:val="0068077A"/>
    <w:rsid w:val="006809F0"/>
    <w:rsid w:val="006811ED"/>
    <w:rsid w:val="00682E75"/>
    <w:rsid w:val="006839A4"/>
    <w:rsid w:val="00683D0B"/>
    <w:rsid w:val="00683F5A"/>
    <w:rsid w:val="00685501"/>
    <w:rsid w:val="0068641B"/>
    <w:rsid w:val="006869E5"/>
    <w:rsid w:val="0068752F"/>
    <w:rsid w:val="00691169"/>
    <w:rsid w:val="00691E55"/>
    <w:rsid w:val="006926BE"/>
    <w:rsid w:val="006940C2"/>
    <w:rsid w:val="00694876"/>
    <w:rsid w:val="00694A8B"/>
    <w:rsid w:val="00695AB4"/>
    <w:rsid w:val="00696FBE"/>
    <w:rsid w:val="00697459"/>
    <w:rsid w:val="006A00F4"/>
    <w:rsid w:val="006A06AA"/>
    <w:rsid w:val="006A096B"/>
    <w:rsid w:val="006A0E29"/>
    <w:rsid w:val="006A17EA"/>
    <w:rsid w:val="006A1A5D"/>
    <w:rsid w:val="006A2A92"/>
    <w:rsid w:val="006A3519"/>
    <w:rsid w:val="006A3DB7"/>
    <w:rsid w:val="006A47CB"/>
    <w:rsid w:val="006A4B16"/>
    <w:rsid w:val="006A6079"/>
    <w:rsid w:val="006A635E"/>
    <w:rsid w:val="006A731A"/>
    <w:rsid w:val="006A7A44"/>
    <w:rsid w:val="006B01AE"/>
    <w:rsid w:val="006B03ED"/>
    <w:rsid w:val="006B0C7E"/>
    <w:rsid w:val="006B107F"/>
    <w:rsid w:val="006B1EE4"/>
    <w:rsid w:val="006B21C1"/>
    <w:rsid w:val="006B228B"/>
    <w:rsid w:val="006B33D4"/>
    <w:rsid w:val="006B348A"/>
    <w:rsid w:val="006B3D38"/>
    <w:rsid w:val="006B4003"/>
    <w:rsid w:val="006B4F96"/>
    <w:rsid w:val="006B5455"/>
    <w:rsid w:val="006B5BD6"/>
    <w:rsid w:val="006B5EB2"/>
    <w:rsid w:val="006B6FB8"/>
    <w:rsid w:val="006C19F2"/>
    <w:rsid w:val="006C2D93"/>
    <w:rsid w:val="006C358C"/>
    <w:rsid w:val="006C67A1"/>
    <w:rsid w:val="006C6A2A"/>
    <w:rsid w:val="006C7369"/>
    <w:rsid w:val="006C7791"/>
    <w:rsid w:val="006D09F4"/>
    <w:rsid w:val="006D0F43"/>
    <w:rsid w:val="006D1589"/>
    <w:rsid w:val="006D1920"/>
    <w:rsid w:val="006D1D2D"/>
    <w:rsid w:val="006D1E11"/>
    <w:rsid w:val="006D28F9"/>
    <w:rsid w:val="006D397D"/>
    <w:rsid w:val="006D4276"/>
    <w:rsid w:val="006D56C0"/>
    <w:rsid w:val="006D5950"/>
    <w:rsid w:val="006D59D2"/>
    <w:rsid w:val="006D5B0B"/>
    <w:rsid w:val="006D60CB"/>
    <w:rsid w:val="006D63F3"/>
    <w:rsid w:val="006D65DB"/>
    <w:rsid w:val="006D660E"/>
    <w:rsid w:val="006D6652"/>
    <w:rsid w:val="006D69E1"/>
    <w:rsid w:val="006E11DD"/>
    <w:rsid w:val="006E247D"/>
    <w:rsid w:val="006E3AB9"/>
    <w:rsid w:val="006E4199"/>
    <w:rsid w:val="006E437C"/>
    <w:rsid w:val="006E471D"/>
    <w:rsid w:val="006E4760"/>
    <w:rsid w:val="006E4B23"/>
    <w:rsid w:val="006E5E47"/>
    <w:rsid w:val="006E6CD5"/>
    <w:rsid w:val="006E736B"/>
    <w:rsid w:val="006E7915"/>
    <w:rsid w:val="006F1775"/>
    <w:rsid w:val="006F21DF"/>
    <w:rsid w:val="006F22B4"/>
    <w:rsid w:val="006F37F6"/>
    <w:rsid w:val="006F453E"/>
    <w:rsid w:val="006F5759"/>
    <w:rsid w:val="006F5A07"/>
    <w:rsid w:val="006F5B3E"/>
    <w:rsid w:val="006F6BA4"/>
    <w:rsid w:val="006F7FC3"/>
    <w:rsid w:val="0070125B"/>
    <w:rsid w:val="0070154F"/>
    <w:rsid w:val="007017D0"/>
    <w:rsid w:val="00701BA5"/>
    <w:rsid w:val="00704820"/>
    <w:rsid w:val="00705B58"/>
    <w:rsid w:val="00705FD1"/>
    <w:rsid w:val="0071018D"/>
    <w:rsid w:val="00710221"/>
    <w:rsid w:val="007115CF"/>
    <w:rsid w:val="00711643"/>
    <w:rsid w:val="00713B15"/>
    <w:rsid w:val="00713B1F"/>
    <w:rsid w:val="007141D0"/>
    <w:rsid w:val="0071475A"/>
    <w:rsid w:val="007148D1"/>
    <w:rsid w:val="00714A05"/>
    <w:rsid w:val="00715E70"/>
    <w:rsid w:val="0071655A"/>
    <w:rsid w:val="0071695D"/>
    <w:rsid w:val="00716CC1"/>
    <w:rsid w:val="00720F38"/>
    <w:rsid w:val="00721D3C"/>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55ED"/>
    <w:rsid w:val="007365F0"/>
    <w:rsid w:val="00736977"/>
    <w:rsid w:val="00737307"/>
    <w:rsid w:val="00737C7A"/>
    <w:rsid w:val="00740015"/>
    <w:rsid w:val="0074049E"/>
    <w:rsid w:val="00740B05"/>
    <w:rsid w:val="00741AF0"/>
    <w:rsid w:val="00742860"/>
    <w:rsid w:val="0074408D"/>
    <w:rsid w:val="007447A5"/>
    <w:rsid w:val="007455C8"/>
    <w:rsid w:val="00745C76"/>
    <w:rsid w:val="00745DEE"/>
    <w:rsid w:val="0074667D"/>
    <w:rsid w:val="0074697F"/>
    <w:rsid w:val="007469D3"/>
    <w:rsid w:val="00747DC1"/>
    <w:rsid w:val="00747E7D"/>
    <w:rsid w:val="007507CF"/>
    <w:rsid w:val="00751DDE"/>
    <w:rsid w:val="007523B9"/>
    <w:rsid w:val="00752749"/>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869"/>
    <w:rsid w:val="00780CCE"/>
    <w:rsid w:val="00781B0F"/>
    <w:rsid w:val="00781EF3"/>
    <w:rsid w:val="00781F85"/>
    <w:rsid w:val="007838FC"/>
    <w:rsid w:val="00784124"/>
    <w:rsid w:val="00784656"/>
    <w:rsid w:val="00785BF3"/>
    <w:rsid w:val="0078684A"/>
    <w:rsid w:val="007900FE"/>
    <w:rsid w:val="00792302"/>
    <w:rsid w:val="007927E7"/>
    <w:rsid w:val="00792AA5"/>
    <w:rsid w:val="0079367B"/>
    <w:rsid w:val="00793EF6"/>
    <w:rsid w:val="00794924"/>
    <w:rsid w:val="00794CA6"/>
    <w:rsid w:val="00794E88"/>
    <w:rsid w:val="00795DD9"/>
    <w:rsid w:val="007971B7"/>
    <w:rsid w:val="007976FB"/>
    <w:rsid w:val="007A0946"/>
    <w:rsid w:val="007A127B"/>
    <w:rsid w:val="007A1D72"/>
    <w:rsid w:val="007A21C9"/>
    <w:rsid w:val="007A26FC"/>
    <w:rsid w:val="007A27C0"/>
    <w:rsid w:val="007A4182"/>
    <w:rsid w:val="007A41E1"/>
    <w:rsid w:val="007A5158"/>
    <w:rsid w:val="007A5201"/>
    <w:rsid w:val="007A5774"/>
    <w:rsid w:val="007A6735"/>
    <w:rsid w:val="007A68F1"/>
    <w:rsid w:val="007A7185"/>
    <w:rsid w:val="007A7788"/>
    <w:rsid w:val="007A7C4D"/>
    <w:rsid w:val="007B0214"/>
    <w:rsid w:val="007B130C"/>
    <w:rsid w:val="007B1B5B"/>
    <w:rsid w:val="007B1BAB"/>
    <w:rsid w:val="007B1CD2"/>
    <w:rsid w:val="007B2DB4"/>
    <w:rsid w:val="007B2F45"/>
    <w:rsid w:val="007B361F"/>
    <w:rsid w:val="007B4EDE"/>
    <w:rsid w:val="007B70C3"/>
    <w:rsid w:val="007B75D5"/>
    <w:rsid w:val="007B773F"/>
    <w:rsid w:val="007B7D6F"/>
    <w:rsid w:val="007C0323"/>
    <w:rsid w:val="007C0459"/>
    <w:rsid w:val="007C04BC"/>
    <w:rsid w:val="007C285A"/>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C6D"/>
    <w:rsid w:val="007E05AE"/>
    <w:rsid w:val="007E0641"/>
    <w:rsid w:val="007E06CE"/>
    <w:rsid w:val="007E07F2"/>
    <w:rsid w:val="007E167D"/>
    <w:rsid w:val="007E1889"/>
    <w:rsid w:val="007E1E2C"/>
    <w:rsid w:val="007E39CD"/>
    <w:rsid w:val="007E4F78"/>
    <w:rsid w:val="007E543C"/>
    <w:rsid w:val="007E5C7A"/>
    <w:rsid w:val="007E5E39"/>
    <w:rsid w:val="007E5E79"/>
    <w:rsid w:val="007E5F69"/>
    <w:rsid w:val="007E62E4"/>
    <w:rsid w:val="007E6EA8"/>
    <w:rsid w:val="007F0040"/>
    <w:rsid w:val="007F03F4"/>
    <w:rsid w:val="007F0C1B"/>
    <w:rsid w:val="007F2B15"/>
    <w:rsid w:val="007F2E3D"/>
    <w:rsid w:val="007F40B6"/>
    <w:rsid w:val="007F452E"/>
    <w:rsid w:val="007F4693"/>
    <w:rsid w:val="007F4D6C"/>
    <w:rsid w:val="007F4DE0"/>
    <w:rsid w:val="007F5766"/>
    <w:rsid w:val="007F5E0C"/>
    <w:rsid w:val="007F6734"/>
    <w:rsid w:val="007F67A4"/>
    <w:rsid w:val="007F6A71"/>
    <w:rsid w:val="007F7A1B"/>
    <w:rsid w:val="007F7F4F"/>
    <w:rsid w:val="008002AC"/>
    <w:rsid w:val="00801475"/>
    <w:rsid w:val="00801612"/>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D"/>
    <w:rsid w:val="0082081D"/>
    <w:rsid w:val="00820F5A"/>
    <w:rsid w:val="008217AF"/>
    <w:rsid w:val="008228F2"/>
    <w:rsid w:val="00822D67"/>
    <w:rsid w:val="00824092"/>
    <w:rsid w:val="00824CA2"/>
    <w:rsid w:val="008254D6"/>
    <w:rsid w:val="00826C9F"/>
    <w:rsid w:val="008275BB"/>
    <w:rsid w:val="00827796"/>
    <w:rsid w:val="00827CA0"/>
    <w:rsid w:val="00827EE3"/>
    <w:rsid w:val="00830143"/>
    <w:rsid w:val="00830720"/>
    <w:rsid w:val="00830881"/>
    <w:rsid w:val="0083108D"/>
    <w:rsid w:val="008311E8"/>
    <w:rsid w:val="008314F9"/>
    <w:rsid w:val="0083198D"/>
    <w:rsid w:val="00833CAA"/>
    <w:rsid w:val="0083432A"/>
    <w:rsid w:val="00835326"/>
    <w:rsid w:val="008353C5"/>
    <w:rsid w:val="008367B9"/>
    <w:rsid w:val="00836AC6"/>
    <w:rsid w:val="00836E15"/>
    <w:rsid w:val="00842F85"/>
    <w:rsid w:val="008431C6"/>
    <w:rsid w:val="008433BB"/>
    <w:rsid w:val="0084589D"/>
    <w:rsid w:val="00845BB4"/>
    <w:rsid w:val="008462EA"/>
    <w:rsid w:val="00846FD1"/>
    <w:rsid w:val="0084747B"/>
    <w:rsid w:val="00847C0F"/>
    <w:rsid w:val="00847F2D"/>
    <w:rsid w:val="008508B0"/>
    <w:rsid w:val="00850CDE"/>
    <w:rsid w:val="00851009"/>
    <w:rsid w:val="008512D0"/>
    <w:rsid w:val="00851DA3"/>
    <w:rsid w:val="00851EC3"/>
    <w:rsid w:val="00851EFD"/>
    <w:rsid w:val="00852749"/>
    <w:rsid w:val="00854127"/>
    <w:rsid w:val="008541BD"/>
    <w:rsid w:val="008545CF"/>
    <w:rsid w:val="00854CE0"/>
    <w:rsid w:val="00855467"/>
    <w:rsid w:val="008558F4"/>
    <w:rsid w:val="00855C82"/>
    <w:rsid w:val="008569D1"/>
    <w:rsid w:val="00857C40"/>
    <w:rsid w:val="00857D66"/>
    <w:rsid w:val="008604B3"/>
    <w:rsid w:val="0086065E"/>
    <w:rsid w:val="00860D44"/>
    <w:rsid w:val="00861777"/>
    <w:rsid w:val="008618BC"/>
    <w:rsid w:val="008625CF"/>
    <w:rsid w:val="008631A9"/>
    <w:rsid w:val="00863B1E"/>
    <w:rsid w:val="008644AA"/>
    <w:rsid w:val="00870412"/>
    <w:rsid w:val="00870EBE"/>
    <w:rsid w:val="00871286"/>
    <w:rsid w:val="0087150C"/>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FA"/>
    <w:rsid w:val="0088455D"/>
    <w:rsid w:val="008854F6"/>
    <w:rsid w:val="0088566E"/>
    <w:rsid w:val="00887615"/>
    <w:rsid w:val="00890576"/>
    <w:rsid w:val="00890A11"/>
    <w:rsid w:val="008917C1"/>
    <w:rsid w:val="008919D8"/>
    <w:rsid w:val="00891C32"/>
    <w:rsid w:val="00891D81"/>
    <w:rsid w:val="00892F7A"/>
    <w:rsid w:val="0089332E"/>
    <w:rsid w:val="00893463"/>
    <w:rsid w:val="00893902"/>
    <w:rsid w:val="0089431F"/>
    <w:rsid w:val="00894DCB"/>
    <w:rsid w:val="00894FBE"/>
    <w:rsid w:val="00895B32"/>
    <w:rsid w:val="00896169"/>
    <w:rsid w:val="00896671"/>
    <w:rsid w:val="00897794"/>
    <w:rsid w:val="008A01F2"/>
    <w:rsid w:val="008A040A"/>
    <w:rsid w:val="008A059F"/>
    <w:rsid w:val="008A08FF"/>
    <w:rsid w:val="008A0B95"/>
    <w:rsid w:val="008A1712"/>
    <w:rsid w:val="008A1CF2"/>
    <w:rsid w:val="008A2622"/>
    <w:rsid w:val="008A2CAD"/>
    <w:rsid w:val="008A3788"/>
    <w:rsid w:val="008A4912"/>
    <w:rsid w:val="008A5076"/>
    <w:rsid w:val="008A5662"/>
    <w:rsid w:val="008A599D"/>
    <w:rsid w:val="008A5FF2"/>
    <w:rsid w:val="008A6928"/>
    <w:rsid w:val="008A6976"/>
    <w:rsid w:val="008A6CBE"/>
    <w:rsid w:val="008A7EE8"/>
    <w:rsid w:val="008B0DE7"/>
    <w:rsid w:val="008B1D38"/>
    <w:rsid w:val="008B280C"/>
    <w:rsid w:val="008B304A"/>
    <w:rsid w:val="008B32A3"/>
    <w:rsid w:val="008B3F1E"/>
    <w:rsid w:val="008B3FF9"/>
    <w:rsid w:val="008B4641"/>
    <w:rsid w:val="008B4D28"/>
    <w:rsid w:val="008B5D25"/>
    <w:rsid w:val="008B6294"/>
    <w:rsid w:val="008B66EC"/>
    <w:rsid w:val="008B6D7A"/>
    <w:rsid w:val="008C0197"/>
    <w:rsid w:val="008C07D0"/>
    <w:rsid w:val="008C0B7B"/>
    <w:rsid w:val="008C0BCA"/>
    <w:rsid w:val="008C1FAE"/>
    <w:rsid w:val="008C2336"/>
    <w:rsid w:val="008C26A4"/>
    <w:rsid w:val="008C29B2"/>
    <w:rsid w:val="008C34A9"/>
    <w:rsid w:val="008C466B"/>
    <w:rsid w:val="008C5F6D"/>
    <w:rsid w:val="008C6044"/>
    <w:rsid w:val="008C69AD"/>
    <w:rsid w:val="008C69BC"/>
    <w:rsid w:val="008C741E"/>
    <w:rsid w:val="008D081C"/>
    <w:rsid w:val="008D08A4"/>
    <w:rsid w:val="008D0F5E"/>
    <w:rsid w:val="008D17DD"/>
    <w:rsid w:val="008D1D11"/>
    <w:rsid w:val="008D479D"/>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6D20"/>
    <w:rsid w:val="008E7CA7"/>
    <w:rsid w:val="008F156B"/>
    <w:rsid w:val="008F191F"/>
    <w:rsid w:val="008F2F0A"/>
    <w:rsid w:val="008F451D"/>
    <w:rsid w:val="008F55C0"/>
    <w:rsid w:val="008F5751"/>
    <w:rsid w:val="008F5B0A"/>
    <w:rsid w:val="008F5EA9"/>
    <w:rsid w:val="008F7C2F"/>
    <w:rsid w:val="00900130"/>
    <w:rsid w:val="00901034"/>
    <w:rsid w:val="00901911"/>
    <w:rsid w:val="009024D7"/>
    <w:rsid w:val="00902520"/>
    <w:rsid w:val="0090254C"/>
    <w:rsid w:val="00902D20"/>
    <w:rsid w:val="0090353E"/>
    <w:rsid w:val="009038F1"/>
    <w:rsid w:val="0090392D"/>
    <w:rsid w:val="00904D25"/>
    <w:rsid w:val="00904E04"/>
    <w:rsid w:val="00906450"/>
    <w:rsid w:val="009067E6"/>
    <w:rsid w:val="0090683B"/>
    <w:rsid w:val="009076C9"/>
    <w:rsid w:val="00907B80"/>
    <w:rsid w:val="00910CA5"/>
    <w:rsid w:val="00911060"/>
    <w:rsid w:val="00911600"/>
    <w:rsid w:val="00912854"/>
    <w:rsid w:val="0091461A"/>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535"/>
    <w:rsid w:val="00926FCA"/>
    <w:rsid w:val="00927160"/>
    <w:rsid w:val="00927A54"/>
    <w:rsid w:val="00930568"/>
    <w:rsid w:val="0093094E"/>
    <w:rsid w:val="00931BB4"/>
    <w:rsid w:val="00932284"/>
    <w:rsid w:val="00933AF5"/>
    <w:rsid w:val="009340F4"/>
    <w:rsid w:val="00934291"/>
    <w:rsid w:val="00935AF5"/>
    <w:rsid w:val="00935B3A"/>
    <w:rsid w:val="00935EDE"/>
    <w:rsid w:val="00940C05"/>
    <w:rsid w:val="00943C7C"/>
    <w:rsid w:val="00944CB1"/>
    <w:rsid w:val="00944D93"/>
    <w:rsid w:val="00945B2A"/>
    <w:rsid w:val="00945B4F"/>
    <w:rsid w:val="00945CD7"/>
    <w:rsid w:val="00947CCD"/>
    <w:rsid w:val="00951737"/>
    <w:rsid w:val="009518B9"/>
    <w:rsid w:val="00952047"/>
    <w:rsid w:val="0095238C"/>
    <w:rsid w:val="00953021"/>
    <w:rsid w:val="009531E3"/>
    <w:rsid w:val="009539D5"/>
    <w:rsid w:val="00954802"/>
    <w:rsid w:val="00954D23"/>
    <w:rsid w:val="00954E10"/>
    <w:rsid w:val="00955131"/>
    <w:rsid w:val="0095513A"/>
    <w:rsid w:val="00955DC9"/>
    <w:rsid w:val="00956987"/>
    <w:rsid w:val="00956C0F"/>
    <w:rsid w:val="00957CE3"/>
    <w:rsid w:val="009615C0"/>
    <w:rsid w:val="009619FB"/>
    <w:rsid w:val="00961F6F"/>
    <w:rsid w:val="009629F7"/>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C4F"/>
    <w:rsid w:val="00972FF8"/>
    <w:rsid w:val="00973322"/>
    <w:rsid w:val="00973B22"/>
    <w:rsid w:val="00974B5C"/>
    <w:rsid w:val="009763A2"/>
    <w:rsid w:val="009768B0"/>
    <w:rsid w:val="00980C1A"/>
    <w:rsid w:val="0098119B"/>
    <w:rsid w:val="0098352A"/>
    <w:rsid w:val="00983D97"/>
    <w:rsid w:val="0098535F"/>
    <w:rsid w:val="00985785"/>
    <w:rsid w:val="0098653C"/>
    <w:rsid w:val="009865D9"/>
    <w:rsid w:val="00986D20"/>
    <w:rsid w:val="00986D76"/>
    <w:rsid w:val="00987FCC"/>
    <w:rsid w:val="0099002E"/>
    <w:rsid w:val="00990FCB"/>
    <w:rsid w:val="00992ADB"/>
    <w:rsid w:val="009937FC"/>
    <w:rsid w:val="00995784"/>
    <w:rsid w:val="009957F2"/>
    <w:rsid w:val="0099634D"/>
    <w:rsid w:val="00997714"/>
    <w:rsid w:val="009A0F2E"/>
    <w:rsid w:val="009A23D1"/>
    <w:rsid w:val="009A2623"/>
    <w:rsid w:val="009A26B4"/>
    <w:rsid w:val="009A2CA5"/>
    <w:rsid w:val="009A36C9"/>
    <w:rsid w:val="009A3DD0"/>
    <w:rsid w:val="009A3F4F"/>
    <w:rsid w:val="009A41E9"/>
    <w:rsid w:val="009A4CB1"/>
    <w:rsid w:val="009A5014"/>
    <w:rsid w:val="009A58D9"/>
    <w:rsid w:val="009A66B4"/>
    <w:rsid w:val="009A6F18"/>
    <w:rsid w:val="009A7031"/>
    <w:rsid w:val="009B0EBD"/>
    <w:rsid w:val="009B1893"/>
    <w:rsid w:val="009B24A4"/>
    <w:rsid w:val="009B2621"/>
    <w:rsid w:val="009B34E3"/>
    <w:rsid w:val="009B38A3"/>
    <w:rsid w:val="009B44FE"/>
    <w:rsid w:val="009B50F1"/>
    <w:rsid w:val="009B5107"/>
    <w:rsid w:val="009B6D2B"/>
    <w:rsid w:val="009C0007"/>
    <w:rsid w:val="009C0924"/>
    <w:rsid w:val="009C19DC"/>
    <w:rsid w:val="009C2A4C"/>
    <w:rsid w:val="009C2CB0"/>
    <w:rsid w:val="009C3B75"/>
    <w:rsid w:val="009C3E28"/>
    <w:rsid w:val="009C4064"/>
    <w:rsid w:val="009C434F"/>
    <w:rsid w:val="009C43F3"/>
    <w:rsid w:val="009C4AC7"/>
    <w:rsid w:val="009C4CE2"/>
    <w:rsid w:val="009C4FC4"/>
    <w:rsid w:val="009C6373"/>
    <w:rsid w:val="009C7251"/>
    <w:rsid w:val="009C7D4B"/>
    <w:rsid w:val="009D037F"/>
    <w:rsid w:val="009D076A"/>
    <w:rsid w:val="009D108B"/>
    <w:rsid w:val="009D194F"/>
    <w:rsid w:val="009D1F58"/>
    <w:rsid w:val="009D24BE"/>
    <w:rsid w:val="009D2930"/>
    <w:rsid w:val="009D2AE5"/>
    <w:rsid w:val="009D2CF3"/>
    <w:rsid w:val="009D37F9"/>
    <w:rsid w:val="009D3921"/>
    <w:rsid w:val="009D3AE8"/>
    <w:rsid w:val="009D3CBC"/>
    <w:rsid w:val="009D47EF"/>
    <w:rsid w:val="009D4AD8"/>
    <w:rsid w:val="009D4B56"/>
    <w:rsid w:val="009D4C64"/>
    <w:rsid w:val="009D5C59"/>
    <w:rsid w:val="009D6620"/>
    <w:rsid w:val="009D6C33"/>
    <w:rsid w:val="009D7108"/>
    <w:rsid w:val="009D7273"/>
    <w:rsid w:val="009D773E"/>
    <w:rsid w:val="009D7C39"/>
    <w:rsid w:val="009E0981"/>
    <w:rsid w:val="009E0D44"/>
    <w:rsid w:val="009E114C"/>
    <w:rsid w:val="009E1D97"/>
    <w:rsid w:val="009E230A"/>
    <w:rsid w:val="009E30CC"/>
    <w:rsid w:val="009E3C16"/>
    <w:rsid w:val="009E4D7C"/>
    <w:rsid w:val="009E4DD0"/>
    <w:rsid w:val="009E5F04"/>
    <w:rsid w:val="009E7B97"/>
    <w:rsid w:val="009F00F6"/>
    <w:rsid w:val="009F09F3"/>
    <w:rsid w:val="009F0C4E"/>
    <w:rsid w:val="009F0E84"/>
    <w:rsid w:val="009F130C"/>
    <w:rsid w:val="009F2D54"/>
    <w:rsid w:val="009F2F92"/>
    <w:rsid w:val="009F3395"/>
    <w:rsid w:val="009F4163"/>
    <w:rsid w:val="009F50DD"/>
    <w:rsid w:val="009F6DDF"/>
    <w:rsid w:val="009F70B8"/>
    <w:rsid w:val="009F7CF5"/>
    <w:rsid w:val="00A009B3"/>
    <w:rsid w:val="00A00C92"/>
    <w:rsid w:val="00A02691"/>
    <w:rsid w:val="00A03272"/>
    <w:rsid w:val="00A06AAB"/>
    <w:rsid w:val="00A07553"/>
    <w:rsid w:val="00A0758E"/>
    <w:rsid w:val="00A0783C"/>
    <w:rsid w:val="00A078F5"/>
    <w:rsid w:val="00A07E1C"/>
    <w:rsid w:val="00A11238"/>
    <w:rsid w:val="00A11F67"/>
    <w:rsid w:val="00A11FCC"/>
    <w:rsid w:val="00A12825"/>
    <w:rsid w:val="00A12B21"/>
    <w:rsid w:val="00A12E36"/>
    <w:rsid w:val="00A13146"/>
    <w:rsid w:val="00A132BF"/>
    <w:rsid w:val="00A13B08"/>
    <w:rsid w:val="00A1481C"/>
    <w:rsid w:val="00A14FA1"/>
    <w:rsid w:val="00A15384"/>
    <w:rsid w:val="00A157A3"/>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F65"/>
    <w:rsid w:val="00A2227D"/>
    <w:rsid w:val="00A2279E"/>
    <w:rsid w:val="00A23769"/>
    <w:rsid w:val="00A24EAE"/>
    <w:rsid w:val="00A25699"/>
    <w:rsid w:val="00A25723"/>
    <w:rsid w:val="00A25A39"/>
    <w:rsid w:val="00A25A8C"/>
    <w:rsid w:val="00A27BCB"/>
    <w:rsid w:val="00A304D0"/>
    <w:rsid w:val="00A30D97"/>
    <w:rsid w:val="00A30ED2"/>
    <w:rsid w:val="00A333A6"/>
    <w:rsid w:val="00A33719"/>
    <w:rsid w:val="00A345A7"/>
    <w:rsid w:val="00A34D0F"/>
    <w:rsid w:val="00A35B59"/>
    <w:rsid w:val="00A368B3"/>
    <w:rsid w:val="00A36E07"/>
    <w:rsid w:val="00A371EB"/>
    <w:rsid w:val="00A37219"/>
    <w:rsid w:val="00A37D42"/>
    <w:rsid w:val="00A40544"/>
    <w:rsid w:val="00A4170D"/>
    <w:rsid w:val="00A41E6F"/>
    <w:rsid w:val="00A425C1"/>
    <w:rsid w:val="00A431C0"/>
    <w:rsid w:val="00A43902"/>
    <w:rsid w:val="00A4422F"/>
    <w:rsid w:val="00A4426D"/>
    <w:rsid w:val="00A44B7E"/>
    <w:rsid w:val="00A44FDF"/>
    <w:rsid w:val="00A450A8"/>
    <w:rsid w:val="00A479D5"/>
    <w:rsid w:val="00A51227"/>
    <w:rsid w:val="00A517BD"/>
    <w:rsid w:val="00A52410"/>
    <w:rsid w:val="00A5330A"/>
    <w:rsid w:val="00A533C0"/>
    <w:rsid w:val="00A53BE0"/>
    <w:rsid w:val="00A55075"/>
    <w:rsid w:val="00A55120"/>
    <w:rsid w:val="00A55398"/>
    <w:rsid w:val="00A553A4"/>
    <w:rsid w:val="00A56520"/>
    <w:rsid w:val="00A567CB"/>
    <w:rsid w:val="00A6117A"/>
    <w:rsid w:val="00A6177D"/>
    <w:rsid w:val="00A61C04"/>
    <w:rsid w:val="00A6310C"/>
    <w:rsid w:val="00A63A13"/>
    <w:rsid w:val="00A643F8"/>
    <w:rsid w:val="00A65DD1"/>
    <w:rsid w:val="00A663EC"/>
    <w:rsid w:val="00A66E0B"/>
    <w:rsid w:val="00A6760C"/>
    <w:rsid w:val="00A70557"/>
    <w:rsid w:val="00A70C31"/>
    <w:rsid w:val="00A7104B"/>
    <w:rsid w:val="00A712CE"/>
    <w:rsid w:val="00A71DB5"/>
    <w:rsid w:val="00A729A6"/>
    <w:rsid w:val="00A7346F"/>
    <w:rsid w:val="00A74A86"/>
    <w:rsid w:val="00A74C39"/>
    <w:rsid w:val="00A75615"/>
    <w:rsid w:val="00A75C0F"/>
    <w:rsid w:val="00A760F3"/>
    <w:rsid w:val="00A7624A"/>
    <w:rsid w:val="00A776C2"/>
    <w:rsid w:val="00A776D1"/>
    <w:rsid w:val="00A77E09"/>
    <w:rsid w:val="00A816AF"/>
    <w:rsid w:val="00A81720"/>
    <w:rsid w:val="00A818E4"/>
    <w:rsid w:val="00A8243B"/>
    <w:rsid w:val="00A82B19"/>
    <w:rsid w:val="00A83C04"/>
    <w:rsid w:val="00A83ED1"/>
    <w:rsid w:val="00A84DE6"/>
    <w:rsid w:val="00A87111"/>
    <w:rsid w:val="00A87CA6"/>
    <w:rsid w:val="00A9066E"/>
    <w:rsid w:val="00A90D15"/>
    <w:rsid w:val="00A90F3D"/>
    <w:rsid w:val="00A920A7"/>
    <w:rsid w:val="00A92878"/>
    <w:rsid w:val="00A929A2"/>
    <w:rsid w:val="00A92FE9"/>
    <w:rsid w:val="00A93DF7"/>
    <w:rsid w:val="00A94383"/>
    <w:rsid w:val="00A9448C"/>
    <w:rsid w:val="00A94545"/>
    <w:rsid w:val="00A95A20"/>
    <w:rsid w:val="00A96F32"/>
    <w:rsid w:val="00A9721B"/>
    <w:rsid w:val="00A97BAE"/>
    <w:rsid w:val="00AA0635"/>
    <w:rsid w:val="00AA068C"/>
    <w:rsid w:val="00AA11B7"/>
    <w:rsid w:val="00AA1412"/>
    <w:rsid w:val="00AA162D"/>
    <w:rsid w:val="00AA21C4"/>
    <w:rsid w:val="00AA2A40"/>
    <w:rsid w:val="00AA3282"/>
    <w:rsid w:val="00AA36ED"/>
    <w:rsid w:val="00AA37B5"/>
    <w:rsid w:val="00AA4737"/>
    <w:rsid w:val="00AA4899"/>
    <w:rsid w:val="00AA48B5"/>
    <w:rsid w:val="00AA5262"/>
    <w:rsid w:val="00AA57D4"/>
    <w:rsid w:val="00AA5AB7"/>
    <w:rsid w:val="00AA5BE3"/>
    <w:rsid w:val="00AA77EF"/>
    <w:rsid w:val="00AB019A"/>
    <w:rsid w:val="00AB22B2"/>
    <w:rsid w:val="00AB2877"/>
    <w:rsid w:val="00AB2F06"/>
    <w:rsid w:val="00AB315D"/>
    <w:rsid w:val="00AB3E95"/>
    <w:rsid w:val="00AB54CB"/>
    <w:rsid w:val="00AB661C"/>
    <w:rsid w:val="00AB689D"/>
    <w:rsid w:val="00AB7491"/>
    <w:rsid w:val="00AB74F9"/>
    <w:rsid w:val="00AB7519"/>
    <w:rsid w:val="00AB79CA"/>
    <w:rsid w:val="00AB7A7D"/>
    <w:rsid w:val="00AC0487"/>
    <w:rsid w:val="00AC1797"/>
    <w:rsid w:val="00AC1E7A"/>
    <w:rsid w:val="00AC2E6C"/>
    <w:rsid w:val="00AC4151"/>
    <w:rsid w:val="00AC5372"/>
    <w:rsid w:val="00AC656E"/>
    <w:rsid w:val="00AC6B32"/>
    <w:rsid w:val="00AC6CEC"/>
    <w:rsid w:val="00AC6EAD"/>
    <w:rsid w:val="00AC7C73"/>
    <w:rsid w:val="00AC7F3E"/>
    <w:rsid w:val="00AD0375"/>
    <w:rsid w:val="00AD26BD"/>
    <w:rsid w:val="00AD3A05"/>
    <w:rsid w:val="00AD3AEF"/>
    <w:rsid w:val="00AD3E0E"/>
    <w:rsid w:val="00AD50F5"/>
    <w:rsid w:val="00AD554D"/>
    <w:rsid w:val="00AD59DD"/>
    <w:rsid w:val="00AD6676"/>
    <w:rsid w:val="00AD67B3"/>
    <w:rsid w:val="00AD68C8"/>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536"/>
    <w:rsid w:val="00AF1A4C"/>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8FA"/>
    <w:rsid w:val="00B03C25"/>
    <w:rsid w:val="00B04490"/>
    <w:rsid w:val="00B0491A"/>
    <w:rsid w:val="00B05374"/>
    <w:rsid w:val="00B05ECB"/>
    <w:rsid w:val="00B067AF"/>
    <w:rsid w:val="00B10129"/>
    <w:rsid w:val="00B1026B"/>
    <w:rsid w:val="00B10F2A"/>
    <w:rsid w:val="00B11B90"/>
    <w:rsid w:val="00B11D89"/>
    <w:rsid w:val="00B121C0"/>
    <w:rsid w:val="00B1252E"/>
    <w:rsid w:val="00B12FBB"/>
    <w:rsid w:val="00B13044"/>
    <w:rsid w:val="00B14455"/>
    <w:rsid w:val="00B14699"/>
    <w:rsid w:val="00B14D9F"/>
    <w:rsid w:val="00B14DB1"/>
    <w:rsid w:val="00B15058"/>
    <w:rsid w:val="00B156B7"/>
    <w:rsid w:val="00B1585A"/>
    <w:rsid w:val="00B15F1B"/>
    <w:rsid w:val="00B16181"/>
    <w:rsid w:val="00B16D73"/>
    <w:rsid w:val="00B17BE7"/>
    <w:rsid w:val="00B204F6"/>
    <w:rsid w:val="00B21A74"/>
    <w:rsid w:val="00B21F71"/>
    <w:rsid w:val="00B22797"/>
    <w:rsid w:val="00B22D45"/>
    <w:rsid w:val="00B232E1"/>
    <w:rsid w:val="00B238C9"/>
    <w:rsid w:val="00B248C2"/>
    <w:rsid w:val="00B27178"/>
    <w:rsid w:val="00B2717C"/>
    <w:rsid w:val="00B27414"/>
    <w:rsid w:val="00B3092D"/>
    <w:rsid w:val="00B30A4B"/>
    <w:rsid w:val="00B30B15"/>
    <w:rsid w:val="00B31853"/>
    <w:rsid w:val="00B3191E"/>
    <w:rsid w:val="00B31E1E"/>
    <w:rsid w:val="00B320A7"/>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FE7"/>
    <w:rsid w:val="00B41E4B"/>
    <w:rsid w:val="00B4365F"/>
    <w:rsid w:val="00B44A73"/>
    <w:rsid w:val="00B46EFE"/>
    <w:rsid w:val="00B473B8"/>
    <w:rsid w:val="00B5187F"/>
    <w:rsid w:val="00B52206"/>
    <w:rsid w:val="00B53D03"/>
    <w:rsid w:val="00B55359"/>
    <w:rsid w:val="00B557E1"/>
    <w:rsid w:val="00B558D1"/>
    <w:rsid w:val="00B56207"/>
    <w:rsid w:val="00B56D7A"/>
    <w:rsid w:val="00B61369"/>
    <w:rsid w:val="00B64716"/>
    <w:rsid w:val="00B649ED"/>
    <w:rsid w:val="00B64E56"/>
    <w:rsid w:val="00B64FA6"/>
    <w:rsid w:val="00B65CF4"/>
    <w:rsid w:val="00B66B9F"/>
    <w:rsid w:val="00B66C2B"/>
    <w:rsid w:val="00B70728"/>
    <w:rsid w:val="00B70A6C"/>
    <w:rsid w:val="00B712BB"/>
    <w:rsid w:val="00B7175B"/>
    <w:rsid w:val="00B718C5"/>
    <w:rsid w:val="00B71ECC"/>
    <w:rsid w:val="00B72CBC"/>
    <w:rsid w:val="00B730D5"/>
    <w:rsid w:val="00B73A1A"/>
    <w:rsid w:val="00B73D09"/>
    <w:rsid w:val="00B7416C"/>
    <w:rsid w:val="00B74604"/>
    <w:rsid w:val="00B757BB"/>
    <w:rsid w:val="00B75904"/>
    <w:rsid w:val="00B760E3"/>
    <w:rsid w:val="00B76FFC"/>
    <w:rsid w:val="00B7782C"/>
    <w:rsid w:val="00B80280"/>
    <w:rsid w:val="00B80B44"/>
    <w:rsid w:val="00B810A1"/>
    <w:rsid w:val="00B81F41"/>
    <w:rsid w:val="00B81FED"/>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324"/>
    <w:rsid w:val="00B915B7"/>
    <w:rsid w:val="00B91C34"/>
    <w:rsid w:val="00B9224A"/>
    <w:rsid w:val="00B9228D"/>
    <w:rsid w:val="00B9249D"/>
    <w:rsid w:val="00B928A6"/>
    <w:rsid w:val="00B92B28"/>
    <w:rsid w:val="00B9378D"/>
    <w:rsid w:val="00B937CE"/>
    <w:rsid w:val="00B94C5B"/>
    <w:rsid w:val="00B94C69"/>
    <w:rsid w:val="00B966D0"/>
    <w:rsid w:val="00B974DE"/>
    <w:rsid w:val="00B97E0C"/>
    <w:rsid w:val="00BA03D4"/>
    <w:rsid w:val="00BA0EF1"/>
    <w:rsid w:val="00BA29C7"/>
    <w:rsid w:val="00BA2CE6"/>
    <w:rsid w:val="00BA3BF9"/>
    <w:rsid w:val="00BA3F9C"/>
    <w:rsid w:val="00BA5C2F"/>
    <w:rsid w:val="00BA6488"/>
    <w:rsid w:val="00BA6830"/>
    <w:rsid w:val="00BA6CA3"/>
    <w:rsid w:val="00BA6E26"/>
    <w:rsid w:val="00BA73FE"/>
    <w:rsid w:val="00BA74AB"/>
    <w:rsid w:val="00BA789B"/>
    <w:rsid w:val="00BA7F0D"/>
    <w:rsid w:val="00BB0786"/>
    <w:rsid w:val="00BB0EB1"/>
    <w:rsid w:val="00BB101A"/>
    <w:rsid w:val="00BB2296"/>
    <w:rsid w:val="00BB3443"/>
    <w:rsid w:val="00BB4344"/>
    <w:rsid w:val="00BB43C3"/>
    <w:rsid w:val="00BB45B4"/>
    <w:rsid w:val="00BB53C1"/>
    <w:rsid w:val="00BB566B"/>
    <w:rsid w:val="00BB5E2A"/>
    <w:rsid w:val="00BB639A"/>
    <w:rsid w:val="00BB6CDC"/>
    <w:rsid w:val="00BB713F"/>
    <w:rsid w:val="00BC03DE"/>
    <w:rsid w:val="00BC2790"/>
    <w:rsid w:val="00BC3892"/>
    <w:rsid w:val="00BC4BD9"/>
    <w:rsid w:val="00BC4E9C"/>
    <w:rsid w:val="00BC58C9"/>
    <w:rsid w:val="00BC5BCB"/>
    <w:rsid w:val="00BC5F7D"/>
    <w:rsid w:val="00BC746F"/>
    <w:rsid w:val="00BD0221"/>
    <w:rsid w:val="00BD0B37"/>
    <w:rsid w:val="00BD0E48"/>
    <w:rsid w:val="00BD1225"/>
    <w:rsid w:val="00BD1CD8"/>
    <w:rsid w:val="00BD2F8E"/>
    <w:rsid w:val="00BD30D5"/>
    <w:rsid w:val="00BD3281"/>
    <w:rsid w:val="00BD3DFB"/>
    <w:rsid w:val="00BD538C"/>
    <w:rsid w:val="00BD59D4"/>
    <w:rsid w:val="00BD6083"/>
    <w:rsid w:val="00BD608A"/>
    <w:rsid w:val="00BD60D9"/>
    <w:rsid w:val="00BD68E0"/>
    <w:rsid w:val="00BD79ED"/>
    <w:rsid w:val="00BE04D0"/>
    <w:rsid w:val="00BE0DE5"/>
    <w:rsid w:val="00BE0F85"/>
    <w:rsid w:val="00BE16CE"/>
    <w:rsid w:val="00BE1D2C"/>
    <w:rsid w:val="00BE1F84"/>
    <w:rsid w:val="00BE270B"/>
    <w:rsid w:val="00BE4A5B"/>
    <w:rsid w:val="00BE5B39"/>
    <w:rsid w:val="00BE6456"/>
    <w:rsid w:val="00BE6784"/>
    <w:rsid w:val="00BE7CF6"/>
    <w:rsid w:val="00BF26D7"/>
    <w:rsid w:val="00BF3228"/>
    <w:rsid w:val="00BF3260"/>
    <w:rsid w:val="00BF3B1C"/>
    <w:rsid w:val="00BF4BDF"/>
    <w:rsid w:val="00BF67CA"/>
    <w:rsid w:val="00BF7B0F"/>
    <w:rsid w:val="00C00816"/>
    <w:rsid w:val="00C014BE"/>
    <w:rsid w:val="00C014D1"/>
    <w:rsid w:val="00C01702"/>
    <w:rsid w:val="00C0174D"/>
    <w:rsid w:val="00C0190A"/>
    <w:rsid w:val="00C01ABD"/>
    <w:rsid w:val="00C021A4"/>
    <w:rsid w:val="00C0335F"/>
    <w:rsid w:val="00C03999"/>
    <w:rsid w:val="00C04E1F"/>
    <w:rsid w:val="00C05505"/>
    <w:rsid w:val="00C05E35"/>
    <w:rsid w:val="00C06A89"/>
    <w:rsid w:val="00C06CFB"/>
    <w:rsid w:val="00C07044"/>
    <w:rsid w:val="00C112EE"/>
    <w:rsid w:val="00C11313"/>
    <w:rsid w:val="00C11FA6"/>
    <w:rsid w:val="00C121EC"/>
    <w:rsid w:val="00C126AC"/>
    <w:rsid w:val="00C129A2"/>
    <w:rsid w:val="00C12D8D"/>
    <w:rsid w:val="00C14070"/>
    <w:rsid w:val="00C147DD"/>
    <w:rsid w:val="00C149B9"/>
    <w:rsid w:val="00C1548D"/>
    <w:rsid w:val="00C166FB"/>
    <w:rsid w:val="00C167EF"/>
    <w:rsid w:val="00C16869"/>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B21"/>
    <w:rsid w:val="00C26F54"/>
    <w:rsid w:val="00C31B96"/>
    <w:rsid w:val="00C32BB7"/>
    <w:rsid w:val="00C33E4C"/>
    <w:rsid w:val="00C3487F"/>
    <w:rsid w:val="00C34FAA"/>
    <w:rsid w:val="00C35245"/>
    <w:rsid w:val="00C35655"/>
    <w:rsid w:val="00C357DB"/>
    <w:rsid w:val="00C37A26"/>
    <w:rsid w:val="00C41C76"/>
    <w:rsid w:val="00C41D75"/>
    <w:rsid w:val="00C4221D"/>
    <w:rsid w:val="00C426EF"/>
    <w:rsid w:val="00C427EA"/>
    <w:rsid w:val="00C4297A"/>
    <w:rsid w:val="00C42E0F"/>
    <w:rsid w:val="00C432D2"/>
    <w:rsid w:val="00C43980"/>
    <w:rsid w:val="00C43A62"/>
    <w:rsid w:val="00C44A54"/>
    <w:rsid w:val="00C44B2A"/>
    <w:rsid w:val="00C44EDC"/>
    <w:rsid w:val="00C4526C"/>
    <w:rsid w:val="00C46FB0"/>
    <w:rsid w:val="00C47DE7"/>
    <w:rsid w:val="00C5095B"/>
    <w:rsid w:val="00C50AF2"/>
    <w:rsid w:val="00C50F65"/>
    <w:rsid w:val="00C51006"/>
    <w:rsid w:val="00C51B9A"/>
    <w:rsid w:val="00C520E6"/>
    <w:rsid w:val="00C521ED"/>
    <w:rsid w:val="00C522F3"/>
    <w:rsid w:val="00C536ED"/>
    <w:rsid w:val="00C539DD"/>
    <w:rsid w:val="00C541F9"/>
    <w:rsid w:val="00C543EE"/>
    <w:rsid w:val="00C543F3"/>
    <w:rsid w:val="00C55D19"/>
    <w:rsid w:val="00C56429"/>
    <w:rsid w:val="00C5693C"/>
    <w:rsid w:val="00C5783C"/>
    <w:rsid w:val="00C602AF"/>
    <w:rsid w:val="00C63703"/>
    <w:rsid w:val="00C647A6"/>
    <w:rsid w:val="00C64C37"/>
    <w:rsid w:val="00C655BE"/>
    <w:rsid w:val="00C65D0E"/>
    <w:rsid w:val="00C66156"/>
    <w:rsid w:val="00C666CD"/>
    <w:rsid w:val="00C67684"/>
    <w:rsid w:val="00C679A1"/>
    <w:rsid w:val="00C67F18"/>
    <w:rsid w:val="00C7080B"/>
    <w:rsid w:val="00C70F8D"/>
    <w:rsid w:val="00C72031"/>
    <w:rsid w:val="00C725A3"/>
    <w:rsid w:val="00C7270D"/>
    <w:rsid w:val="00C72C20"/>
    <w:rsid w:val="00C730F9"/>
    <w:rsid w:val="00C74557"/>
    <w:rsid w:val="00C75B0A"/>
    <w:rsid w:val="00C75D10"/>
    <w:rsid w:val="00C76834"/>
    <w:rsid w:val="00C76FEB"/>
    <w:rsid w:val="00C8000E"/>
    <w:rsid w:val="00C8093C"/>
    <w:rsid w:val="00C80A8B"/>
    <w:rsid w:val="00C8118D"/>
    <w:rsid w:val="00C81D7F"/>
    <w:rsid w:val="00C82108"/>
    <w:rsid w:val="00C8314F"/>
    <w:rsid w:val="00C8376F"/>
    <w:rsid w:val="00C83C87"/>
    <w:rsid w:val="00C8449B"/>
    <w:rsid w:val="00C8642F"/>
    <w:rsid w:val="00C86596"/>
    <w:rsid w:val="00C876E4"/>
    <w:rsid w:val="00C87CDF"/>
    <w:rsid w:val="00C90B07"/>
    <w:rsid w:val="00C9124D"/>
    <w:rsid w:val="00C9228D"/>
    <w:rsid w:val="00C92772"/>
    <w:rsid w:val="00C92A40"/>
    <w:rsid w:val="00C92A53"/>
    <w:rsid w:val="00C92B48"/>
    <w:rsid w:val="00C960EB"/>
    <w:rsid w:val="00C964D5"/>
    <w:rsid w:val="00CA213B"/>
    <w:rsid w:val="00CA2D27"/>
    <w:rsid w:val="00CA42C9"/>
    <w:rsid w:val="00CA4458"/>
    <w:rsid w:val="00CA4800"/>
    <w:rsid w:val="00CA48E7"/>
    <w:rsid w:val="00CA4EF5"/>
    <w:rsid w:val="00CA51B9"/>
    <w:rsid w:val="00CA5B37"/>
    <w:rsid w:val="00CA5B85"/>
    <w:rsid w:val="00CB0BC4"/>
    <w:rsid w:val="00CB1407"/>
    <w:rsid w:val="00CB2195"/>
    <w:rsid w:val="00CB2EAC"/>
    <w:rsid w:val="00CB3118"/>
    <w:rsid w:val="00CB3341"/>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DBB"/>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1295"/>
    <w:rsid w:val="00CE1838"/>
    <w:rsid w:val="00CE1A55"/>
    <w:rsid w:val="00CE33C6"/>
    <w:rsid w:val="00CE3862"/>
    <w:rsid w:val="00CE393F"/>
    <w:rsid w:val="00CE41E1"/>
    <w:rsid w:val="00CE47CA"/>
    <w:rsid w:val="00CE5294"/>
    <w:rsid w:val="00CE5E7A"/>
    <w:rsid w:val="00CE5EC0"/>
    <w:rsid w:val="00CE6071"/>
    <w:rsid w:val="00CE7253"/>
    <w:rsid w:val="00CE7D13"/>
    <w:rsid w:val="00CF0B5D"/>
    <w:rsid w:val="00CF2621"/>
    <w:rsid w:val="00CF2EA3"/>
    <w:rsid w:val="00CF2ED6"/>
    <w:rsid w:val="00CF3926"/>
    <w:rsid w:val="00CF3DF7"/>
    <w:rsid w:val="00CF5476"/>
    <w:rsid w:val="00CF5A08"/>
    <w:rsid w:val="00CF5AEC"/>
    <w:rsid w:val="00CF5FCD"/>
    <w:rsid w:val="00CF6C04"/>
    <w:rsid w:val="00CF7883"/>
    <w:rsid w:val="00CF7F9F"/>
    <w:rsid w:val="00D0085C"/>
    <w:rsid w:val="00D00DCF"/>
    <w:rsid w:val="00D0139A"/>
    <w:rsid w:val="00D01AB1"/>
    <w:rsid w:val="00D02201"/>
    <w:rsid w:val="00D02643"/>
    <w:rsid w:val="00D03E5E"/>
    <w:rsid w:val="00D04DA6"/>
    <w:rsid w:val="00D05B8C"/>
    <w:rsid w:val="00D06725"/>
    <w:rsid w:val="00D071F2"/>
    <w:rsid w:val="00D073F9"/>
    <w:rsid w:val="00D10337"/>
    <w:rsid w:val="00D10859"/>
    <w:rsid w:val="00D10EC5"/>
    <w:rsid w:val="00D11784"/>
    <w:rsid w:val="00D1221F"/>
    <w:rsid w:val="00D126B1"/>
    <w:rsid w:val="00D13B4B"/>
    <w:rsid w:val="00D160D4"/>
    <w:rsid w:val="00D161D3"/>
    <w:rsid w:val="00D1654C"/>
    <w:rsid w:val="00D1657E"/>
    <w:rsid w:val="00D16E24"/>
    <w:rsid w:val="00D2013B"/>
    <w:rsid w:val="00D207F5"/>
    <w:rsid w:val="00D20DE3"/>
    <w:rsid w:val="00D21072"/>
    <w:rsid w:val="00D21526"/>
    <w:rsid w:val="00D2153B"/>
    <w:rsid w:val="00D21691"/>
    <w:rsid w:val="00D2187E"/>
    <w:rsid w:val="00D21F51"/>
    <w:rsid w:val="00D226A5"/>
    <w:rsid w:val="00D22BCC"/>
    <w:rsid w:val="00D25868"/>
    <w:rsid w:val="00D25AD0"/>
    <w:rsid w:val="00D25B75"/>
    <w:rsid w:val="00D25EBB"/>
    <w:rsid w:val="00D26B05"/>
    <w:rsid w:val="00D26BE3"/>
    <w:rsid w:val="00D26FC1"/>
    <w:rsid w:val="00D27A2D"/>
    <w:rsid w:val="00D31956"/>
    <w:rsid w:val="00D31B91"/>
    <w:rsid w:val="00D32B06"/>
    <w:rsid w:val="00D32D41"/>
    <w:rsid w:val="00D335DA"/>
    <w:rsid w:val="00D33766"/>
    <w:rsid w:val="00D33996"/>
    <w:rsid w:val="00D34711"/>
    <w:rsid w:val="00D34779"/>
    <w:rsid w:val="00D35050"/>
    <w:rsid w:val="00D352DB"/>
    <w:rsid w:val="00D3534A"/>
    <w:rsid w:val="00D35B32"/>
    <w:rsid w:val="00D36556"/>
    <w:rsid w:val="00D36B7F"/>
    <w:rsid w:val="00D36C82"/>
    <w:rsid w:val="00D372E1"/>
    <w:rsid w:val="00D40100"/>
    <w:rsid w:val="00D40C39"/>
    <w:rsid w:val="00D41F92"/>
    <w:rsid w:val="00D429F0"/>
    <w:rsid w:val="00D42C8C"/>
    <w:rsid w:val="00D45057"/>
    <w:rsid w:val="00D45EFC"/>
    <w:rsid w:val="00D4654F"/>
    <w:rsid w:val="00D467EF"/>
    <w:rsid w:val="00D51B97"/>
    <w:rsid w:val="00D523B3"/>
    <w:rsid w:val="00D52DA8"/>
    <w:rsid w:val="00D54942"/>
    <w:rsid w:val="00D54F7E"/>
    <w:rsid w:val="00D56336"/>
    <w:rsid w:val="00D56FAE"/>
    <w:rsid w:val="00D5718E"/>
    <w:rsid w:val="00D5771F"/>
    <w:rsid w:val="00D577B2"/>
    <w:rsid w:val="00D604ED"/>
    <w:rsid w:val="00D60F10"/>
    <w:rsid w:val="00D62BF4"/>
    <w:rsid w:val="00D634FD"/>
    <w:rsid w:val="00D636FF"/>
    <w:rsid w:val="00D64314"/>
    <w:rsid w:val="00D64567"/>
    <w:rsid w:val="00D646D8"/>
    <w:rsid w:val="00D659FA"/>
    <w:rsid w:val="00D65D3B"/>
    <w:rsid w:val="00D665F6"/>
    <w:rsid w:val="00D67EBE"/>
    <w:rsid w:val="00D7039D"/>
    <w:rsid w:val="00D704B0"/>
    <w:rsid w:val="00D7100F"/>
    <w:rsid w:val="00D7161A"/>
    <w:rsid w:val="00D72EF0"/>
    <w:rsid w:val="00D73215"/>
    <w:rsid w:val="00D744BC"/>
    <w:rsid w:val="00D74D73"/>
    <w:rsid w:val="00D75C55"/>
    <w:rsid w:val="00D76B29"/>
    <w:rsid w:val="00D76D98"/>
    <w:rsid w:val="00D77AFA"/>
    <w:rsid w:val="00D77FB1"/>
    <w:rsid w:val="00D8046D"/>
    <w:rsid w:val="00D80A35"/>
    <w:rsid w:val="00D81ADE"/>
    <w:rsid w:val="00D81D7C"/>
    <w:rsid w:val="00D821D2"/>
    <w:rsid w:val="00D83CCD"/>
    <w:rsid w:val="00D83D28"/>
    <w:rsid w:val="00D83E8F"/>
    <w:rsid w:val="00D83FF1"/>
    <w:rsid w:val="00D84F9E"/>
    <w:rsid w:val="00D870A5"/>
    <w:rsid w:val="00D87136"/>
    <w:rsid w:val="00D907F5"/>
    <w:rsid w:val="00D917FD"/>
    <w:rsid w:val="00D9264F"/>
    <w:rsid w:val="00D92F8A"/>
    <w:rsid w:val="00D93379"/>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57B"/>
    <w:rsid w:val="00DC287C"/>
    <w:rsid w:val="00DC2B68"/>
    <w:rsid w:val="00DC34D4"/>
    <w:rsid w:val="00DC3674"/>
    <w:rsid w:val="00DC5581"/>
    <w:rsid w:val="00DC674C"/>
    <w:rsid w:val="00DC7452"/>
    <w:rsid w:val="00DD05FF"/>
    <w:rsid w:val="00DD06EF"/>
    <w:rsid w:val="00DD0B9D"/>
    <w:rsid w:val="00DD0D00"/>
    <w:rsid w:val="00DD0DCA"/>
    <w:rsid w:val="00DD2CAD"/>
    <w:rsid w:val="00DD2CE7"/>
    <w:rsid w:val="00DD2ED8"/>
    <w:rsid w:val="00DD3370"/>
    <w:rsid w:val="00DD376D"/>
    <w:rsid w:val="00DD4286"/>
    <w:rsid w:val="00DD4383"/>
    <w:rsid w:val="00DD43B9"/>
    <w:rsid w:val="00DD4F6F"/>
    <w:rsid w:val="00DD7853"/>
    <w:rsid w:val="00DE1399"/>
    <w:rsid w:val="00DE1888"/>
    <w:rsid w:val="00DE1CDF"/>
    <w:rsid w:val="00DE1EBB"/>
    <w:rsid w:val="00DE2F78"/>
    <w:rsid w:val="00DE2FA9"/>
    <w:rsid w:val="00DE35EE"/>
    <w:rsid w:val="00DE39C4"/>
    <w:rsid w:val="00DE3C25"/>
    <w:rsid w:val="00DE3CF2"/>
    <w:rsid w:val="00DE419F"/>
    <w:rsid w:val="00DE44F7"/>
    <w:rsid w:val="00DE462E"/>
    <w:rsid w:val="00DE5652"/>
    <w:rsid w:val="00DE66F2"/>
    <w:rsid w:val="00DF0D48"/>
    <w:rsid w:val="00DF1FD2"/>
    <w:rsid w:val="00DF2C55"/>
    <w:rsid w:val="00DF3917"/>
    <w:rsid w:val="00DF3D68"/>
    <w:rsid w:val="00DF4C1E"/>
    <w:rsid w:val="00DF5151"/>
    <w:rsid w:val="00DF5373"/>
    <w:rsid w:val="00DF5BE1"/>
    <w:rsid w:val="00DF5F7E"/>
    <w:rsid w:val="00DF64FF"/>
    <w:rsid w:val="00E00F29"/>
    <w:rsid w:val="00E01129"/>
    <w:rsid w:val="00E01201"/>
    <w:rsid w:val="00E01C52"/>
    <w:rsid w:val="00E024A7"/>
    <w:rsid w:val="00E02E63"/>
    <w:rsid w:val="00E05F28"/>
    <w:rsid w:val="00E06D35"/>
    <w:rsid w:val="00E07F5E"/>
    <w:rsid w:val="00E1018C"/>
    <w:rsid w:val="00E118CC"/>
    <w:rsid w:val="00E12149"/>
    <w:rsid w:val="00E132AD"/>
    <w:rsid w:val="00E13809"/>
    <w:rsid w:val="00E1431C"/>
    <w:rsid w:val="00E14521"/>
    <w:rsid w:val="00E14850"/>
    <w:rsid w:val="00E171E9"/>
    <w:rsid w:val="00E171F6"/>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6931"/>
    <w:rsid w:val="00E27141"/>
    <w:rsid w:val="00E27F67"/>
    <w:rsid w:val="00E316DD"/>
    <w:rsid w:val="00E318EE"/>
    <w:rsid w:val="00E3316D"/>
    <w:rsid w:val="00E36A5F"/>
    <w:rsid w:val="00E404D3"/>
    <w:rsid w:val="00E410BA"/>
    <w:rsid w:val="00E4118B"/>
    <w:rsid w:val="00E41762"/>
    <w:rsid w:val="00E41A8B"/>
    <w:rsid w:val="00E42601"/>
    <w:rsid w:val="00E45359"/>
    <w:rsid w:val="00E45626"/>
    <w:rsid w:val="00E45EEA"/>
    <w:rsid w:val="00E4631A"/>
    <w:rsid w:val="00E46AEE"/>
    <w:rsid w:val="00E46C04"/>
    <w:rsid w:val="00E4769F"/>
    <w:rsid w:val="00E47A93"/>
    <w:rsid w:val="00E50C5D"/>
    <w:rsid w:val="00E50D84"/>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2586"/>
    <w:rsid w:val="00E72682"/>
    <w:rsid w:val="00E734C9"/>
    <w:rsid w:val="00E73D82"/>
    <w:rsid w:val="00E73FD9"/>
    <w:rsid w:val="00E801B6"/>
    <w:rsid w:val="00E80CF8"/>
    <w:rsid w:val="00E816C9"/>
    <w:rsid w:val="00E817DA"/>
    <w:rsid w:val="00E81D4B"/>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75FC"/>
    <w:rsid w:val="00EA02C5"/>
    <w:rsid w:val="00EA06C2"/>
    <w:rsid w:val="00EA0800"/>
    <w:rsid w:val="00EA0B57"/>
    <w:rsid w:val="00EA1072"/>
    <w:rsid w:val="00EA2AE8"/>
    <w:rsid w:val="00EA415F"/>
    <w:rsid w:val="00EA46E3"/>
    <w:rsid w:val="00EA4999"/>
    <w:rsid w:val="00EA513C"/>
    <w:rsid w:val="00EA576B"/>
    <w:rsid w:val="00EA5D05"/>
    <w:rsid w:val="00EA7670"/>
    <w:rsid w:val="00EB083C"/>
    <w:rsid w:val="00EB17EF"/>
    <w:rsid w:val="00EB20D2"/>
    <w:rsid w:val="00EB2305"/>
    <w:rsid w:val="00EB3DE4"/>
    <w:rsid w:val="00EB4580"/>
    <w:rsid w:val="00EB4DDB"/>
    <w:rsid w:val="00EB5C0D"/>
    <w:rsid w:val="00EB6C2E"/>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38A"/>
    <w:rsid w:val="00ED43AC"/>
    <w:rsid w:val="00ED4DFA"/>
    <w:rsid w:val="00ED54F5"/>
    <w:rsid w:val="00ED5C9D"/>
    <w:rsid w:val="00ED78C1"/>
    <w:rsid w:val="00ED7A70"/>
    <w:rsid w:val="00ED7DA5"/>
    <w:rsid w:val="00EE0A05"/>
    <w:rsid w:val="00EE0E28"/>
    <w:rsid w:val="00EE145D"/>
    <w:rsid w:val="00EE5BEF"/>
    <w:rsid w:val="00EE646B"/>
    <w:rsid w:val="00EE6962"/>
    <w:rsid w:val="00EE6D18"/>
    <w:rsid w:val="00EE7234"/>
    <w:rsid w:val="00EE78F6"/>
    <w:rsid w:val="00EE7A29"/>
    <w:rsid w:val="00EF0D9F"/>
    <w:rsid w:val="00EF1ECC"/>
    <w:rsid w:val="00EF2A7B"/>
    <w:rsid w:val="00EF2B3F"/>
    <w:rsid w:val="00EF30BD"/>
    <w:rsid w:val="00EF35EB"/>
    <w:rsid w:val="00EF3E73"/>
    <w:rsid w:val="00EF4F08"/>
    <w:rsid w:val="00EF5801"/>
    <w:rsid w:val="00EF63A9"/>
    <w:rsid w:val="00EF657C"/>
    <w:rsid w:val="00EF6DB2"/>
    <w:rsid w:val="00EF6F37"/>
    <w:rsid w:val="00F003BF"/>
    <w:rsid w:val="00F02DBA"/>
    <w:rsid w:val="00F0315C"/>
    <w:rsid w:val="00F0389C"/>
    <w:rsid w:val="00F04313"/>
    <w:rsid w:val="00F06086"/>
    <w:rsid w:val="00F0642E"/>
    <w:rsid w:val="00F0726F"/>
    <w:rsid w:val="00F07B12"/>
    <w:rsid w:val="00F07D69"/>
    <w:rsid w:val="00F1034D"/>
    <w:rsid w:val="00F1079F"/>
    <w:rsid w:val="00F117ED"/>
    <w:rsid w:val="00F11876"/>
    <w:rsid w:val="00F1193D"/>
    <w:rsid w:val="00F12A31"/>
    <w:rsid w:val="00F132B1"/>
    <w:rsid w:val="00F148C3"/>
    <w:rsid w:val="00F15796"/>
    <w:rsid w:val="00F15A83"/>
    <w:rsid w:val="00F15D66"/>
    <w:rsid w:val="00F15DEB"/>
    <w:rsid w:val="00F21D22"/>
    <w:rsid w:val="00F223DB"/>
    <w:rsid w:val="00F229E1"/>
    <w:rsid w:val="00F23AB2"/>
    <w:rsid w:val="00F24BC9"/>
    <w:rsid w:val="00F25A5C"/>
    <w:rsid w:val="00F27375"/>
    <w:rsid w:val="00F27CDB"/>
    <w:rsid w:val="00F30B77"/>
    <w:rsid w:val="00F31036"/>
    <w:rsid w:val="00F311E3"/>
    <w:rsid w:val="00F33F9D"/>
    <w:rsid w:val="00F34B11"/>
    <w:rsid w:val="00F35399"/>
    <w:rsid w:val="00F37298"/>
    <w:rsid w:val="00F373EB"/>
    <w:rsid w:val="00F37BD3"/>
    <w:rsid w:val="00F4040B"/>
    <w:rsid w:val="00F420A1"/>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7267"/>
    <w:rsid w:val="00F57E43"/>
    <w:rsid w:val="00F61966"/>
    <w:rsid w:val="00F621E0"/>
    <w:rsid w:val="00F6229B"/>
    <w:rsid w:val="00F623EA"/>
    <w:rsid w:val="00F628A5"/>
    <w:rsid w:val="00F62992"/>
    <w:rsid w:val="00F6300B"/>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78F"/>
    <w:rsid w:val="00F708ED"/>
    <w:rsid w:val="00F710D6"/>
    <w:rsid w:val="00F717E1"/>
    <w:rsid w:val="00F71D7D"/>
    <w:rsid w:val="00F72BDF"/>
    <w:rsid w:val="00F72EB3"/>
    <w:rsid w:val="00F73321"/>
    <w:rsid w:val="00F735A7"/>
    <w:rsid w:val="00F74441"/>
    <w:rsid w:val="00F745D9"/>
    <w:rsid w:val="00F75D17"/>
    <w:rsid w:val="00F76BB3"/>
    <w:rsid w:val="00F76D4E"/>
    <w:rsid w:val="00F772DA"/>
    <w:rsid w:val="00F7781E"/>
    <w:rsid w:val="00F81708"/>
    <w:rsid w:val="00F81F1D"/>
    <w:rsid w:val="00F82D68"/>
    <w:rsid w:val="00F8304F"/>
    <w:rsid w:val="00F847B5"/>
    <w:rsid w:val="00F85DFD"/>
    <w:rsid w:val="00F868BC"/>
    <w:rsid w:val="00F871F5"/>
    <w:rsid w:val="00F875DE"/>
    <w:rsid w:val="00F879B1"/>
    <w:rsid w:val="00F90D95"/>
    <w:rsid w:val="00F90F9D"/>
    <w:rsid w:val="00F91054"/>
    <w:rsid w:val="00F92653"/>
    <w:rsid w:val="00F92C69"/>
    <w:rsid w:val="00F9332E"/>
    <w:rsid w:val="00F94962"/>
    <w:rsid w:val="00F9521E"/>
    <w:rsid w:val="00F95E15"/>
    <w:rsid w:val="00F961DD"/>
    <w:rsid w:val="00F97015"/>
    <w:rsid w:val="00F9746E"/>
    <w:rsid w:val="00F974A9"/>
    <w:rsid w:val="00FA03B6"/>
    <w:rsid w:val="00FA1144"/>
    <w:rsid w:val="00FA1629"/>
    <w:rsid w:val="00FA226B"/>
    <w:rsid w:val="00FA2DC5"/>
    <w:rsid w:val="00FA33D9"/>
    <w:rsid w:val="00FA3486"/>
    <w:rsid w:val="00FA36DB"/>
    <w:rsid w:val="00FA429A"/>
    <w:rsid w:val="00FA4D82"/>
    <w:rsid w:val="00FA528E"/>
    <w:rsid w:val="00FA52E7"/>
    <w:rsid w:val="00FA5DD2"/>
    <w:rsid w:val="00FA63FC"/>
    <w:rsid w:val="00FA70D4"/>
    <w:rsid w:val="00FB092A"/>
    <w:rsid w:val="00FB0BC2"/>
    <w:rsid w:val="00FB2F90"/>
    <w:rsid w:val="00FB308E"/>
    <w:rsid w:val="00FB32D4"/>
    <w:rsid w:val="00FB3461"/>
    <w:rsid w:val="00FB48FD"/>
    <w:rsid w:val="00FB5CA3"/>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E0D70"/>
    <w:rsid w:val="00FE1A06"/>
    <w:rsid w:val="00FE2E8D"/>
    <w:rsid w:val="00FE3738"/>
    <w:rsid w:val="00FE3ACE"/>
    <w:rsid w:val="00FE3DF9"/>
    <w:rsid w:val="00FE4F1F"/>
    <w:rsid w:val="00FE513E"/>
    <w:rsid w:val="00FE531F"/>
    <w:rsid w:val="00FE5F67"/>
    <w:rsid w:val="00FE65F9"/>
    <w:rsid w:val="00FE7764"/>
    <w:rsid w:val="00FE7B08"/>
    <w:rsid w:val="00FF047B"/>
    <w:rsid w:val="00FF0F14"/>
    <w:rsid w:val="00FF177B"/>
    <w:rsid w:val="00FF249C"/>
    <w:rsid w:val="00FF2551"/>
    <w:rsid w:val="00FF2EA1"/>
    <w:rsid w:val="00FF35F6"/>
    <w:rsid w:val="00FF5C39"/>
    <w:rsid w:val="00FF5D32"/>
    <w:rsid w:val="00FF5D67"/>
    <w:rsid w:val="00FF6321"/>
    <w:rsid w:val="00FF7622"/>
    <w:rsid w:val="00FF7C46"/>
    <w:rsid w:val="01E22EEF"/>
    <w:rsid w:val="02094019"/>
    <w:rsid w:val="024876E8"/>
    <w:rsid w:val="025A3D10"/>
    <w:rsid w:val="02E0504F"/>
    <w:rsid w:val="02E97045"/>
    <w:rsid w:val="02FB6E41"/>
    <w:rsid w:val="03FB06D5"/>
    <w:rsid w:val="047A1299"/>
    <w:rsid w:val="048B07CE"/>
    <w:rsid w:val="04D12E16"/>
    <w:rsid w:val="04FD01C0"/>
    <w:rsid w:val="055E0BF4"/>
    <w:rsid w:val="05FC5579"/>
    <w:rsid w:val="06A52B79"/>
    <w:rsid w:val="06AB62C8"/>
    <w:rsid w:val="073A04FC"/>
    <w:rsid w:val="0772543B"/>
    <w:rsid w:val="077305E3"/>
    <w:rsid w:val="079F4F94"/>
    <w:rsid w:val="07CD0531"/>
    <w:rsid w:val="08D11764"/>
    <w:rsid w:val="096E10A3"/>
    <w:rsid w:val="0A530C57"/>
    <w:rsid w:val="0B242CDB"/>
    <w:rsid w:val="0B2D534F"/>
    <w:rsid w:val="0BBF6BB4"/>
    <w:rsid w:val="0BF12592"/>
    <w:rsid w:val="0C7809C1"/>
    <w:rsid w:val="0C9336AD"/>
    <w:rsid w:val="0EC05219"/>
    <w:rsid w:val="0F0A73C7"/>
    <w:rsid w:val="10D4508F"/>
    <w:rsid w:val="11402131"/>
    <w:rsid w:val="11FF1085"/>
    <w:rsid w:val="12274323"/>
    <w:rsid w:val="12792853"/>
    <w:rsid w:val="131979D7"/>
    <w:rsid w:val="13753309"/>
    <w:rsid w:val="14D500DC"/>
    <w:rsid w:val="1517452C"/>
    <w:rsid w:val="156C4FA6"/>
    <w:rsid w:val="15B3496F"/>
    <w:rsid w:val="15F202E1"/>
    <w:rsid w:val="15F73C52"/>
    <w:rsid w:val="160216D0"/>
    <w:rsid w:val="1641787C"/>
    <w:rsid w:val="1649653A"/>
    <w:rsid w:val="16AB203A"/>
    <w:rsid w:val="1705389A"/>
    <w:rsid w:val="174940E7"/>
    <w:rsid w:val="17656506"/>
    <w:rsid w:val="17A66650"/>
    <w:rsid w:val="17EA48C1"/>
    <w:rsid w:val="183E69BC"/>
    <w:rsid w:val="18701E4F"/>
    <w:rsid w:val="188F2709"/>
    <w:rsid w:val="18A0023E"/>
    <w:rsid w:val="18A349BF"/>
    <w:rsid w:val="18C76FC8"/>
    <w:rsid w:val="18DE5562"/>
    <w:rsid w:val="19D67B1E"/>
    <w:rsid w:val="1AC55489"/>
    <w:rsid w:val="1B5E62E3"/>
    <w:rsid w:val="1B8A18C6"/>
    <w:rsid w:val="1C620459"/>
    <w:rsid w:val="1C7366B7"/>
    <w:rsid w:val="1C9B1BC8"/>
    <w:rsid w:val="1D7E4261"/>
    <w:rsid w:val="1DBA42CB"/>
    <w:rsid w:val="1DC00253"/>
    <w:rsid w:val="1DE459E0"/>
    <w:rsid w:val="1E8E78CB"/>
    <w:rsid w:val="1F4D283F"/>
    <w:rsid w:val="1FD20D93"/>
    <w:rsid w:val="20B14FA8"/>
    <w:rsid w:val="21D05464"/>
    <w:rsid w:val="21E862D2"/>
    <w:rsid w:val="22CE2C3D"/>
    <w:rsid w:val="2377220B"/>
    <w:rsid w:val="23BB3852"/>
    <w:rsid w:val="23E62F23"/>
    <w:rsid w:val="23E67023"/>
    <w:rsid w:val="245C6B98"/>
    <w:rsid w:val="250C29D0"/>
    <w:rsid w:val="25F00525"/>
    <w:rsid w:val="260236E8"/>
    <w:rsid w:val="26D24959"/>
    <w:rsid w:val="272B2C33"/>
    <w:rsid w:val="278E1A78"/>
    <w:rsid w:val="291A6927"/>
    <w:rsid w:val="29AC3D11"/>
    <w:rsid w:val="29E178F4"/>
    <w:rsid w:val="2A092AB2"/>
    <w:rsid w:val="2A7E2845"/>
    <w:rsid w:val="2A991300"/>
    <w:rsid w:val="2C37731C"/>
    <w:rsid w:val="2C982A9C"/>
    <w:rsid w:val="2CEC10E5"/>
    <w:rsid w:val="2CF162E8"/>
    <w:rsid w:val="2D5B72F6"/>
    <w:rsid w:val="2DF94778"/>
    <w:rsid w:val="2E2547BF"/>
    <w:rsid w:val="2F37683A"/>
    <w:rsid w:val="2FE1241C"/>
    <w:rsid w:val="30305526"/>
    <w:rsid w:val="318E56C2"/>
    <w:rsid w:val="31EE26C8"/>
    <w:rsid w:val="31FB698F"/>
    <w:rsid w:val="32C7765E"/>
    <w:rsid w:val="32CA2532"/>
    <w:rsid w:val="33EB3CEE"/>
    <w:rsid w:val="34AB4DE7"/>
    <w:rsid w:val="34B0337D"/>
    <w:rsid w:val="34C9605D"/>
    <w:rsid w:val="35694166"/>
    <w:rsid w:val="361E17CD"/>
    <w:rsid w:val="3660217B"/>
    <w:rsid w:val="36746E1E"/>
    <w:rsid w:val="36F529A6"/>
    <w:rsid w:val="37F073E0"/>
    <w:rsid w:val="38431C78"/>
    <w:rsid w:val="387E353F"/>
    <w:rsid w:val="39854573"/>
    <w:rsid w:val="39D76AC2"/>
    <w:rsid w:val="39EE41F3"/>
    <w:rsid w:val="3AB73588"/>
    <w:rsid w:val="3ABF338F"/>
    <w:rsid w:val="3AE414BC"/>
    <w:rsid w:val="3B11419E"/>
    <w:rsid w:val="3D5D2570"/>
    <w:rsid w:val="3D6441D9"/>
    <w:rsid w:val="3DFB3C1D"/>
    <w:rsid w:val="3EFC0D98"/>
    <w:rsid w:val="3F644550"/>
    <w:rsid w:val="3FAF148D"/>
    <w:rsid w:val="401B42B1"/>
    <w:rsid w:val="401D42A1"/>
    <w:rsid w:val="40204DC6"/>
    <w:rsid w:val="403861BE"/>
    <w:rsid w:val="40565757"/>
    <w:rsid w:val="40DD7C7A"/>
    <w:rsid w:val="41650F9C"/>
    <w:rsid w:val="42004864"/>
    <w:rsid w:val="424A5077"/>
    <w:rsid w:val="426C0506"/>
    <w:rsid w:val="43232629"/>
    <w:rsid w:val="445115D2"/>
    <w:rsid w:val="44E655CC"/>
    <w:rsid w:val="45D17A1D"/>
    <w:rsid w:val="46064ACA"/>
    <w:rsid w:val="473B0685"/>
    <w:rsid w:val="47411156"/>
    <w:rsid w:val="47663DBE"/>
    <w:rsid w:val="47733101"/>
    <w:rsid w:val="478F1D61"/>
    <w:rsid w:val="47B343B5"/>
    <w:rsid w:val="480C5B3E"/>
    <w:rsid w:val="48EB642B"/>
    <w:rsid w:val="493440B0"/>
    <w:rsid w:val="4A621E0C"/>
    <w:rsid w:val="4AA916E7"/>
    <w:rsid w:val="4B5F2195"/>
    <w:rsid w:val="4BDE257A"/>
    <w:rsid w:val="4C051C9C"/>
    <w:rsid w:val="4C0650FC"/>
    <w:rsid w:val="4C2F48E8"/>
    <w:rsid w:val="4C6774D3"/>
    <w:rsid w:val="4DB92B07"/>
    <w:rsid w:val="4EA973E8"/>
    <w:rsid w:val="4EAC070E"/>
    <w:rsid w:val="4EC0153A"/>
    <w:rsid w:val="4EFF0E96"/>
    <w:rsid w:val="4F83650B"/>
    <w:rsid w:val="4F837F80"/>
    <w:rsid w:val="4FE56D34"/>
    <w:rsid w:val="50AE5B33"/>
    <w:rsid w:val="50C529B2"/>
    <w:rsid w:val="51185ECD"/>
    <w:rsid w:val="514D16F8"/>
    <w:rsid w:val="51AE5717"/>
    <w:rsid w:val="52124463"/>
    <w:rsid w:val="52511E01"/>
    <w:rsid w:val="52627DAB"/>
    <w:rsid w:val="53060114"/>
    <w:rsid w:val="53287732"/>
    <w:rsid w:val="53FA789B"/>
    <w:rsid w:val="541F03AC"/>
    <w:rsid w:val="547406A5"/>
    <w:rsid w:val="54CA0AEC"/>
    <w:rsid w:val="55512FE3"/>
    <w:rsid w:val="56B2378D"/>
    <w:rsid w:val="570E1B7D"/>
    <w:rsid w:val="587D13BE"/>
    <w:rsid w:val="589658F5"/>
    <w:rsid w:val="591612EA"/>
    <w:rsid w:val="594F2A8B"/>
    <w:rsid w:val="59DD2FE2"/>
    <w:rsid w:val="5A0F6842"/>
    <w:rsid w:val="5A7D1893"/>
    <w:rsid w:val="5AD9194A"/>
    <w:rsid w:val="5AF65560"/>
    <w:rsid w:val="5B4E5095"/>
    <w:rsid w:val="5B553B69"/>
    <w:rsid w:val="5CD478FD"/>
    <w:rsid w:val="5D246E7A"/>
    <w:rsid w:val="5D431218"/>
    <w:rsid w:val="5D4361AE"/>
    <w:rsid w:val="5E520791"/>
    <w:rsid w:val="5E535EE5"/>
    <w:rsid w:val="5E726A76"/>
    <w:rsid w:val="5EC6593C"/>
    <w:rsid w:val="5FAA1071"/>
    <w:rsid w:val="5FF655F4"/>
    <w:rsid w:val="6105188D"/>
    <w:rsid w:val="61533A4A"/>
    <w:rsid w:val="61DF2C4E"/>
    <w:rsid w:val="62251304"/>
    <w:rsid w:val="625E14D8"/>
    <w:rsid w:val="63767625"/>
    <w:rsid w:val="64592905"/>
    <w:rsid w:val="64AA535B"/>
    <w:rsid w:val="654939E3"/>
    <w:rsid w:val="65A82464"/>
    <w:rsid w:val="65CC201A"/>
    <w:rsid w:val="65D01B96"/>
    <w:rsid w:val="670648FC"/>
    <w:rsid w:val="6845219F"/>
    <w:rsid w:val="68A77392"/>
    <w:rsid w:val="69490586"/>
    <w:rsid w:val="6A6A6FEF"/>
    <w:rsid w:val="6AED50CA"/>
    <w:rsid w:val="6C100C01"/>
    <w:rsid w:val="6D3214C6"/>
    <w:rsid w:val="6D8F359F"/>
    <w:rsid w:val="6E2E04FD"/>
    <w:rsid w:val="6EA02F2B"/>
    <w:rsid w:val="6EB428FB"/>
    <w:rsid w:val="6EFC09F4"/>
    <w:rsid w:val="6F074403"/>
    <w:rsid w:val="6FA678F9"/>
    <w:rsid w:val="6FF758AD"/>
    <w:rsid w:val="711562F7"/>
    <w:rsid w:val="715F4A78"/>
    <w:rsid w:val="717D38C6"/>
    <w:rsid w:val="72DB02EA"/>
    <w:rsid w:val="72DF0017"/>
    <w:rsid w:val="73E2490F"/>
    <w:rsid w:val="74FE30DA"/>
    <w:rsid w:val="757035C8"/>
    <w:rsid w:val="759D68D9"/>
    <w:rsid w:val="75F7445B"/>
    <w:rsid w:val="77A071CF"/>
    <w:rsid w:val="782177E9"/>
    <w:rsid w:val="78333C51"/>
    <w:rsid w:val="7A430EA6"/>
    <w:rsid w:val="7A9D0F2F"/>
    <w:rsid w:val="7B3F716E"/>
    <w:rsid w:val="7DF604DA"/>
    <w:rsid w:val="7E116F41"/>
    <w:rsid w:val="7FC66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0"/>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299"/>
    <w:qFormat/>
    <w:uiPriority w:val="0"/>
    <w:pPr>
      <w:keepNext/>
      <w:keepLines/>
      <w:spacing w:before="260" w:after="260" w:line="416" w:lineRule="auto"/>
      <w:outlineLvl w:val="2"/>
    </w:pPr>
    <w:rPr>
      <w:b/>
      <w:bCs/>
      <w:sz w:val="32"/>
      <w:szCs w:val="32"/>
    </w:rPr>
  </w:style>
  <w:style w:type="paragraph" w:styleId="6">
    <w:name w:val="heading 4"/>
    <w:basedOn w:val="1"/>
    <w:next w:val="1"/>
    <w:link w:val="158"/>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2"/>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8"/>
    <w:qFormat/>
    <w:uiPriority w:val="0"/>
    <w:pPr>
      <w:keepNext/>
      <w:keepLines/>
      <w:ind w:firstLine="200" w:firstLineChars="200"/>
      <w:outlineLvl w:val="5"/>
    </w:pPr>
    <w:rPr>
      <w:rFonts w:hAnsi="Arial"/>
    </w:rPr>
  </w:style>
  <w:style w:type="paragraph" w:styleId="10">
    <w:name w:val="heading 7"/>
    <w:basedOn w:val="1"/>
    <w:next w:val="1"/>
    <w:link w:val="28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2"/>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5"/>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2"/>
    <w:qFormat/>
    <w:uiPriority w:val="0"/>
    <w:pPr>
      <w:shd w:val="clear" w:color="auto" w:fill="000080"/>
    </w:pPr>
  </w:style>
  <w:style w:type="paragraph" w:styleId="16">
    <w:name w:val="annotation text"/>
    <w:basedOn w:val="1"/>
    <w:link w:val="305"/>
    <w:qFormat/>
    <w:uiPriority w:val="99"/>
    <w:pPr>
      <w:jc w:val="left"/>
    </w:pPr>
  </w:style>
  <w:style w:type="paragraph" w:styleId="17">
    <w:name w:val="Body Text 3"/>
    <w:basedOn w:val="1"/>
    <w:link w:val="257"/>
    <w:qFormat/>
    <w:uiPriority w:val="0"/>
    <w:pPr>
      <w:spacing w:after="120"/>
    </w:pPr>
    <w:rPr>
      <w:sz w:val="16"/>
      <w:szCs w:val="16"/>
    </w:rPr>
  </w:style>
  <w:style w:type="paragraph" w:styleId="18">
    <w:name w:val="Body Text Indent"/>
    <w:basedOn w:val="1"/>
    <w:link w:val="240"/>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2"/>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6"/>
    <w:qFormat/>
    <w:uiPriority w:val="0"/>
    <w:pPr>
      <w:ind w:left="100" w:leftChars="2500"/>
    </w:pPr>
  </w:style>
  <w:style w:type="paragraph" w:styleId="26">
    <w:name w:val="Body Text Indent 2"/>
    <w:basedOn w:val="1"/>
    <w:link w:val="237"/>
    <w:qFormat/>
    <w:uiPriority w:val="0"/>
    <w:pPr>
      <w:widowControl/>
      <w:spacing w:line="480" w:lineRule="auto"/>
      <w:ind w:firstLine="560"/>
      <w:jc w:val="left"/>
    </w:pPr>
    <w:rPr>
      <w:kern w:val="0"/>
      <w:sz w:val="28"/>
    </w:rPr>
  </w:style>
  <w:style w:type="paragraph" w:styleId="27">
    <w:name w:val="endnote text"/>
    <w:basedOn w:val="1"/>
    <w:link w:val="210"/>
    <w:qFormat/>
    <w:uiPriority w:val="0"/>
    <w:pPr>
      <w:widowControl/>
      <w:snapToGrid w:val="0"/>
      <w:jc w:val="left"/>
    </w:pPr>
    <w:rPr>
      <w:rFonts w:ascii="Arial" w:hAnsi="Arial" w:cs="Arial"/>
      <w:kern w:val="0"/>
      <w:sz w:val="20"/>
      <w:lang w:eastAsia="en-US"/>
    </w:rPr>
  </w:style>
  <w:style w:type="paragraph" w:styleId="28">
    <w:name w:val="Balloon Text"/>
    <w:basedOn w:val="1"/>
    <w:link w:val="205"/>
    <w:qFormat/>
    <w:uiPriority w:val="0"/>
    <w:rPr>
      <w:sz w:val="18"/>
      <w:szCs w:val="18"/>
    </w:rPr>
  </w:style>
  <w:style w:type="paragraph" w:styleId="29">
    <w:name w:val="footer"/>
    <w:basedOn w:val="1"/>
    <w:link w:val="197"/>
    <w:qFormat/>
    <w:uiPriority w:val="0"/>
    <w:pPr>
      <w:tabs>
        <w:tab w:val="center" w:pos="4153"/>
        <w:tab w:val="right" w:pos="8306"/>
      </w:tabs>
      <w:snapToGrid w:val="0"/>
      <w:jc w:val="left"/>
    </w:pPr>
    <w:rPr>
      <w:sz w:val="18"/>
      <w:szCs w:val="18"/>
    </w:rPr>
  </w:style>
  <w:style w:type="paragraph" w:styleId="30">
    <w:name w:val="header"/>
    <w:basedOn w:val="1"/>
    <w:link w:val="291"/>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7"/>
    <w:qFormat/>
    <w:uiPriority w:val="0"/>
    <w:pPr>
      <w:widowControl/>
      <w:jc w:val="center"/>
    </w:pPr>
    <w:rPr>
      <w:kern w:val="0"/>
      <w:sz w:val="20"/>
      <w:u w:val="single"/>
      <w:lang w:eastAsia="en-US"/>
    </w:rPr>
  </w:style>
  <w:style w:type="paragraph" w:styleId="34">
    <w:name w:val="footnote text"/>
    <w:basedOn w:val="1"/>
    <w:link w:val="2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4"/>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1"/>
    <w:qFormat/>
    <w:uiPriority w:val="0"/>
    <w:rPr>
      <w:i/>
      <w:iCs/>
      <w:sz w:val="26"/>
    </w:rPr>
  </w:style>
  <w:style w:type="paragraph" w:styleId="40">
    <w:name w:val="HTML Preformatted"/>
    <w:basedOn w:val="1"/>
    <w:link w:val="16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6"/>
    <w:qFormat/>
    <w:uiPriority w:val="0"/>
    <w:pPr>
      <w:widowControl/>
      <w:jc w:val="center"/>
    </w:pPr>
    <w:rPr>
      <w:kern w:val="0"/>
      <w:sz w:val="20"/>
      <w:u w:val="single"/>
      <w:lang w:eastAsia="en-US"/>
    </w:rPr>
  </w:style>
  <w:style w:type="paragraph" w:styleId="44">
    <w:name w:val="annotation subject"/>
    <w:basedOn w:val="16"/>
    <w:next w:val="16"/>
    <w:link w:val="280"/>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styleId="56">
    <w:name w:val="List Paragraph"/>
    <w:basedOn w:val="1"/>
    <w:qFormat/>
    <w:uiPriority w:val="99"/>
    <w:pPr>
      <w:ind w:firstLine="420" w:firstLineChars="200"/>
    </w:pPr>
    <w:rPr>
      <w:sz w:val="28"/>
      <w:szCs w:val="28"/>
    </w:rPr>
  </w:style>
  <w:style w:type="paragraph" w:customStyle="1" w:styleId="57">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8">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5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0">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1">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2">
    <w:name w:val="1 Char"/>
    <w:basedOn w:val="1"/>
    <w:qFormat/>
    <w:uiPriority w:val="0"/>
    <w:pPr>
      <w:widowControl/>
      <w:spacing w:after="160" w:line="240" w:lineRule="exact"/>
      <w:jc w:val="left"/>
    </w:pPr>
    <w:rPr>
      <w:rFonts w:ascii="Calibri" w:hAnsi="Calibri"/>
      <w:szCs w:val="20"/>
    </w:rPr>
  </w:style>
  <w:style w:type="paragraph" w:customStyle="1" w:styleId="63">
    <w:name w:val="列表段落1"/>
    <w:basedOn w:val="1"/>
    <w:qFormat/>
    <w:uiPriority w:val="34"/>
    <w:pPr>
      <w:ind w:firstLine="420" w:firstLineChars="200"/>
    </w:pPr>
    <w:rPr>
      <w:rFonts w:ascii="Calibri" w:hAnsi="Calibri"/>
    </w:rPr>
  </w:style>
  <w:style w:type="paragraph" w:customStyle="1" w:styleId="64">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5">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7">
    <w:name w:val="TOC 标题2"/>
    <w:basedOn w:val="3"/>
    <w:next w:val="1"/>
    <w:unhideWhenUsed/>
    <w:qFormat/>
    <w:uiPriority w:val="0"/>
    <w:pPr>
      <w:outlineLvl w:val="9"/>
    </w:pPr>
    <w:rPr>
      <w:rFonts w:ascii="Calibri" w:hAnsi="Calibri"/>
    </w:rPr>
  </w:style>
  <w:style w:type="paragraph" w:customStyle="1" w:styleId="68">
    <w:name w:val="样式1"/>
    <w:basedOn w:val="1"/>
    <w:next w:val="6"/>
    <w:qFormat/>
    <w:uiPriority w:val="0"/>
    <w:pPr>
      <w:spacing w:line="360" w:lineRule="auto"/>
      <w:ind w:firstLine="420" w:firstLineChars="200"/>
    </w:pPr>
    <w:rPr>
      <w:rFonts w:ascii="宋体" w:hAnsi="宋体"/>
      <w:szCs w:val="21"/>
    </w:rPr>
  </w:style>
  <w:style w:type="paragraph" w:customStyle="1" w:styleId="69">
    <w:name w:val="列出段落1"/>
    <w:basedOn w:val="1"/>
    <w:qFormat/>
    <w:uiPriority w:val="0"/>
    <w:pPr>
      <w:ind w:firstLine="420" w:firstLineChars="200"/>
    </w:pPr>
    <w:rPr>
      <w:sz w:val="28"/>
      <w:szCs w:val="28"/>
    </w:rPr>
  </w:style>
  <w:style w:type="paragraph" w:customStyle="1" w:styleId="70">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1">
    <w:name w:val="pa-27"/>
    <w:basedOn w:val="1"/>
    <w:qFormat/>
    <w:uiPriority w:val="0"/>
    <w:pPr>
      <w:widowControl/>
      <w:spacing w:line="360" w:lineRule="atLeast"/>
      <w:ind w:firstLine="420"/>
    </w:pPr>
    <w:rPr>
      <w:rFonts w:ascii="宋体" w:hAnsi="宋体" w:cs="宋体"/>
      <w:kern w:val="0"/>
      <w:sz w:val="24"/>
    </w:rPr>
  </w:style>
  <w:style w:type="paragraph" w:customStyle="1" w:styleId="72">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_Style 72"/>
    <w:qFormat/>
    <w:uiPriority w:val="0"/>
    <w:rPr>
      <w:rFonts w:ascii="Times New Roman" w:hAnsi="Times New Roman" w:eastAsia="宋体" w:cs="Times New Roman"/>
      <w:kern w:val="2"/>
      <w:sz w:val="21"/>
      <w:szCs w:val="24"/>
      <w:lang w:val="en-US" w:eastAsia="zh-CN" w:bidi="ar-SA"/>
    </w:rPr>
  </w:style>
  <w:style w:type="paragraph" w:customStyle="1" w:styleId="7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6">
    <w:name w:val="Char Char Char Char"/>
    <w:basedOn w:val="15"/>
    <w:qFormat/>
    <w:uiPriority w:val="0"/>
    <w:pPr>
      <w:spacing w:line="360" w:lineRule="auto"/>
      <w:ind w:firstLine="200" w:firstLineChars="200"/>
    </w:pPr>
    <w:rPr>
      <w:rFonts w:ascii="Tahoma" w:hAnsi="Tahoma"/>
      <w:sz w:val="24"/>
    </w:rPr>
  </w:style>
  <w:style w:type="paragraph" w:customStyle="1" w:styleId="77">
    <w:name w:val="表格内容"/>
    <w:basedOn w:val="1"/>
    <w:qFormat/>
    <w:uiPriority w:val="0"/>
    <w:pPr>
      <w:suppressLineNumbers/>
      <w:suppressAutoHyphens/>
    </w:pPr>
  </w:style>
  <w:style w:type="paragraph" w:customStyle="1" w:styleId="78">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81">
    <w:name w:val="Intense Quote"/>
    <w:basedOn w:val="1"/>
    <w:next w:val="1"/>
    <w:link w:val="275"/>
    <w:qFormat/>
    <w:uiPriority w:val="0"/>
    <w:pPr>
      <w:pBdr>
        <w:bottom w:val="single" w:color="4F81BD" w:sz="4" w:space="4"/>
      </w:pBdr>
      <w:spacing w:before="200" w:after="280"/>
      <w:ind w:left="936" w:right="936"/>
    </w:pPr>
    <w:rPr>
      <w:b/>
      <w:bCs/>
      <w:i/>
      <w:iCs/>
      <w:color w:val="4F81BD"/>
      <w:szCs w:val="22"/>
    </w:rPr>
  </w:style>
  <w:style w:type="paragraph" w:customStyle="1" w:styleId="82">
    <w:name w:val="表体"/>
    <w:basedOn w:val="1"/>
    <w:next w:val="1"/>
    <w:qFormat/>
    <w:uiPriority w:val="0"/>
    <w:pPr>
      <w:spacing w:line="0" w:lineRule="atLeast"/>
    </w:pPr>
    <w:rPr>
      <w:rFonts w:ascii="Calibri" w:hAnsi="Calibri"/>
      <w:b/>
      <w:snapToGrid w:val="0"/>
      <w:szCs w:val="20"/>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pa-34"/>
    <w:basedOn w:val="1"/>
    <w:qFormat/>
    <w:uiPriority w:val="0"/>
    <w:pPr>
      <w:widowControl/>
      <w:spacing w:line="360" w:lineRule="atLeast"/>
      <w:ind w:firstLine="420"/>
      <w:jc w:val="left"/>
    </w:pPr>
    <w:rPr>
      <w:rFonts w:ascii="宋体" w:hAnsi="宋体" w:cs="宋体"/>
      <w:kern w:val="0"/>
      <w:sz w:val="24"/>
    </w:rPr>
  </w:style>
  <w:style w:type="paragraph" w:customStyle="1" w:styleId="85">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87">
    <w:name w:val="p16"/>
    <w:basedOn w:val="1"/>
    <w:qFormat/>
    <w:uiPriority w:val="0"/>
    <w:pPr>
      <w:widowControl/>
    </w:pPr>
    <w:rPr>
      <w:rFonts w:ascii="Calibri" w:hAnsi="Calibri" w:cs="宋体"/>
      <w:kern w:val="0"/>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9">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1">
    <w:name w:val="标题4"/>
    <w:basedOn w:val="4"/>
    <w:next w:val="20"/>
    <w:link w:val="286"/>
    <w:qFormat/>
    <w:uiPriority w:val="0"/>
    <w:pPr>
      <w:spacing w:line="413" w:lineRule="auto"/>
    </w:pPr>
    <w:rPr>
      <w:rFonts w:ascii="Arial" w:hAnsi="Arial"/>
      <w:kern w:val="0"/>
      <w:sz w:val="24"/>
    </w:rPr>
  </w:style>
  <w:style w:type="paragraph" w:customStyle="1" w:styleId="92">
    <w:name w:val="Char Char"/>
    <w:basedOn w:val="1"/>
    <w:qFormat/>
    <w:uiPriority w:val="0"/>
    <w:pPr>
      <w:widowControl/>
      <w:jc w:val="left"/>
    </w:pPr>
    <w:rPr>
      <w:rFonts w:ascii="Verdana" w:hAnsi="Verdana" w:eastAsia="Times New Roman"/>
      <w:kern w:val="0"/>
      <w:sz w:val="16"/>
      <w:szCs w:val="20"/>
      <w:lang w:eastAsia="en-US"/>
    </w:rPr>
  </w:style>
  <w:style w:type="paragraph" w:customStyle="1" w:styleId="9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5">
    <w:name w:val="WW-表格内容"/>
    <w:basedOn w:val="1"/>
    <w:qFormat/>
    <w:uiPriority w:val="0"/>
    <w:pPr>
      <w:suppressLineNumbers/>
      <w:suppressAutoHyphens/>
    </w:pPr>
  </w:style>
  <w:style w:type="paragraph" w:customStyle="1" w:styleId="96">
    <w:name w:val="Char"/>
    <w:basedOn w:val="1"/>
    <w:qFormat/>
    <w:uiPriority w:val="0"/>
  </w:style>
  <w:style w:type="paragraph" w:customStyle="1" w:styleId="97">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8">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99">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1">
    <w:name w:val="Char9 Char Char Char Char Char Char"/>
    <w:basedOn w:val="15"/>
    <w:qFormat/>
    <w:uiPriority w:val="0"/>
    <w:pPr>
      <w:spacing w:line="360" w:lineRule="auto"/>
      <w:ind w:firstLine="200" w:firstLineChars="200"/>
    </w:pPr>
    <w:rPr>
      <w:rFonts w:ascii="Tahoma" w:hAnsi="Tahoma"/>
      <w:sz w:val="24"/>
    </w:rPr>
  </w:style>
  <w:style w:type="paragraph" w:customStyle="1" w:styleId="1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4">
    <w:name w:val="p15"/>
    <w:basedOn w:val="1"/>
    <w:qFormat/>
    <w:uiPriority w:val="0"/>
    <w:pPr>
      <w:widowControl/>
      <w:spacing w:after="120"/>
    </w:pPr>
    <w:rPr>
      <w:kern w:val="0"/>
      <w:szCs w:val="21"/>
    </w:rPr>
  </w:style>
  <w:style w:type="paragraph" w:customStyle="1" w:styleId="105">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6">
    <w:name w:val="正  文"/>
    <w:basedOn w:val="1"/>
    <w:qFormat/>
    <w:uiPriority w:val="0"/>
    <w:pPr>
      <w:spacing w:line="360" w:lineRule="auto"/>
      <w:ind w:firstLine="200" w:firstLineChars="200"/>
    </w:pPr>
    <w:rPr>
      <w:rFonts w:ascii="宋体" w:hAnsi="Calibri"/>
      <w:sz w:val="24"/>
    </w:rPr>
  </w:style>
  <w:style w:type="paragraph" w:customStyle="1" w:styleId="107">
    <w:name w:val="列出段落11"/>
    <w:basedOn w:val="1"/>
    <w:qFormat/>
    <w:uiPriority w:val="0"/>
    <w:pPr>
      <w:ind w:firstLine="420" w:firstLineChars="200"/>
    </w:pPr>
    <w:rPr>
      <w:sz w:val="28"/>
      <w:szCs w:val="28"/>
    </w:rPr>
  </w:style>
  <w:style w:type="paragraph" w:customStyle="1" w:styleId="10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0">
    <w:name w:val="_Style 96"/>
    <w:semiHidden/>
    <w:qFormat/>
    <w:uiPriority w:val="99"/>
    <w:rPr>
      <w:rFonts w:ascii="Calibri" w:hAnsi="Calibri" w:eastAsia="宋体" w:cs="Times New Roman"/>
      <w:kern w:val="2"/>
      <w:sz w:val="21"/>
      <w:szCs w:val="24"/>
      <w:lang w:val="en-US" w:eastAsia="zh-CN" w:bidi="ar-SA"/>
    </w:rPr>
  </w:style>
  <w:style w:type="paragraph" w:customStyle="1" w:styleId="111">
    <w:name w:val="表格文字"/>
    <w:basedOn w:val="1"/>
    <w:qFormat/>
    <w:uiPriority w:val="0"/>
    <w:pPr>
      <w:adjustRightInd w:val="0"/>
      <w:spacing w:line="420" w:lineRule="atLeast"/>
      <w:jc w:val="left"/>
      <w:textAlignment w:val="baseline"/>
    </w:pPr>
    <w:rPr>
      <w:kern w:val="0"/>
      <w:szCs w:val="20"/>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Char1"/>
    <w:basedOn w:val="1"/>
    <w:qFormat/>
    <w:uiPriority w:val="0"/>
  </w:style>
  <w:style w:type="paragraph" w:customStyle="1" w:styleId="11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5">
    <w:name w:val="引用2"/>
    <w:basedOn w:val="1"/>
    <w:next w:val="1"/>
    <w:link w:val="238"/>
    <w:qFormat/>
    <w:uiPriority w:val="0"/>
    <w:rPr>
      <w:i/>
      <w:iCs/>
      <w:color w:val="000000"/>
    </w:rPr>
  </w:style>
  <w:style w:type="paragraph" w:customStyle="1" w:styleId="116">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styleId="117">
    <w:name w:val="Quote"/>
    <w:basedOn w:val="1"/>
    <w:next w:val="1"/>
    <w:link w:val="188"/>
    <w:qFormat/>
    <w:uiPriority w:val="0"/>
    <w:rPr>
      <w:i/>
      <w:iCs/>
      <w:color w:val="000000"/>
      <w:szCs w:val="22"/>
    </w:rPr>
  </w:style>
  <w:style w:type="paragraph" w:customStyle="1" w:styleId="118">
    <w:name w:val="修订1"/>
    <w:qFormat/>
    <w:uiPriority w:val="0"/>
    <w:rPr>
      <w:rFonts w:ascii="Times New Roman" w:hAnsi="Times New Roman" w:eastAsia="宋体" w:cs="Times New Roman"/>
      <w:kern w:val="2"/>
      <w:sz w:val="21"/>
      <w:szCs w:val="24"/>
      <w:lang w:val="en-US" w:eastAsia="zh-CN" w:bidi="ar-SA"/>
    </w:rPr>
  </w:style>
  <w:style w:type="paragraph" w:customStyle="1" w:styleId="11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0">
    <w:name w:val="Char2"/>
    <w:basedOn w:val="1"/>
    <w:qFormat/>
    <w:uiPriority w:val="0"/>
    <w:rPr>
      <w:rFonts w:ascii="Calibri" w:hAnsi="Calibri"/>
    </w:rPr>
  </w:style>
  <w:style w:type="paragraph" w:customStyle="1" w:styleId="121">
    <w:name w:val="标题5"/>
    <w:basedOn w:val="5"/>
    <w:link w:val="284"/>
    <w:qFormat/>
    <w:uiPriority w:val="0"/>
    <w:pPr>
      <w:spacing w:line="413" w:lineRule="auto"/>
    </w:pPr>
    <w:rPr>
      <w:rFonts w:ascii="Arial" w:hAnsi="Arial"/>
      <w:kern w:val="0"/>
      <w:sz w:val="24"/>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表格标题"/>
    <w:basedOn w:val="77"/>
    <w:qFormat/>
    <w:uiPriority w:val="0"/>
  </w:style>
  <w:style w:type="paragraph" w:customStyle="1" w:styleId="125">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6">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7">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WW-表格标题"/>
    <w:basedOn w:val="95"/>
    <w:qFormat/>
    <w:uiPriority w:val="0"/>
  </w:style>
  <w:style w:type="paragraph" w:customStyle="1" w:styleId="13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2">
    <w:name w:val="明显引用1"/>
    <w:basedOn w:val="1"/>
    <w:next w:val="1"/>
    <w:link w:val="248"/>
    <w:qFormat/>
    <w:uiPriority w:val="30"/>
    <w:pPr>
      <w:pBdr>
        <w:bottom w:val="single" w:color="4F81BD" w:sz="4" w:space="4"/>
      </w:pBdr>
      <w:spacing w:before="200" w:after="280"/>
      <w:ind w:left="936" w:right="936"/>
    </w:pPr>
    <w:rPr>
      <w:b/>
      <w:bCs/>
      <w:i/>
      <w:iCs/>
      <w:color w:val="4F81BD"/>
      <w:szCs w:val="20"/>
    </w:rPr>
  </w:style>
  <w:style w:type="paragraph" w:customStyle="1" w:styleId="133">
    <w:name w:val="标准样式1"/>
    <w:basedOn w:val="1"/>
    <w:qFormat/>
    <w:uiPriority w:val="0"/>
    <w:pPr>
      <w:spacing w:line="600" w:lineRule="exact"/>
      <w:ind w:firstLine="567"/>
    </w:pPr>
    <w:rPr>
      <w:rFonts w:ascii="Calibri" w:hAnsi="Calibri"/>
      <w:sz w:val="28"/>
    </w:rPr>
  </w:style>
  <w:style w:type="paragraph" w:customStyle="1" w:styleId="134">
    <w:name w:val="Char3"/>
    <w:basedOn w:val="1"/>
    <w:qFormat/>
    <w:uiPriority w:val="0"/>
  </w:style>
  <w:style w:type="paragraph" w:customStyle="1" w:styleId="13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7">
    <w:name w:val="引用1"/>
    <w:basedOn w:val="1"/>
    <w:next w:val="1"/>
    <w:link w:val="262"/>
    <w:qFormat/>
    <w:uiPriority w:val="29"/>
    <w:rPr>
      <w:i/>
      <w:iCs/>
      <w:color w:val="000000"/>
      <w:szCs w:val="20"/>
    </w:rPr>
  </w:style>
  <w:style w:type="paragraph" w:customStyle="1" w:styleId="138">
    <w:name w:val="_Style 87"/>
    <w:basedOn w:val="1"/>
    <w:qFormat/>
    <w:uiPriority w:val="99"/>
    <w:pPr>
      <w:ind w:firstLine="420" w:firstLineChars="200"/>
    </w:pPr>
    <w:rPr>
      <w:rFonts w:ascii="Calibri" w:hAnsi="Calibri"/>
      <w:sz w:val="28"/>
      <w:szCs w:val="28"/>
    </w:rPr>
  </w:style>
  <w:style w:type="paragraph" w:customStyle="1" w:styleId="139">
    <w:name w:val="自定样式1"/>
    <w:basedOn w:val="1"/>
    <w:qFormat/>
    <w:uiPriority w:val="0"/>
    <w:pPr>
      <w:suppressAutoHyphens/>
      <w:jc w:val="center"/>
    </w:pPr>
    <w:rPr>
      <w:rFonts w:ascii="宋体" w:hAnsi="宋体"/>
      <w:color w:val="000000"/>
      <w:sz w:val="18"/>
    </w:rPr>
  </w:style>
  <w:style w:type="paragraph" w:customStyle="1" w:styleId="14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42">
    <w:name w:val="未处理的提及"/>
    <w:unhideWhenUsed/>
    <w:qFormat/>
    <w:uiPriority w:val="99"/>
    <w:rPr>
      <w:color w:val="808080"/>
      <w:shd w:val="clear" w:color="auto" w:fill="E6E6E6"/>
    </w:rPr>
  </w:style>
  <w:style w:type="character" w:customStyle="1" w:styleId="143">
    <w:name w:val="正文文本 3 Char"/>
    <w:qFormat/>
    <w:uiPriority w:val="0"/>
    <w:rPr>
      <w:kern w:val="2"/>
      <w:sz w:val="16"/>
      <w:szCs w:val="16"/>
    </w:rPr>
  </w:style>
  <w:style w:type="character" w:customStyle="1" w:styleId="144">
    <w:name w:val="正文文本缩进 Char2"/>
    <w:semiHidden/>
    <w:qFormat/>
    <w:uiPriority w:val="99"/>
    <w:rPr>
      <w:rFonts w:ascii="Calibri" w:hAnsi="Calibri" w:eastAsia="宋体" w:cs="Times New Roman"/>
      <w:szCs w:val="24"/>
    </w:rPr>
  </w:style>
  <w:style w:type="character" w:customStyle="1" w:styleId="145">
    <w:name w:val="标题 3 Char"/>
    <w:qFormat/>
    <w:uiPriority w:val="0"/>
    <w:rPr>
      <w:rFonts w:ascii="仿宋_GB2312" w:hAnsi="Calibri" w:eastAsia="仿宋_GB2312" w:cs="Times New Roman"/>
      <w:b/>
      <w:kern w:val="0"/>
      <w:sz w:val="24"/>
      <w:szCs w:val="28"/>
    </w:rPr>
  </w:style>
  <w:style w:type="character" w:customStyle="1" w:styleId="146">
    <w:name w:val="批注框文本 Char2"/>
    <w:qFormat/>
    <w:uiPriority w:val="99"/>
    <w:rPr>
      <w:kern w:val="2"/>
      <w:sz w:val="18"/>
      <w:szCs w:val="18"/>
    </w:rPr>
  </w:style>
  <w:style w:type="character" w:customStyle="1" w:styleId="147">
    <w:name w:val="textcontents"/>
    <w:qFormat/>
    <w:uiPriority w:val="0"/>
    <w:rPr>
      <w:rFonts w:cs="Times New Roman"/>
    </w:rPr>
  </w:style>
  <w:style w:type="character" w:customStyle="1" w:styleId="148">
    <w:name w:val="ht1"/>
    <w:qFormat/>
    <w:uiPriority w:val="0"/>
    <w:rPr>
      <w:rFonts w:ascii="黑体" w:eastAsia="黑体"/>
      <w:b/>
      <w:bCs/>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14t1"/>
    <w:qFormat/>
    <w:uiPriority w:val="0"/>
    <w:rPr>
      <w:rFonts w:hint="eastAsia" w:ascii="宋体" w:hAnsi="宋体" w:eastAsia="宋体"/>
      <w:sz w:val="11"/>
      <w:szCs w:val="11"/>
    </w:rPr>
  </w:style>
  <w:style w:type="character" w:customStyle="1" w:styleId="151">
    <w:name w:val="Char Char36"/>
    <w:qFormat/>
    <w:uiPriority w:val="0"/>
    <w:rPr>
      <w:rFonts w:ascii="仿宋_GB2312" w:eastAsia="仿宋_GB2312" w:cs="MingLiU"/>
      <w:b/>
      <w:sz w:val="24"/>
      <w:szCs w:val="28"/>
    </w:rPr>
  </w:style>
  <w:style w:type="character" w:customStyle="1" w:styleId="152">
    <w:name w:val="文档结构图 Char"/>
    <w:qFormat/>
    <w:uiPriority w:val="0"/>
    <w:rPr>
      <w:rFonts w:ascii="宋体"/>
      <w:kern w:val="2"/>
      <w:sz w:val="18"/>
      <w:szCs w:val="18"/>
    </w:rPr>
  </w:style>
  <w:style w:type="character" w:customStyle="1" w:styleId="153">
    <w:name w:val="普通文字 Char Char2"/>
    <w:qFormat/>
    <w:uiPriority w:val="0"/>
    <w:rPr>
      <w:rFonts w:ascii="宋体" w:hAnsi="Courier New"/>
      <w:kern w:val="2"/>
      <w:sz w:val="28"/>
      <w:szCs w:val="28"/>
    </w:rPr>
  </w:style>
  <w:style w:type="character" w:customStyle="1" w:styleId="154">
    <w:name w:val="HTML 预设格式 Char"/>
    <w:qFormat/>
    <w:uiPriority w:val="0"/>
    <w:rPr>
      <w:rFonts w:ascii="宋体" w:hAnsi="宋体" w:eastAsia="宋体" w:cs="宋体"/>
      <w:color w:val="000000"/>
      <w:sz w:val="24"/>
      <w:szCs w:val="24"/>
    </w:rPr>
  </w:style>
  <w:style w:type="character" w:customStyle="1" w:styleId="155">
    <w:name w:val="纯文本 Char"/>
    <w:qFormat/>
    <w:uiPriority w:val="0"/>
    <w:rPr>
      <w:rFonts w:ascii="宋体" w:hAnsi="Courier New"/>
      <w:sz w:val="28"/>
      <w:szCs w:val="28"/>
    </w:rPr>
  </w:style>
  <w:style w:type="character" w:customStyle="1" w:styleId="156">
    <w:name w:val="批注框文本 Char"/>
    <w:qFormat/>
    <w:uiPriority w:val="0"/>
    <w:rPr>
      <w:sz w:val="18"/>
      <w:szCs w:val="18"/>
    </w:rPr>
  </w:style>
  <w:style w:type="character" w:customStyle="1" w:styleId="157">
    <w:name w:val="页脚 Char"/>
    <w:qFormat/>
    <w:uiPriority w:val="0"/>
    <w:rPr>
      <w:sz w:val="18"/>
      <w:szCs w:val="18"/>
    </w:rPr>
  </w:style>
  <w:style w:type="character" w:customStyle="1" w:styleId="158">
    <w:name w:val="标题 4 Char2"/>
    <w:link w:val="6"/>
    <w:qFormat/>
    <w:uiPriority w:val="0"/>
    <w:rPr>
      <w:rFonts w:ascii="宋体" w:hAnsi="宋体" w:eastAsia="宋体" w:cs="宋体"/>
      <w:b/>
      <w:bCs/>
      <w:sz w:val="24"/>
      <w:szCs w:val="24"/>
      <w:lang w:val="en-US" w:eastAsia="zh-CN" w:bidi="ar-SA"/>
    </w:rPr>
  </w:style>
  <w:style w:type="character" w:customStyle="1" w:styleId="159">
    <w:name w:val="正文文本缩进 3 Char"/>
    <w:qFormat/>
    <w:uiPriority w:val="0"/>
    <w:rPr>
      <w:kern w:val="2"/>
      <w:sz w:val="16"/>
      <w:szCs w:val="16"/>
    </w:rPr>
  </w:style>
  <w:style w:type="character" w:customStyle="1" w:styleId="160">
    <w:name w:val="标题 8 Char"/>
    <w:qFormat/>
    <w:uiPriority w:val="0"/>
    <w:rPr>
      <w:rFonts w:ascii="Arial" w:hAnsi="Arial" w:eastAsia="黑体" w:cs="Times New Roman"/>
      <w:sz w:val="24"/>
      <w:szCs w:val="24"/>
    </w:rPr>
  </w:style>
  <w:style w:type="character" w:customStyle="1" w:styleId="161">
    <w:name w:val="HTML 预设格式 Char3"/>
    <w:link w:val="40"/>
    <w:qFormat/>
    <w:uiPriority w:val="0"/>
    <w:rPr>
      <w:rFonts w:ascii="宋体" w:hAnsi="宋体" w:eastAsia="宋体" w:cs="宋体"/>
      <w:color w:val="000000"/>
      <w:sz w:val="24"/>
      <w:szCs w:val="24"/>
      <w:lang w:val="en-US" w:eastAsia="zh-CN" w:bidi="ar-SA"/>
    </w:rPr>
  </w:style>
  <w:style w:type="character" w:customStyle="1" w:styleId="162">
    <w:name w:val="文档结构图 Char4"/>
    <w:link w:val="15"/>
    <w:qFormat/>
    <w:uiPriority w:val="0"/>
    <w:rPr>
      <w:rFonts w:eastAsia="宋体"/>
      <w:kern w:val="2"/>
      <w:sz w:val="21"/>
      <w:szCs w:val="24"/>
      <w:lang w:val="en-US" w:eastAsia="zh-CN" w:bidi="ar-SA"/>
    </w:rPr>
  </w:style>
  <w:style w:type="character" w:customStyle="1" w:styleId="163">
    <w:name w:val="正文文本缩进 2 Char1"/>
    <w:qFormat/>
    <w:uiPriority w:val="0"/>
    <w:rPr>
      <w:sz w:val="28"/>
      <w:szCs w:val="24"/>
    </w:rPr>
  </w:style>
  <w:style w:type="character" w:customStyle="1" w:styleId="164">
    <w:name w:val="标题 5 Char1"/>
    <w:qFormat/>
    <w:uiPriority w:val="0"/>
    <w:rPr>
      <w:rFonts w:ascii="宋体" w:hAnsi="宋体" w:eastAsia="宋体" w:cs="宋体"/>
      <w:b/>
      <w:bCs/>
      <w:sz w:val="20"/>
      <w:szCs w:val="20"/>
    </w:rPr>
  </w:style>
  <w:style w:type="character" w:customStyle="1" w:styleId="165">
    <w:name w:val="批注文字 Char"/>
    <w:qFormat/>
    <w:uiPriority w:val="0"/>
    <w:rPr>
      <w:rFonts w:ascii="Times New Roman" w:hAnsi="Times New Roman" w:eastAsia="宋体" w:cs="Times New Roman"/>
      <w:kern w:val="2"/>
      <w:sz w:val="21"/>
      <w:szCs w:val="24"/>
    </w:rPr>
  </w:style>
  <w:style w:type="character" w:customStyle="1" w:styleId="166">
    <w:name w:val="日期 Char4"/>
    <w:link w:val="25"/>
    <w:qFormat/>
    <w:uiPriority w:val="0"/>
    <w:rPr>
      <w:rFonts w:eastAsia="宋体"/>
      <w:kern w:val="2"/>
      <w:sz w:val="21"/>
      <w:szCs w:val="24"/>
      <w:lang w:val="en-US" w:eastAsia="zh-CN" w:bidi="ar-SA"/>
    </w:rPr>
  </w:style>
  <w:style w:type="character" w:customStyle="1" w:styleId="167">
    <w:name w:val="style121"/>
    <w:qFormat/>
    <w:uiPriority w:val="0"/>
    <w:rPr>
      <w:rFonts w:hint="eastAsia" w:ascii="宋体" w:hAnsi="宋体" w:eastAsia="宋体"/>
      <w:sz w:val="18"/>
      <w:szCs w:val="18"/>
    </w:rPr>
  </w:style>
  <w:style w:type="character" w:customStyle="1" w:styleId="168">
    <w:name w:val="Section Char"/>
    <w:qFormat/>
    <w:uiPriority w:val="0"/>
    <w:rPr>
      <w:rFonts w:ascii="仿宋_GB2312" w:eastAsia="仿宋_GB2312" w:cs="MingLiU"/>
      <w:b/>
      <w:sz w:val="24"/>
      <w:szCs w:val="28"/>
      <w:lang w:val="en-US" w:eastAsia="zh-CN" w:bidi="ar-SA"/>
    </w:rPr>
  </w:style>
  <w:style w:type="character" w:customStyle="1" w:styleId="169">
    <w:name w:val="正文文本 3 Char1"/>
    <w:qFormat/>
    <w:uiPriority w:val="0"/>
    <w:rPr>
      <w:kern w:val="2"/>
      <w:sz w:val="16"/>
      <w:szCs w:val="16"/>
    </w:rPr>
  </w:style>
  <w:style w:type="character" w:customStyle="1" w:styleId="170">
    <w:name w:val="文档结构图 Char1"/>
    <w:qFormat/>
    <w:uiPriority w:val="0"/>
    <w:rPr>
      <w:rFonts w:ascii="宋体"/>
      <w:kern w:val="2"/>
      <w:sz w:val="18"/>
      <w:szCs w:val="18"/>
    </w:rPr>
  </w:style>
  <w:style w:type="character" w:customStyle="1" w:styleId="171">
    <w:name w:val="_Style 170"/>
    <w:qFormat/>
    <w:uiPriority w:val="0"/>
    <w:rPr>
      <w:i/>
      <w:iCs/>
      <w:color w:val="808080"/>
    </w:rPr>
  </w:style>
  <w:style w:type="character" w:customStyle="1" w:styleId="172">
    <w:name w:val="_Style 171"/>
    <w:qFormat/>
    <w:uiPriority w:val="0"/>
    <w:rPr>
      <w:b/>
      <w:bCs/>
      <w:smallCaps/>
      <w:color w:val="C0504D"/>
      <w:spacing w:val="5"/>
      <w:u w:val="single"/>
    </w:rPr>
  </w:style>
  <w:style w:type="character" w:customStyle="1" w:styleId="173">
    <w:name w:val="标题 9 Char"/>
    <w:qFormat/>
    <w:uiPriority w:val="0"/>
    <w:rPr>
      <w:rFonts w:ascii="Arial" w:hAnsi="Arial" w:eastAsia="黑体" w:cs="Times New Roman"/>
      <w:szCs w:val="21"/>
    </w:rPr>
  </w:style>
  <w:style w:type="character" w:customStyle="1" w:styleId="174">
    <w:name w:val="页眉 Char1"/>
    <w:semiHidden/>
    <w:qFormat/>
    <w:uiPriority w:val="99"/>
    <w:rPr>
      <w:kern w:val="2"/>
      <w:sz w:val="18"/>
      <w:szCs w:val="18"/>
    </w:rPr>
  </w:style>
  <w:style w:type="character" w:customStyle="1" w:styleId="175">
    <w:name w:val="_Style 174"/>
    <w:qFormat/>
    <w:uiPriority w:val="0"/>
    <w:rPr>
      <w:b/>
      <w:bCs/>
      <w:i/>
      <w:iCs/>
      <w:color w:val="4F81BD"/>
    </w:rPr>
  </w:style>
  <w:style w:type="character" w:customStyle="1" w:styleId="176">
    <w:name w:val="Char Char35"/>
    <w:qFormat/>
    <w:uiPriority w:val="0"/>
    <w:rPr>
      <w:rFonts w:ascii="仿宋_GB2312" w:eastAsia="仿宋_GB2312" w:cs="MingLiU"/>
      <w:b/>
      <w:sz w:val="24"/>
      <w:szCs w:val="28"/>
    </w:rPr>
  </w:style>
  <w:style w:type="character" w:customStyle="1" w:styleId="177">
    <w:name w:val="日期 Char2"/>
    <w:qFormat/>
    <w:uiPriority w:val="99"/>
    <w:rPr>
      <w:kern w:val="2"/>
      <w:sz w:val="21"/>
      <w:szCs w:val="24"/>
    </w:rPr>
  </w:style>
  <w:style w:type="character" w:customStyle="1" w:styleId="178">
    <w:name w:val="Char Char22"/>
    <w:qFormat/>
    <w:uiPriority w:val="0"/>
    <w:rPr>
      <w:b/>
      <w:bCs/>
      <w:kern w:val="2"/>
      <w:sz w:val="32"/>
      <w:szCs w:val="32"/>
    </w:rPr>
  </w:style>
  <w:style w:type="character" w:customStyle="1" w:styleId="179">
    <w:name w:val="正文文本缩进 2 Char2"/>
    <w:semiHidden/>
    <w:qFormat/>
    <w:uiPriority w:val="99"/>
    <w:rPr>
      <w:rFonts w:ascii="Calibri" w:hAnsi="Calibri" w:eastAsia="宋体" w:cs="Times New Roman"/>
      <w:szCs w:val="24"/>
    </w:rPr>
  </w:style>
  <w:style w:type="character" w:customStyle="1" w:styleId="180">
    <w:name w:val="明显强调1"/>
    <w:qFormat/>
    <w:uiPriority w:val="0"/>
    <w:rPr>
      <w:b/>
      <w:bCs/>
      <w:i/>
      <w:iCs/>
      <w:color w:val="4F81BD"/>
    </w:rPr>
  </w:style>
  <w:style w:type="character" w:customStyle="1" w:styleId="181">
    <w:name w:val="Char Char14"/>
    <w:qFormat/>
    <w:uiPriority w:val="0"/>
    <w:rPr>
      <w:kern w:val="2"/>
      <w:sz w:val="18"/>
      <w:szCs w:val="18"/>
    </w:rPr>
  </w:style>
  <w:style w:type="character" w:customStyle="1" w:styleId="182">
    <w:name w:val="s3"/>
    <w:qFormat/>
    <w:uiPriority w:val="0"/>
  </w:style>
  <w:style w:type="character" w:customStyle="1" w:styleId="183">
    <w:name w:val="标题 1 Char"/>
    <w:qFormat/>
    <w:uiPriority w:val="0"/>
    <w:rPr>
      <w:rFonts w:ascii="Times New Roman" w:hAnsi="Times New Roman" w:eastAsia="宋体" w:cs="Times New Roman"/>
      <w:b/>
      <w:bCs/>
      <w:kern w:val="44"/>
      <w:sz w:val="44"/>
      <w:szCs w:val="44"/>
    </w:rPr>
  </w:style>
  <w:style w:type="character" w:customStyle="1" w:styleId="184">
    <w:name w:val="日期 Char3"/>
    <w:semiHidden/>
    <w:qFormat/>
    <w:uiPriority w:val="99"/>
    <w:rPr>
      <w:rFonts w:ascii="Calibri" w:hAnsi="Calibri" w:eastAsia="宋体" w:cs="Times New Roman"/>
      <w:szCs w:val="24"/>
    </w:rPr>
  </w:style>
  <w:style w:type="character" w:customStyle="1" w:styleId="185">
    <w:name w:val="标题 1 Char2"/>
    <w:link w:val="3"/>
    <w:qFormat/>
    <w:uiPriority w:val="0"/>
    <w:rPr>
      <w:rFonts w:eastAsia="宋体"/>
      <w:b/>
      <w:bCs/>
      <w:kern w:val="44"/>
      <w:sz w:val="44"/>
      <w:szCs w:val="44"/>
      <w:lang w:val="en-US" w:eastAsia="zh-CN" w:bidi="ar-SA"/>
    </w:rPr>
  </w:style>
  <w:style w:type="character" w:customStyle="1" w:styleId="186">
    <w:name w:val="title11"/>
    <w:qFormat/>
    <w:uiPriority w:val="0"/>
    <w:rPr>
      <w:b/>
      <w:bCs/>
      <w:color w:val="FFFFFF"/>
      <w:sz w:val="11"/>
      <w:szCs w:val="11"/>
    </w:rPr>
  </w:style>
  <w:style w:type="character" w:customStyle="1" w:styleId="187">
    <w:name w:val="明显引用 Char2"/>
    <w:qFormat/>
    <w:uiPriority w:val="99"/>
    <w:rPr>
      <w:b/>
      <w:bCs/>
      <w:i/>
      <w:iCs/>
      <w:color w:val="4F81BD"/>
      <w:kern w:val="2"/>
      <w:sz w:val="21"/>
      <w:szCs w:val="24"/>
    </w:rPr>
  </w:style>
  <w:style w:type="character" w:customStyle="1" w:styleId="188">
    <w:name w:val="引用 Char4"/>
    <w:link w:val="117"/>
    <w:qFormat/>
    <w:uiPriority w:val="0"/>
    <w:rPr>
      <w:i/>
      <w:iCs/>
      <w:color w:val="000000"/>
      <w:kern w:val="2"/>
      <w:sz w:val="21"/>
      <w:szCs w:val="22"/>
      <w:lang w:bidi="ar-SA"/>
    </w:rPr>
  </w:style>
  <w:style w:type="character" w:customStyle="1" w:styleId="189">
    <w:name w:val="批注框文本 Char3"/>
    <w:semiHidden/>
    <w:qFormat/>
    <w:uiPriority w:val="99"/>
    <w:rPr>
      <w:rFonts w:ascii="Calibri" w:hAnsi="Calibri" w:eastAsia="宋体" w:cs="Times New Roman"/>
      <w:sz w:val="18"/>
      <w:szCs w:val="18"/>
    </w:rPr>
  </w:style>
  <w:style w:type="character" w:customStyle="1" w:styleId="190">
    <w:name w:val="标题 2 Char2"/>
    <w:link w:val="4"/>
    <w:qFormat/>
    <w:uiPriority w:val="0"/>
    <w:rPr>
      <w:rFonts w:ascii="Cambria" w:hAnsi="Cambria" w:eastAsia="宋体"/>
      <w:b/>
      <w:bCs/>
      <w:kern w:val="2"/>
      <w:sz w:val="32"/>
      <w:szCs w:val="32"/>
      <w:lang w:val="en-US" w:eastAsia="zh-CN" w:bidi="ar-SA"/>
    </w:rPr>
  </w:style>
  <w:style w:type="character" w:customStyle="1" w:styleId="191">
    <w:name w:val="Char Char33"/>
    <w:qFormat/>
    <w:uiPriority w:val="0"/>
    <w:rPr>
      <w:rFonts w:ascii="仿宋_GB2312" w:eastAsia="仿宋_GB2312" w:cs="MingLiU"/>
      <w:b/>
      <w:sz w:val="24"/>
      <w:szCs w:val="28"/>
    </w:rPr>
  </w:style>
  <w:style w:type="character" w:customStyle="1" w:styleId="192">
    <w:name w:val="标题 2 Char"/>
    <w:qFormat/>
    <w:uiPriority w:val="0"/>
    <w:rPr>
      <w:rFonts w:ascii="仿宋_GB2312" w:hAnsi="Calibri" w:eastAsia="仿宋_GB2312" w:cs="Times New Roman"/>
      <w:b/>
      <w:spacing w:val="1"/>
      <w:w w:val="99"/>
      <w:kern w:val="0"/>
      <w:sz w:val="28"/>
      <w:szCs w:val="32"/>
    </w:rPr>
  </w:style>
  <w:style w:type="character" w:customStyle="1" w:styleId="193">
    <w:name w:val="l1"/>
    <w:basedOn w:val="47"/>
    <w:qFormat/>
    <w:uiPriority w:val="0"/>
  </w:style>
  <w:style w:type="character" w:customStyle="1" w:styleId="194">
    <w:name w:val="手改 Char Char"/>
    <w:qFormat/>
    <w:uiPriority w:val="0"/>
    <w:rPr>
      <w:kern w:val="2"/>
      <w:sz w:val="21"/>
      <w:szCs w:val="24"/>
    </w:rPr>
  </w:style>
  <w:style w:type="character" w:customStyle="1" w:styleId="195">
    <w:name w:val="style21"/>
    <w:qFormat/>
    <w:uiPriority w:val="0"/>
    <w:rPr>
      <w:b/>
      <w:bCs/>
      <w:sz w:val="28"/>
      <w:szCs w:val="28"/>
    </w:rPr>
  </w:style>
  <w:style w:type="character" w:customStyle="1" w:styleId="196">
    <w:name w:val="Char Char24"/>
    <w:qFormat/>
    <w:uiPriority w:val="0"/>
    <w:rPr>
      <w:b/>
      <w:bCs/>
      <w:kern w:val="44"/>
      <w:sz w:val="44"/>
      <w:szCs w:val="44"/>
    </w:rPr>
  </w:style>
  <w:style w:type="character" w:customStyle="1" w:styleId="197">
    <w:name w:val="页脚 Char2"/>
    <w:link w:val="29"/>
    <w:qFormat/>
    <w:uiPriority w:val="0"/>
    <w:rPr>
      <w:rFonts w:eastAsia="宋体"/>
      <w:kern w:val="2"/>
      <w:sz w:val="18"/>
      <w:szCs w:val="18"/>
      <w:lang w:val="en-US" w:eastAsia="zh-CN" w:bidi="ar-SA"/>
    </w:rPr>
  </w:style>
  <w:style w:type="character" w:customStyle="1" w:styleId="198">
    <w:name w:val="_Style 197"/>
    <w:qFormat/>
    <w:uiPriority w:val="0"/>
    <w:rPr>
      <w:b/>
      <w:bCs/>
      <w:smallCaps/>
      <w:spacing w:val="5"/>
    </w:rPr>
  </w:style>
  <w:style w:type="character" w:customStyle="1" w:styleId="199">
    <w:name w:val="纯文本 Char1"/>
    <w:qFormat/>
    <w:uiPriority w:val="0"/>
    <w:rPr>
      <w:rFonts w:ascii="宋体" w:hAnsi="Courier New" w:cs="Courier New"/>
      <w:kern w:val="2"/>
      <w:sz w:val="21"/>
      <w:szCs w:val="21"/>
    </w:rPr>
  </w:style>
  <w:style w:type="character" w:customStyle="1" w:styleId="200">
    <w:name w:val="尾注文本 Char"/>
    <w:qFormat/>
    <w:uiPriority w:val="0"/>
    <w:rPr>
      <w:kern w:val="2"/>
      <w:sz w:val="21"/>
      <w:szCs w:val="24"/>
    </w:rPr>
  </w:style>
  <w:style w:type="character" w:customStyle="1" w:styleId="201">
    <w:name w:val="日期 Char1"/>
    <w:qFormat/>
    <w:uiPriority w:val="0"/>
    <w:rPr>
      <w:kern w:val="2"/>
      <w:sz w:val="21"/>
      <w:szCs w:val="22"/>
    </w:rPr>
  </w:style>
  <w:style w:type="character" w:customStyle="1" w:styleId="202">
    <w:name w:val="纯文本 Char3"/>
    <w:link w:val="23"/>
    <w:qFormat/>
    <w:uiPriority w:val="0"/>
    <w:rPr>
      <w:rFonts w:ascii="宋体" w:hAnsi="Courier New" w:eastAsia="宋体" w:cs="Courier New"/>
      <w:kern w:val="2"/>
      <w:sz w:val="21"/>
      <w:szCs w:val="21"/>
      <w:lang w:val="en-US" w:eastAsia="zh-CN" w:bidi="ar-SA"/>
    </w:rPr>
  </w:style>
  <w:style w:type="character" w:customStyle="1" w:styleId="203">
    <w:name w:val="正文文本 Char1"/>
    <w:qFormat/>
    <w:uiPriority w:val="0"/>
    <w:rPr>
      <w:kern w:val="2"/>
      <w:sz w:val="21"/>
      <w:szCs w:val="22"/>
    </w:rPr>
  </w:style>
  <w:style w:type="character" w:customStyle="1" w:styleId="204">
    <w:name w:val="标题 9 Char1"/>
    <w:qFormat/>
    <w:uiPriority w:val="0"/>
    <w:rPr>
      <w:rFonts w:ascii="Times New Roman" w:hAnsi="Times New Roman" w:eastAsia="仿宋_GB2312" w:cs="Times New Roman"/>
      <w:sz w:val="30"/>
      <w:szCs w:val="20"/>
    </w:rPr>
  </w:style>
  <w:style w:type="character" w:customStyle="1" w:styleId="205">
    <w:name w:val="批注框文本 Char4"/>
    <w:link w:val="28"/>
    <w:qFormat/>
    <w:uiPriority w:val="0"/>
    <w:rPr>
      <w:rFonts w:eastAsia="宋体"/>
      <w:kern w:val="2"/>
      <w:sz w:val="18"/>
      <w:szCs w:val="18"/>
      <w:lang w:val="en-US" w:eastAsia="zh-CN" w:bidi="ar-SA"/>
    </w:rPr>
  </w:style>
  <w:style w:type="character" w:customStyle="1" w:styleId="206">
    <w:name w:val="脚注文本 Char1"/>
    <w:qFormat/>
    <w:uiPriority w:val="0"/>
    <w:rPr>
      <w:rFonts w:ascii="Arial" w:hAnsi="Arial" w:cs="Arial"/>
      <w:sz w:val="18"/>
      <w:szCs w:val="18"/>
      <w:lang w:eastAsia="en-US"/>
    </w:rPr>
  </w:style>
  <w:style w:type="character" w:customStyle="1" w:styleId="207">
    <w:name w:val="正文文本缩进 Char"/>
    <w:qFormat/>
    <w:uiPriority w:val="0"/>
    <w:rPr>
      <w:rFonts w:ascii="黑体" w:hAnsi="宋体" w:eastAsia="黑体"/>
      <w:color w:val="000000"/>
      <w:sz w:val="28"/>
      <w:szCs w:val="32"/>
    </w:rPr>
  </w:style>
  <w:style w:type="character" w:customStyle="1" w:styleId="208">
    <w:name w:val="HTML 预设格式 Char1"/>
    <w:qFormat/>
    <w:uiPriority w:val="0"/>
    <w:rPr>
      <w:rFonts w:ascii="宋体" w:hAnsi="宋体" w:cs="宋体"/>
      <w:color w:val="000000"/>
      <w:sz w:val="24"/>
      <w:szCs w:val="24"/>
    </w:rPr>
  </w:style>
  <w:style w:type="character" w:customStyle="1" w:styleId="209">
    <w:name w:val="引用 Char3"/>
    <w:qFormat/>
    <w:uiPriority w:val="29"/>
    <w:rPr>
      <w:rFonts w:ascii="Calibri" w:hAnsi="Calibri" w:eastAsia="宋体" w:cs="Times New Roman"/>
      <w:i/>
      <w:iCs/>
      <w:color w:val="000000"/>
      <w:szCs w:val="24"/>
    </w:rPr>
  </w:style>
  <w:style w:type="character" w:customStyle="1" w:styleId="210">
    <w:name w:val="尾注文本 Char3"/>
    <w:link w:val="27"/>
    <w:qFormat/>
    <w:uiPriority w:val="0"/>
    <w:rPr>
      <w:rFonts w:ascii="Arial" w:hAnsi="Arial" w:eastAsia="宋体" w:cs="Arial"/>
      <w:szCs w:val="24"/>
      <w:lang w:val="en-US" w:eastAsia="en-US" w:bidi="ar-SA"/>
    </w:rPr>
  </w:style>
  <w:style w:type="character" w:customStyle="1" w:styleId="211">
    <w:name w:val="标题 7 Char1"/>
    <w:qFormat/>
    <w:uiPriority w:val="0"/>
    <w:rPr>
      <w:rFonts w:ascii="Times New Roman" w:hAnsi="Times New Roman" w:eastAsia="仿宋_GB2312" w:cs="Times New Roman"/>
      <w:sz w:val="30"/>
      <w:szCs w:val="20"/>
    </w:rPr>
  </w:style>
  <w:style w:type="character" w:customStyle="1" w:styleId="212">
    <w:name w:val="普通文字 Char Char1"/>
    <w:qFormat/>
    <w:uiPriority w:val="0"/>
    <w:rPr>
      <w:rFonts w:ascii="宋体" w:hAnsi="Courier New"/>
      <w:kern w:val="2"/>
      <w:sz w:val="28"/>
      <w:szCs w:val="28"/>
    </w:rPr>
  </w:style>
  <w:style w:type="character" w:customStyle="1" w:styleId="213">
    <w:name w:val="明显参考1"/>
    <w:qFormat/>
    <w:uiPriority w:val="0"/>
    <w:rPr>
      <w:b/>
      <w:bCs/>
      <w:smallCaps/>
      <w:color w:val="C0504D"/>
      <w:spacing w:val="5"/>
      <w:u w:val="single"/>
    </w:rPr>
  </w:style>
  <w:style w:type="character" w:customStyle="1" w:styleId="214">
    <w:name w:val="正文文本缩进 Char1"/>
    <w:qFormat/>
    <w:uiPriority w:val="0"/>
    <w:rPr>
      <w:kern w:val="2"/>
      <w:sz w:val="21"/>
      <w:szCs w:val="24"/>
    </w:rPr>
  </w:style>
  <w:style w:type="character" w:customStyle="1" w:styleId="215">
    <w:name w:val="页眉 Char"/>
    <w:qFormat/>
    <w:uiPriority w:val="0"/>
    <w:rPr>
      <w:sz w:val="18"/>
      <w:szCs w:val="18"/>
    </w:rPr>
  </w:style>
  <w:style w:type="character" w:customStyle="1" w:styleId="216">
    <w:name w:val="style31"/>
    <w:qFormat/>
    <w:uiPriority w:val="0"/>
    <w:rPr>
      <w:sz w:val="10"/>
      <w:szCs w:val="10"/>
    </w:rPr>
  </w:style>
  <w:style w:type="character" w:customStyle="1" w:styleId="217">
    <w:name w:val="日期 Char"/>
    <w:qFormat/>
    <w:uiPriority w:val="0"/>
    <w:rPr>
      <w:rFonts w:eastAsia="宋体"/>
      <w:szCs w:val="24"/>
    </w:rPr>
  </w:style>
  <w:style w:type="character" w:customStyle="1" w:styleId="218">
    <w:name w:val="标题 1 Char1"/>
    <w:qFormat/>
    <w:uiPriority w:val="0"/>
    <w:rPr>
      <w:rFonts w:ascii="Times New Roman" w:hAnsi="Times New Roman" w:eastAsia="宋体" w:cs="Times New Roman"/>
      <w:b/>
      <w:bCs/>
      <w:kern w:val="44"/>
      <w:sz w:val="44"/>
      <w:szCs w:val="44"/>
    </w:rPr>
  </w:style>
  <w:style w:type="character" w:customStyle="1" w:styleId="219">
    <w:name w:val="main_tdbg_7601"/>
    <w:qFormat/>
    <w:uiPriority w:val="0"/>
    <w:rPr>
      <w:sz w:val="14"/>
      <w:szCs w:val="14"/>
    </w:rPr>
  </w:style>
  <w:style w:type="character" w:customStyle="1" w:styleId="220">
    <w:name w:val="尾注文本 Char1"/>
    <w:qFormat/>
    <w:uiPriority w:val="0"/>
    <w:rPr>
      <w:rFonts w:ascii="Arial" w:hAnsi="Arial" w:cs="Arial"/>
      <w:szCs w:val="24"/>
      <w:lang w:eastAsia="en-US"/>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缩进 3 Char2"/>
    <w:semiHidden/>
    <w:qFormat/>
    <w:uiPriority w:val="99"/>
    <w:rPr>
      <w:rFonts w:ascii="Calibri" w:hAnsi="Calibri" w:eastAsia="宋体" w:cs="Times New Roman"/>
      <w:sz w:val="16"/>
      <w:szCs w:val="16"/>
    </w:rPr>
  </w:style>
  <w:style w:type="character" w:customStyle="1" w:styleId="223">
    <w:name w:val="Char Char34"/>
    <w:qFormat/>
    <w:uiPriority w:val="0"/>
    <w:rPr>
      <w:rFonts w:ascii="仿宋_GB2312" w:eastAsia="仿宋_GB2312" w:cs="MingLiU"/>
      <w:b/>
      <w:spacing w:val="1"/>
      <w:w w:val="99"/>
      <w:sz w:val="28"/>
      <w:szCs w:val="32"/>
    </w:rPr>
  </w:style>
  <w:style w:type="character" w:customStyle="1" w:styleId="224">
    <w:name w:val="docpro"/>
    <w:basedOn w:val="47"/>
    <w:qFormat/>
    <w:uiPriority w:val="0"/>
  </w:style>
  <w:style w:type="character" w:customStyle="1" w:styleId="225">
    <w:name w:val="正文文本 Char4"/>
    <w:link w:val="2"/>
    <w:qFormat/>
    <w:uiPriority w:val="0"/>
    <w:rPr>
      <w:rFonts w:eastAsia="宋体"/>
      <w:kern w:val="2"/>
      <w:sz w:val="21"/>
      <w:szCs w:val="24"/>
      <w:lang w:val="en-US" w:eastAsia="zh-CN" w:bidi="ar-SA"/>
    </w:rPr>
  </w:style>
  <w:style w:type="character" w:customStyle="1" w:styleId="226">
    <w:name w:val="ITTHEADER1 Char"/>
    <w:qFormat/>
    <w:uiPriority w:val="0"/>
    <w:rPr>
      <w:rFonts w:eastAsia="黑体"/>
      <w:kern w:val="2"/>
      <w:sz w:val="44"/>
      <w:szCs w:val="44"/>
      <w:lang w:val="en-US" w:eastAsia="zh-CN" w:bidi="ar-SA"/>
    </w:rPr>
  </w:style>
  <w:style w:type="character" w:customStyle="1" w:styleId="227">
    <w:name w:val="副标题 Char"/>
    <w:qFormat/>
    <w:uiPriority w:val="0"/>
    <w:rPr>
      <w:rFonts w:ascii="Cambria" w:hAnsi="Cambria" w:eastAsia="宋体" w:cs="Times New Roman"/>
      <w:b/>
      <w:bCs/>
      <w:kern w:val="28"/>
      <w:sz w:val="32"/>
      <w:szCs w:val="32"/>
    </w:rPr>
  </w:style>
  <w:style w:type="character" w:customStyle="1" w:styleId="228">
    <w:name w:val="标题 6 Char2"/>
    <w:link w:val="8"/>
    <w:qFormat/>
    <w:uiPriority w:val="0"/>
    <w:rPr>
      <w:rFonts w:hAnsi="Arial" w:eastAsia="仿宋_GB2312"/>
      <w:sz w:val="30"/>
      <w:lang w:val="en-US" w:eastAsia="zh-CN" w:bidi="ar-SA"/>
    </w:rPr>
  </w:style>
  <w:style w:type="character" w:customStyle="1" w:styleId="229">
    <w:name w:val="标题 Char2"/>
    <w:qFormat/>
    <w:uiPriority w:val="10"/>
    <w:rPr>
      <w:rFonts w:ascii="Cambria" w:hAnsi="Cambria" w:eastAsia="宋体" w:cs="Times New Roman"/>
      <w:b/>
      <w:bCs/>
      <w:sz w:val="32"/>
      <w:szCs w:val="32"/>
    </w:rPr>
  </w:style>
  <w:style w:type="character" w:customStyle="1" w:styleId="230">
    <w:name w:val="正文文本 Char2"/>
    <w:qFormat/>
    <w:uiPriority w:val="99"/>
    <w:rPr>
      <w:kern w:val="2"/>
      <w:sz w:val="21"/>
      <w:szCs w:val="24"/>
    </w:rPr>
  </w:style>
  <w:style w:type="character" w:customStyle="1" w:styleId="231">
    <w:name w:val="正文文本 2 Char"/>
    <w:link w:val="39"/>
    <w:qFormat/>
    <w:uiPriority w:val="0"/>
    <w:rPr>
      <w:i/>
      <w:iCs/>
      <w:kern w:val="2"/>
      <w:sz w:val="26"/>
      <w:szCs w:val="24"/>
    </w:rPr>
  </w:style>
  <w:style w:type="character" w:customStyle="1" w:styleId="232">
    <w:name w:val="0d1471"/>
    <w:qFormat/>
    <w:uiPriority w:val="0"/>
    <w:rPr>
      <w:color w:val="000000"/>
      <w:sz w:val="11"/>
      <w:szCs w:val="11"/>
      <w:u w:val="none"/>
    </w:rPr>
  </w:style>
  <w:style w:type="character" w:customStyle="1" w:styleId="233">
    <w:name w:val="批注主题 Char"/>
    <w:qFormat/>
    <w:uiPriority w:val="0"/>
    <w:rPr>
      <w:rFonts w:ascii="宋体" w:hAnsi="宋体" w:eastAsia="宋体"/>
      <w:kern w:val="2"/>
      <w:sz w:val="24"/>
      <w:szCs w:val="28"/>
      <w:lang w:val="en-US" w:eastAsia="zh-CN" w:bidi="ar-SA"/>
    </w:rPr>
  </w:style>
  <w:style w:type="character" w:customStyle="1" w:styleId="234">
    <w:name w:val="正文文本 2 Char1"/>
    <w:semiHidden/>
    <w:qFormat/>
    <w:uiPriority w:val="99"/>
    <w:rPr>
      <w:rFonts w:ascii="Calibri" w:hAnsi="Calibri" w:eastAsia="宋体" w:cs="Times New Roman"/>
      <w:szCs w:val="24"/>
    </w:rPr>
  </w:style>
  <w:style w:type="character" w:customStyle="1" w:styleId="235">
    <w:name w:val="批注框文本 Char1"/>
    <w:qFormat/>
    <w:uiPriority w:val="0"/>
    <w:rPr>
      <w:kern w:val="2"/>
      <w:sz w:val="18"/>
      <w:szCs w:val="18"/>
    </w:rPr>
  </w:style>
  <w:style w:type="character" w:customStyle="1" w:styleId="236">
    <w:name w:val="标题 Char3"/>
    <w:link w:val="43"/>
    <w:qFormat/>
    <w:uiPriority w:val="0"/>
    <w:rPr>
      <w:rFonts w:eastAsia="宋体"/>
      <w:szCs w:val="24"/>
      <w:u w:val="single"/>
      <w:lang w:val="en-US" w:eastAsia="en-US" w:bidi="ar-SA"/>
    </w:rPr>
  </w:style>
  <w:style w:type="character" w:customStyle="1" w:styleId="237">
    <w:name w:val="正文文本缩进 2 Char3"/>
    <w:link w:val="26"/>
    <w:qFormat/>
    <w:uiPriority w:val="0"/>
    <w:rPr>
      <w:rFonts w:eastAsia="宋体"/>
      <w:sz w:val="28"/>
      <w:szCs w:val="24"/>
      <w:lang w:val="en-US" w:eastAsia="zh-CN" w:bidi="ar-SA"/>
    </w:rPr>
  </w:style>
  <w:style w:type="character" w:customStyle="1" w:styleId="238">
    <w:name w:val="引用 Char"/>
    <w:link w:val="115"/>
    <w:qFormat/>
    <w:uiPriority w:val="0"/>
    <w:rPr>
      <w:rFonts w:ascii="Times New Roman" w:hAnsi="Times New Roman" w:eastAsia="宋体" w:cs="Times New Roman"/>
      <w:i/>
      <w:iCs/>
      <w:color w:val="000000"/>
      <w:kern w:val="2"/>
      <w:sz w:val="21"/>
      <w:szCs w:val="24"/>
    </w:rPr>
  </w:style>
  <w:style w:type="character" w:customStyle="1" w:styleId="239">
    <w:name w:val="font161"/>
    <w:qFormat/>
    <w:uiPriority w:val="0"/>
    <w:rPr>
      <w:b/>
      <w:bCs/>
      <w:sz w:val="32"/>
      <w:szCs w:val="32"/>
    </w:rPr>
  </w:style>
  <w:style w:type="character" w:customStyle="1" w:styleId="240">
    <w:name w:val="正文文本缩进 Char3"/>
    <w:link w:val="18"/>
    <w:qFormat/>
    <w:uiPriority w:val="0"/>
    <w:rPr>
      <w:rFonts w:eastAsia="宋体"/>
      <w:kern w:val="2"/>
      <w:sz w:val="21"/>
      <w:szCs w:val="24"/>
      <w:lang w:val="en-US" w:eastAsia="zh-CN" w:bidi="ar-SA"/>
    </w:rPr>
  </w:style>
  <w:style w:type="character" w:customStyle="1" w:styleId="241">
    <w:name w:val="标题 9 Char2"/>
    <w:link w:val="12"/>
    <w:qFormat/>
    <w:uiPriority w:val="0"/>
    <w:rPr>
      <w:rFonts w:eastAsia="仿宋_GB2312"/>
      <w:sz w:val="30"/>
      <w:lang w:val="en-US" w:eastAsia="zh-CN" w:bidi="ar-SA"/>
    </w:rPr>
  </w:style>
  <w:style w:type="character" w:customStyle="1" w:styleId="242">
    <w:name w:val="标题 8 Char2"/>
    <w:link w:val="11"/>
    <w:qFormat/>
    <w:uiPriority w:val="0"/>
    <w:rPr>
      <w:rFonts w:hAnsi="Arial" w:eastAsia="仿宋_GB2312"/>
      <w:sz w:val="30"/>
      <w:lang w:val="en-US" w:eastAsia="zh-CN" w:bidi="ar-SA"/>
    </w:rPr>
  </w:style>
  <w:style w:type="character" w:customStyle="1" w:styleId="243">
    <w:name w:val="Char Char32"/>
    <w:qFormat/>
    <w:uiPriority w:val="0"/>
    <w:rPr>
      <w:rFonts w:ascii="仿宋_GB2312" w:eastAsia="仿宋_GB2312" w:cs="MingLiU"/>
      <w:b/>
      <w:spacing w:val="1"/>
      <w:w w:val="99"/>
      <w:sz w:val="28"/>
      <w:szCs w:val="32"/>
    </w:rPr>
  </w:style>
  <w:style w:type="character" w:customStyle="1" w:styleId="244">
    <w:name w:val="正文文本缩进 3 Char3"/>
    <w:link w:val="36"/>
    <w:qFormat/>
    <w:uiPriority w:val="0"/>
    <w:rPr>
      <w:rFonts w:ascii="宋体" w:hAnsi="宋体" w:eastAsia="宋体"/>
      <w:kern w:val="2"/>
      <w:sz w:val="28"/>
      <w:szCs w:val="28"/>
      <w:lang w:val="en-US" w:eastAsia="zh-CN" w:bidi="ar-SA"/>
    </w:rPr>
  </w:style>
  <w:style w:type="character" w:customStyle="1" w:styleId="245">
    <w:name w:val="标题 2 Char1"/>
    <w:qFormat/>
    <w:uiPriority w:val="0"/>
    <w:rPr>
      <w:rFonts w:ascii="Cambria" w:hAnsi="Cambria" w:eastAsia="宋体" w:cs="Times New Roman"/>
      <w:b/>
      <w:bCs/>
      <w:kern w:val="2"/>
      <w:sz w:val="32"/>
      <w:szCs w:val="32"/>
    </w:rPr>
  </w:style>
  <w:style w:type="character" w:customStyle="1" w:styleId="246">
    <w:name w:val="ss16"/>
    <w:qFormat/>
    <w:uiPriority w:val="0"/>
    <w:rPr>
      <w:rFonts w:hint="eastAsia" w:ascii="宋体" w:hAnsi="宋体" w:eastAsia="宋体"/>
      <w:color w:val="000000"/>
      <w:sz w:val="9"/>
      <w:szCs w:val="9"/>
    </w:rPr>
  </w:style>
  <w:style w:type="character" w:customStyle="1" w:styleId="247">
    <w:name w:val="批注主题 Char3"/>
    <w:semiHidden/>
    <w:qFormat/>
    <w:uiPriority w:val="99"/>
    <w:rPr>
      <w:rFonts w:ascii="Calibri" w:hAnsi="Calibri" w:eastAsia="宋体" w:cs="Times New Roman"/>
      <w:b/>
      <w:bCs/>
      <w:szCs w:val="24"/>
    </w:rPr>
  </w:style>
  <w:style w:type="character" w:customStyle="1" w:styleId="248">
    <w:name w:val="明显引用 Char1"/>
    <w:link w:val="132"/>
    <w:qFormat/>
    <w:uiPriority w:val="30"/>
    <w:rPr>
      <w:b/>
      <w:bCs/>
      <w:i/>
      <w:iCs/>
      <w:color w:val="4F81BD"/>
      <w:kern w:val="2"/>
      <w:sz w:val="21"/>
    </w:rPr>
  </w:style>
  <w:style w:type="character" w:customStyle="1" w:styleId="249">
    <w:name w:val="HTML 预设格式 Char2"/>
    <w:semiHidden/>
    <w:qFormat/>
    <w:uiPriority w:val="99"/>
    <w:rPr>
      <w:rFonts w:ascii="Courier New" w:hAnsi="Courier New" w:eastAsia="宋体" w:cs="Courier New"/>
      <w:sz w:val="20"/>
      <w:szCs w:val="20"/>
    </w:rPr>
  </w:style>
  <w:style w:type="character" w:customStyle="1" w:styleId="250">
    <w:name w:val="Char Char17"/>
    <w:qFormat/>
    <w:uiPriority w:val="0"/>
    <w:rPr>
      <w:kern w:val="2"/>
      <w:sz w:val="26"/>
      <w:szCs w:val="24"/>
    </w:rPr>
  </w:style>
  <w:style w:type="character" w:customStyle="1" w:styleId="251">
    <w:name w:val="标题 3 Char1"/>
    <w:qFormat/>
    <w:uiPriority w:val="0"/>
    <w:rPr>
      <w:rFonts w:ascii="Times New Roman" w:hAnsi="Times New Roman" w:eastAsia="宋体" w:cs="Times New Roman"/>
      <w:b/>
      <w:bCs/>
      <w:kern w:val="2"/>
      <w:sz w:val="32"/>
      <w:szCs w:val="32"/>
    </w:rPr>
  </w:style>
  <w:style w:type="character" w:customStyle="1" w:styleId="252">
    <w:name w:val="标题 5 Char"/>
    <w:qFormat/>
    <w:uiPriority w:val="0"/>
    <w:rPr>
      <w:rFonts w:ascii="Calibri" w:hAnsi="Calibri" w:eastAsia="宋体" w:cs="Times New Roman"/>
      <w:b/>
      <w:bCs/>
      <w:sz w:val="28"/>
      <w:szCs w:val="28"/>
    </w:rPr>
  </w:style>
  <w:style w:type="character" w:customStyle="1" w:styleId="253">
    <w:name w:val="页脚 Char1"/>
    <w:semiHidden/>
    <w:qFormat/>
    <w:uiPriority w:val="99"/>
    <w:rPr>
      <w:kern w:val="2"/>
      <w:sz w:val="18"/>
      <w:szCs w:val="18"/>
    </w:rPr>
  </w:style>
  <w:style w:type="character" w:customStyle="1" w:styleId="254">
    <w:name w:val="unnamed1"/>
    <w:basedOn w:val="47"/>
    <w:qFormat/>
    <w:uiPriority w:val="0"/>
  </w:style>
  <w:style w:type="character" w:customStyle="1" w:styleId="255">
    <w:name w:val="Char Char9"/>
    <w:qFormat/>
    <w:locked/>
    <w:uiPriority w:val="0"/>
    <w:rPr>
      <w:rFonts w:ascii="仿宋_GB2312" w:eastAsia="仿宋_GB2312" w:cs="MingLiU"/>
      <w:b/>
      <w:sz w:val="24"/>
      <w:szCs w:val="28"/>
      <w:lang w:val="en-US" w:eastAsia="zh-CN" w:bidi="ar-SA"/>
    </w:rPr>
  </w:style>
  <w:style w:type="character" w:customStyle="1" w:styleId="256">
    <w:name w:val="批注主题 Char1"/>
    <w:qFormat/>
    <w:uiPriority w:val="0"/>
    <w:rPr>
      <w:b/>
      <w:bCs/>
      <w:kern w:val="2"/>
      <w:sz w:val="21"/>
      <w:szCs w:val="22"/>
    </w:rPr>
  </w:style>
  <w:style w:type="character" w:customStyle="1" w:styleId="257">
    <w:name w:val="正文文本 3 Char3"/>
    <w:link w:val="17"/>
    <w:qFormat/>
    <w:uiPriority w:val="0"/>
    <w:rPr>
      <w:rFonts w:eastAsia="宋体"/>
      <w:kern w:val="2"/>
      <w:sz w:val="16"/>
      <w:szCs w:val="16"/>
      <w:lang w:val="en-US" w:eastAsia="zh-CN" w:bidi="ar-SA"/>
    </w:rPr>
  </w:style>
  <w:style w:type="character" w:customStyle="1" w:styleId="258">
    <w:name w:val="纯文本 Char2"/>
    <w:semiHidden/>
    <w:qFormat/>
    <w:uiPriority w:val="99"/>
    <w:rPr>
      <w:rFonts w:ascii="宋体" w:hAnsi="Courier New" w:eastAsia="宋体" w:cs="Courier New"/>
      <w:szCs w:val="21"/>
    </w:rPr>
  </w:style>
  <w:style w:type="character" w:customStyle="1" w:styleId="259">
    <w:name w:val="intel3"/>
    <w:basedOn w:val="47"/>
    <w:qFormat/>
    <w:uiPriority w:val="0"/>
  </w:style>
  <w:style w:type="character" w:customStyle="1" w:styleId="260">
    <w:name w:val="subhead1"/>
    <w:qFormat/>
    <w:uiPriority w:val="0"/>
    <w:rPr>
      <w:rFonts w:hint="default" w:ascii="Tahoma" w:hAnsi="Tahoma" w:cs="Tahoma"/>
      <w:color w:val="000000"/>
      <w:sz w:val="18"/>
      <w:szCs w:val="18"/>
      <w:u w:val="none"/>
      <w:shd w:val="clear" w:color="auto" w:fill="FFFFFF"/>
    </w:rPr>
  </w:style>
  <w:style w:type="character" w:customStyle="1" w:styleId="261">
    <w:name w:val="脚注文本 Char"/>
    <w:qFormat/>
    <w:uiPriority w:val="0"/>
    <w:rPr>
      <w:rFonts w:ascii="Arial" w:hAnsi="Arial" w:eastAsia="宋体" w:cs="Arial"/>
      <w:sz w:val="18"/>
      <w:szCs w:val="18"/>
      <w:lang w:eastAsia="en-US"/>
    </w:rPr>
  </w:style>
  <w:style w:type="character" w:customStyle="1" w:styleId="262">
    <w:name w:val="引用 Char1"/>
    <w:link w:val="137"/>
    <w:qFormat/>
    <w:uiPriority w:val="29"/>
    <w:rPr>
      <w:i/>
      <w:iCs/>
      <w:color w:val="000000"/>
      <w:kern w:val="2"/>
      <w:sz w:val="21"/>
    </w:rPr>
  </w:style>
  <w:style w:type="character" w:customStyle="1" w:styleId="263">
    <w:name w:val="正文文本缩进 2 Char"/>
    <w:qFormat/>
    <w:uiPriority w:val="0"/>
    <w:rPr>
      <w:kern w:val="2"/>
      <w:sz w:val="21"/>
      <w:szCs w:val="24"/>
    </w:rPr>
  </w:style>
  <w:style w:type="character" w:customStyle="1" w:styleId="264">
    <w:name w:val="脚注文本 Char2"/>
    <w:semiHidden/>
    <w:qFormat/>
    <w:uiPriority w:val="99"/>
    <w:rPr>
      <w:rFonts w:ascii="Calibri" w:hAnsi="Calibri" w:eastAsia="宋体" w:cs="Times New Roman"/>
      <w:sz w:val="18"/>
      <w:szCs w:val="18"/>
    </w:rPr>
  </w:style>
  <w:style w:type="character" w:customStyle="1" w:styleId="265">
    <w:name w:val="ca-141"/>
    <w:qFormat/>
    <w:uiPriority w:val="0"/>
    <w:rPr>
      <w:rFonts w:hint="eastAsia" w:ascii="仿宋_GB2312" w:eastAsia="仿宋_GB2312"/>
      <w:sz w:val="21"/>
      <w:szCs w:val="21"/>
    </w:rPr>
  </w:style>
  <w:style w:type="character" w:customStyle="1" w:styleId="266">
    <w:name w:val="标题 Char1"/>
    <w:qFormat/>
    <w:uiPriority w:val="10"/>
    <w:rPr>
      <w:szCs w:val="24"/>
      <w:u w:val="single"/>
      <w:lang w:eastAsia="en-US"/>
    </w:rPr>
  </w:style>
  <w:style w:type="character" w:customStyle="1" w:styleId="267">
    <w:name w:val="style161"/>
    <w:qFormat/>
    <w:uiPriority w:val="0"/>
    <w:rPr>
      <w:b/>
      <w:bCs/>
      <w:color w:val="333333"/>
    </w:rPr>
  </w:style>
  <w:style w:type="character" w:customStyle="1" w:styleId="268">
    <w:name w:val="Char Char11"/>
    <w:qFormat/>
    <w:locked/>
    <w:uiPriority w:val="0"/>
    <w:rPr>
      <w:rFonts w:eastAsia="黑体"/>
      <w:kern w:val="2"/>
      <w:sz w:val="44"/>
      <w:szCs w:val="44"/>
      <w:lang w:val="en-US" w:eastAsia="zh-CN" w:bidi="ar-SA"/>
    </w:rPr>
  </w:style>
  <w:style w:type="character" w:customStyle="1" w:styleId="269">
    <w:name w:val="标题 7 Char"/>
    <w:qFormat/>
    <w:uiPriority w:val="0"/>
    <w:rPr>
      <w:rFonts w:ascii="Calibri" w:hAnsi="Calibri" w:eastAsia="宋体" w:cs="Times New Roman"/>
      <w:b/>
      <w:bCs/>
      <w:sz w:val="24"/>
      <w:szCs w:val="24"/>
    </w:rPr>
  </w:style>
  <w:style w:type="character" w:customStyle="1" w:styleId="270">
    <w:name w:val="批注文字 Char1"/>
    <w:qFormat/>
    <w:uiPriority w:val="99"/>
    <w:rPr>
      <w:rFonts w:ascii="Times New Roman" w:hAnsi="Times New Roman" w:eastAsia="宋体" w:cs="Times New Roman"/>
      <w:szCs w:val="24"/>
    </w:rPr>
  </w:style>
  <w:style w:type="character" w:customStyle="1" w:styleId="271">
    <w:name w:val="明显引用 Char"/>
    <w:qFormat/>
    <w:uiPriority w:val="0"/>
    <w:rPr>
      <w:rFonts w:ascii="Times New Roman" w:hAnsi="Times New Roman" w:eastAsia="宋体" w:cs="Times New Roman"/>
      <w:b/>
      <w:bCs/>
      <w:i/>
      <w:iCs/>
      <w:color w:val="4F81BD"/>
      <w:kern w:val="2"/>
      <w:sz w:val="21"/>
      <w:szCs w:val="24"/>
    </w:rPr>
  </w:style>
  <w:style w:type="character" w:customStyle="1" w:styleId="272">
    <w:name w:val="标题 5 Char2"/>
    <w:link w:val="7"/>
    <w:qFormat/>
    <w:uiPriority w:val="0"/>
    <w:rPr>
      <w:rFonts w:ascii="宋体" w:hAnsi="宋体" w:eastAsia="宋体" w:cs="宋体"/>
      <w:b/>
      <w:bCs/>
      <w:lang w:val="en-US" w:eastAsia="zh-CN" w:bidi="ar-SA"/>
    </w:rPr>
  </w:style>
  <w:style w:type="character" w:customStyle="1" w:styleId="273">
    <w:name w:val="正文文本缩进 3 Char1"/>
    <w:qFormat/>
    <w:uiPriority w:val="0"/>
    <w:rPr>
      <w:rFonts w:ascii="宋体" w:hAnsi="宋体"/>
      <w:kern w:val="2"/>
      <w:sz w:val="28"/>
      <w:szCs w:val="28"/>
    </w:rPr>
  </w:style>
  <w:style w:type="character" w:customStyle="1" w:styleId="274">
    <w:name w:val="正文文本 Char"/>
    <w:qFormat/>
    <w:uiPriority w:val="0"/>
    <w:rPr>
      <w:sz w:val="26"/>
      <w:szCs w:val="24"/>
    </w:rPr>
  </w:style>
  <w:style w:type="character" w:customStyle="1" w:styleId="275">
    <w:name w:val="明显引用 Char4"/>
    <w:link w:val="81"/>
    <w:qFormat/>
    <w:uiPriority w:val="0"/>
    <w:rPr>
      <w:b/>
      <w:bCs/>
      <w:i/>
      <w:iCs/>
      <w:color w:val="4F81BD"/>
      <w:kern w:val="2"/>
      <w:sz w:val="21"/>
      <w:szCs w:val="22"/>
      <w:lang w:bidi="ar-SA"/>
    </w:rPr>
  </w:style>
  <w:style w:type="character" w:customStyle="1" w:styleId="276">
    <w:name w:val="Char Char12"/>
    <w:qFormat/>
    <w:uiPriority w:val="0"/>
    <w:rPr>
      <w:rFonts w:eastAsia="黑体"/>
      <w:kern w:val="2"/>
      <w:sz w:val="44"/>
      <w:szCs w:val="44"/>
      <w:lang w:val="en-US" w:eastAsia="zh-CN" w:bidi="ar-SA"/>
    </w:rPr>
  </w:style>
  <w:style w:type="character" w:customStyle="1" w:styleId="277">
    <w:name w:val="标题 4 Char"/>
    <w:qFormat/>
    <w:uiPriority w:val="0"/>
    <w:rPr>
      <w:rFonts w:ascii="仿宋_GB2312" w:hAnsi="Calibri" w:eastAsia="仿宋_GB2312" w:cs="Times New Roman"/>
      <w:b/>
      <w:kern w:val="0"/>
      <w:sz w:val="24"/>
      <w:szCs w:val="28"/>
    </w:rPr>
  </w:style>
  <w:style w:type="character" w:customStyle="1" w:styleId="278">
    <w:name w:val="明显引用 Char3"/>
    <w:qFormat/>
    <w:uiPriority w:val="30"/>
    <w:rPr>
      <w:rFonts w:ascii="Calibri" w:hAnsi="Calibri" w:eastAsia="宋体" w:cs="Times New Roman"/>
      <w:b/>
      <w:bCs/>
      <w:i/>
      <w:iCs/>
      <w:color w:val="4F81BD"/>
      <w:szCs w:val="24"/>
    </w:rPr>
  </w:style>
  <w:style w:type="character" w:customStyle="1" w:styleId="279">
    <w:name w:val="引用 Char2"/>
    <w:qFormat/>
    <w:uiPriority w:val="99"/>
    <w:rPr>
      <w:i/>
      <w:iCs/>
      <w:color w:val="000000"/>
      <w:kern w:val="2"/>
      <w:sz w:val="21"/>
      <w:szCs w:val="24"/>
    </w:rPr>
  </w:style>
  <w:style w:type="character" w:customStyle="1" w:styleId="280">
    <w:name w:val="批注主题 Char4"/>
    <w:link w:val="44"/>
    <w:qFormat/>
    <w:uiPriority w:val="0"/>
    <w:rPr>
      <w:rFonts w:eastAsia="宋体"/>
      <w:b/>
      <w:bCs/>
      <w:kern w:val="2"/>
      <w:sz w:val="21"/>
      <w:szCs w:val="24"/>
      <w:lang w:val="en-US" w:eastAsia="zh-CN" w:bidi="ar-SA"/>
    </w:rPr>
  </w:style>
  <w:style w:type="character" w:customStyle="1" w:styleId="281">
    <w:name w:val="不明显强调1"/>
    <w:qFormat/>
    <w:uiPriority w:val="0"/>
    <w:rPr>
      <w:i/>
      <w:iCs/>
      <w:color w:val="808080"/>
    </w:rPr>
  </w:style>
  <w:style w:type="character" w:customStyle="1" w:styleId="282">
    <w:name w:val="color_red1"/>
    <w:qFormat/>
    <w:uiPriority w:val="0"/>
    <w:rPr>
      <w:color w:val="FA0004"/>
    </w:rPr>
  </w:style>
  <w:style w:type="character" w:customStyle="1" w:styleId="283">
    <w:name w:val="标题 7 Char2"/>
    <w:link w:val="10"/>
    <w:qFormat/>
    <w:uiPriority w:val="0"/>
    <w:rPr>
      <w:rFonts w:eastAsia="仿宋_GB2312"/>
      <w:sz w:val="30"/>
      <w:lang w:val="en-US" w:eastAsia="zh-CN" w:bidi="ar-SA"/>
    </w:rPr>
  </w:style>
  <w:style w:type="character" w:customStyle="1" w:styleId="284">
    <w:name w:val="标题5 Char Char"/>
    <w:link w:val="121"/>
    <w:qFormat/>
    <w:uiPriority w:val="0"/>
    <w:rPr>
      <w:rFonts w:ascii="Arial" w:hAnsi="Arial"/>
      <w:b/>
      <w:bCs/>
      <w:sz w:val="24"/>
      <w:szCs w:val="32"/>
      <w:lang w:bidi="ar-SA"/>
    </w:rPr>
  </w:style>
  <w:style w:type="character" w:customStyle="1" w:styleId="285">
    <w:name w:val="脚注文本 Char3"/>
    <w:link w:val="34"/>
    <w:qFormat/>
    <w:uiPriority w:val="0"/>
    <w:rPr>
      <w:rFonts w:ascii="Arial" w:hAnsi="Arial" w:eastAsia="宋体" w:cs="Arial"/>
      <w:sz w:val="18"/>
      <w:szCs w:val="18"/>
      <w:lang w:val="en-US" w:eastAsia="en-US" w:bidi="ar-SA"/>
    </w:rPr>
  </w:style>
  <w:style w:type="character" w:customStyle="1" w:styleId="286">
    <w:name w:val="标题4 Char Char"/>
    <w:link w:val="91"/>
    <w:qFormat/>
    <w:uiPriority w:val="0"/>
    <w:rPr>
      <w:rFonts w:ascii="Arial" w:hAnsi="Arial"/>
      <w:b/>
      <w:bCs/>
      <w:sz w:val="24"/>
      <w:szCs w:val="32"/>
      <w:lang w:bidi="ar-SA"/>
    </w:rPr>
  </w:style>
  <w:style w:type="character" w:customStyle="1" w:styleId="287">
    <w:name w:val="Char Char13"/>
    <w:qFormat/>
    <w:uiPriority w:val="0"/>
    <w:rPr>
      <w:kern w:val="2"/>
      <w:sz w:val="18"/>
      <w:szCs w:val="18"/>
    </w:rPr>
  </w:style>
  <w:style w:type="character" w:customStyle="1" w:styleId="288">
    <w:name w:val="文档结构图 Char2"/>
    <w:qFormat/>
    <w:uiPriority w:val="99"/>
    <w:rPr>
      <w:kern w:val="2"/>
      <w:sz w:val="21"/>
      <w:szCs w:val="24"/>
      <w:shd w:val="clear" w:color="auto" w:fill="000080"/>
    </w:rPr>
  </w:style>
  <w:style w:type="character" w:customStyle="1" w:styleId="289">
    <w:name w:val="批注文字 Char2"/>
    <w:qFormat/>
    <w:uiPriority w:val="0"/>
    <w:rPr>
      <w:rFonts w:ascii="Calibri" w:hAnsi="Calibri" w:eastAsia="宋体" w:cs="Times New Roman"/>
      <w:szCs w:val="24"/>
    </w:rPr>
  </w:style>
  <w:style w:type="character" w:customStyle="1" w:styleId="290">
    <w:name w:val="标题 8 Char1"/>
    <w:qFormat/>
    <w:uiPriority w:val="0"/>
    <w:rPr>
      <w:rFonts w:ascii="Times New Roman" w:hAnsi="Arial" w:eastAsia="仿宋_GB2312" w:cs="Times New Roman"/>
      <w:sz w:val="30"/>
      <w:szCs w:val="20"/>
    </w:rPr>
  </w:style>
  <w:style w:type="character" w:customStyle="1" w:styleId="291">
    <w:name w:val="页眉 Char2"/>
    <w:link w:val="30"/>
    <w:qFormat/>
    <w:uiPriority w:val="0"/>
    <w:rPr>
      <w:rFonts w:eastAsia="宋体"/>
      <w:kern w:val="2"/>
      <w:sz w:val="18"/>
      <w:szCs w:val="18"/>
      <w:lang w:val="en-US" w:eastAsia="zh-CN" w:bidi="ar-SA"/>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_Style 293"/>
    <w:qFormat/>
    <w:uiPriority w:val="0"/>
    <w:rPr>
      <w:smallCaps/>
      <w:color w:val="C0504D"/>
      <w:u w:val="single"/>
    </w:rPr>
  </w:style>
  <w:style w:type="character" w:customStyle="1" w:styleId="295">
    <w:name w:val="副标题 Char1"/>
    <w:qFormat/>
    <w:uiPriority w:val="0"/>
    <w:rPr>
      <w:szCs w:val="24"/>
      <w:u w:val="single"/>
      <w:lang w:eastAsia="en-US"/>
    </w:rPr>
  </w:style>
  <w:style w:type="character" w:customStyle="1" w:styleId="296">
    <w:name w:val="正文文本 Char3"/>
    <w:semiHidden/>
    <w:qFormat/>
    <w:uiPriority w:val="99"/>
    <w:rPr>
      <w:rFonts w:ascii="Calibri" w:hAnsi="Calibri" w:eastAsia="宋体" w:cs="Times New Roman"/>
      <w:szCs w:val="24"/>
    </w:rPr>
  </w:style>
  <w:style w:type="character" w:customStyle="1" w:styleId="297">
    <w:name w:val="标题 4 Char1"/>
    <w:qFormat/>
    <w:uiPriority w:val="0"/>
    <w:rPr>
      <w:rFonts w:ascii="宋体" w:hAnsi="宋体" w:eastAsia="宋体" w:cs="宋体"/>
      <w:b/>
      <w:bCs/>
      <w:sz w:val="24"/>
      <w:szCs w:val="24"/>
    </w:rPr>
  </w:style>
  <w:style w:type="character" w:customStyle="1" w:styleId="298">
    <w:name w:val="文档结构图 Char3"/>
    <w:semiHidden/>
    <w:qFormat/>
    <w:uiPriority w:val="99"/>
    <w:rPr>
      <w:rFonts w:ascii="宋体" w:hAnsi="Calibri" w:eastAsia="宋体" w:cs="Times New Roman"/>
      <w:sz w:val="18"/>
      <w:szCs w:val="18"/>
    </w:rPr>
  </w:style>
  <w:style w:type="character" w:customStyle="1" w:styleId="299">
    <w:name w:val="标题 3 Char2"/>
    <w:link w:val="5"/>
    <w:qFormat/>
    <w:uiPriority w:val="0"/>
    <w:rPr>
      <w:rFonts w:eastAsia="宋体"/>
      <w:b/>
      <w:bCs/>
      <w:kern w:val="2"/>
      <w:sz w:val="32"/>
      <w:szCs w:val="32"/>
      <w:lang w:val="en-US" w:eastAsia="zh-CN" w:bidi="ar-SA"/>
    </w:rPr>
  </w:style>
  <w:style w:type="character" w:customStyle="1" w:styleId="300">
    <w:name w:val="正文文本 3 Char2"/>
    <w:semiHidden/>
    <w:qFormat/>
    <w:uiPriority w:val="99"/>
    <w:rPr>
      <w:rFonts w:ascii="Calibri" w:hAnsi="Calibri" w:eastAsia="宋体" w:cs="Times New Roman"/>
      <w:sz w:val="16"/>
      <w:szCs w:val="16"/>
    </w:rPr>
  </w:style>
  <w:style w:type="character" w:customStyle="1" w:styleId="301">
    <w:name w:val="Char Char23"/>
    <w:qFormat/>
    <w:uiPriority w:val="0"/>
    <w:rPr>
      <w:rFonts w:ascii="Cambria" w:hAnsi="Cambria" w:eastAsia="宋体" w:cs="Times New Roman"/>
      <w:b/>
      <w:bCs/>
      <w:kern w:val="2"/>
      <w:sz w:val="32"/>
      <w:szCs w:val="32"/>
    </w:rPr>
  </w:style>
  <w:style w:type="character" w:customStyle="1" w:styleId="302">
    <w:name w:val="尾注文本 Char2"/>
    <w:semiHidden/>
    <w:qFormat/>
    <w:uiPriority w:val="99"/>
    <w:rPr>
      <w:rFonts w:ascii="Calibri" w:hAnsi="Calibri" w:eastAsia="宋体" w:cs="Times New Roman"/>
      <w:szCs w:val="24"/>
    </w:rPr>
  </w:style>
  <w:style w:type="character" w:customStyle="1" w:styleId="303">
    <w:name w:val="书籍标题1"/>
    <w:qFormat/>
    <w:uiPriority w:val="0"/>
    <w:rPr>
      <w:b/>
      <w:bCs/>
      <w:smallCaps/>
      <w:spacing w:val="5"/>
    </w:rPr>
  </w:style>
  <w:style w:type="character" w:customStyle="1" w:styleId="304">
    <w:name w:val="ITTHEADER2 Char"/>
    <w:qFormat/>
    <w:uiPriority w:val="0"/>
    <w:rPr>
      <w:rFonts w:ascii="仿宋_GB2312" w:eastAsia="仿宋_GB2312" w:cs="MingLiU"/>
      <w:b/>
      <w:spacing w:val="1"/>
      <w:w w:val="99"/>
      <w:sz w:val="28"/>
      <w:szCs w:val="32"/>
      <w:lang w:val="en-US" w:eastAsia="zh-CN" w:bidi="ar-SA"/>
    </w:rPr>
  </w:style>
  <w:style w:type="character" w:customStyle="1" w:styleId="305">
    <w:name w:val="批注文字 Char3"/>
    <w:link w:val="16"/>
    <w:qFormat/>
    <w:uiPriority w:val="99"/>
    <w:rPr>
      <w:rFonts w:eastAsia="宋体"/>
      <w:kern w:val="2"/>
      <w:sz w:val="21"/>
      <w:szCs w:val="24"/>
      <w:lang w:val="en-US" w:eastAsia="zh-CN" w:bidi="ar-SA"/>
    </w:rPr>
  </w:style>
  <w:style w:type="character" w:customStyle="1" w:styleId="306">
    <w:name w:val="批注文字 Char Char"/>
    <w:qFormat/>
    <w:uiPriority w:val="0"/>
    <w:rPr>
      <w:rFonts w:ascii="宋体" w:hAnsi="Times New Roman" w:eastAsia="宋体" w:cs="Times New Roman"/>
      <w:sz w:val="28"/>
      <w:szCs w:val="20"/>
    </w:rPr>
  </w:style>
  <w:style w:type="character" w:customStyle="1" w:styleId="307">
    <w:name w:val="副标题 Char3"/>
    <w:link w:val="33"/>
    <w:qFormat/>
    <w:uiPriority w:val="0"/>
    <w:rPr>
      <w:rFonts w:eastAsia="宋体"/>
      <w:szCs w:val="24"/>
      <w:u w:val="single"/>
      <w:lang w:val="en-US" w:eastAsia="en-US" w:bidi="ar-SA"/>
    </w:rPr>
  </w:style>
  <w:style w:type="character" w:customStyle="1" w:styleId="308">
    <w:name w:val="批注主题 Char2"/>
    <w:qFormat/>
    <w:uiPriority w:val="99"/>
    <w:rPr>
      <w:b/>
      <w:bCs/>
      <w:kern w:val="2"/>
      <w:sz w:val="21"/>
      <w:szCs w:val="24"/>
    </w:rPr>
  </w:style>
  <w:style w:type="character" w:customStyle="1" w:styleId="309">
    <w:name w:val="normaltext1"/>
    <w:qFormat/>
    <w:uiPriority w:val="0"/>
    <w:rPr>
      <w:rFonts w:hint="default" w:ascii="ˎ̥" w:hAnsi="ˎ̥"/>
      <w:sz w:val="9"/>
      <w:szCs w:val="9"/>
    </w:rPr>
  </w:style>
  <w:style w:type="character" w:customStyle="1" w:styleId="310">
    <w:name w:val="不明显参考1"/>
    <w:qFormat/>
    <w:uiPriority w:val="0"/>
    <w:rPr>
      <w:smallCaps/>
      <w:color w:val="C0504D"/>
      <w:u w:val="single"/>
    </w:rPr>
  </w:style>
  <w:style w:type="character" w:customStyle="1" w:styleId="311">
    <w:name w:val="标题 6 Char"/>
    <w:qFormat/>
    <w:uiPriority w:val="0"/>
    <w:rPr>
      <w:rFonts w:ascii="Arial" w:hAnsi="Arial" w:eastAsia="黑体" w:cs="Times New Roman"/>
      <w:b/>
      <w:bCs/>
      <w:sz w:val="24"/>
      <w:szCs w:val="24"/>
    </w:rPr>
  </w:style>
  <w:style w:type="paragraph" w:customStyle="1" w:styleId="312">
    <w:name w:val="Table Paragraph"/>
    <w:basedOn w:val="1"/>
    <w:qFormat/>
    <w:uiPriority w:val="1"/>
    <w:pPr>
      <w:autoSpaceDE w:val="0"/>
      <w:autoSpaceDN w:val="0"/>
      <w:jc w:val="left"/>
    </w:pPr>
    <w:rPr>
      <w:rFonts w:ascii="宋体" w:hAnsi="宋体" w:cs="宋体"/>
      <w:kern w:val="0"/>
      <w:sz w:val="22"/>
      <w:szCs w:val="22"/>
    </w:rPr>
  </w:style>
  <w:style w:type="character" w:customStyle="1" w:styleId="313">
    <w:name w:val="fontstyle01"/>
    <w:basedOn w:val="47"/>
    <w:qFormat/>
    <w:uiPriority w:val="0"/>
    <w:rPr>
      <w:rFonts w:hint="eastAsia" w:ascii="宋体" w:hAnsi="宋体" w:eastAsia="宋体"/>
      <w:color w:val="000000"/>
      <w:sz w:val="24"/>
      <w:szCs w:val="24"/>
    </w:rPr>
  </w:style>
  <w:style w:type="character" w:customStyle="1" w:styleId="314">
    <w:name w:val="cy"/>
    <w:basedOn w:val="47"/>
    <w:qFormat/>
    <w:uiPriority w:val="0"/>
  </w:style>
  <w:style w:type="character" w:customStyle="1" w:styleId="315">
    <w:name w:val="pagechatarealistclose_box"/>
    <w:basedOn w:val="47"/>
    <w:qFormat/>
    <w:uiPriority w:val="0"/>
  </w:style>
  <w:style w:type="character" w:customStyle="1" w:styleId="316">
    <w:name w:val="pagechatarealistclose_box1"/>
    <w:basedOn w:val="47"/>
    <w:qFormat/>
    <w:uiPriority w:val="0"/>
  </w:style>
  <w:style w:type="character" w:customStyle="1" w:styleId="317">
    <w:name w:val="first-child"/>
    <w:basedOn w:val="47"/>
    <w:qFormat/>
    <w:uiPriority w:val="0"/>
  </w:style>
  <w:style w:type="character" w:customStyle="1" w:styleId="318">
    <w:name w:val="cdropleft"/>
    <w:basedOn w:val="47"/>
    <w:qFormat/>
    <w:uiPriority w:val="0"/>
  </w:style>
  <w:style w:type="character" w:customStyle="1" w:styleId="319">
    <w:name w:val="tmpztreemove_arrow"/>
    <w:basedOn w:val="47"/>
    <w:qFormat/>
    <w:uiPriority w:val="0"/>
  </w:style>
  <w:style w:type="character" w:customStyle="1" w:styleId="320">
    <w:name w:val="layui-layer-tabnow"/>
    <w:basedOn w:val="47"/>
    <w:qFormat/>
    <w:uiPriority w:val="0"/>
    <w:rPr>
      <w:bdr w:val="single" w:color="CCCCCC" w:sz="6" w:space="0"/>
      <w:shd w:val="clear" w:fill="FFFFFF"/>
    </w:rPr>
  </w:style>
  <w:style w:type="character" w:customStyle="1" w:styleId="321">
    <w:name w:val="after"/>
    <w:basedOn w:val="47"/>
    <w:qFormat/>
    <w:uiPriority w:val="0"/>
    <w:rPr>
      <w:sz w:val="0"/>
      <w:szCs w:val="0"/>
    </w:rPr>
  </w:style>
  <w:style w:type="character" w:customStyle="1" w:styleId="322">
    <w:name w:val="icontext1"/>
    <w:basedOn w:val="47"/>
    <w:qFormat/>
    <w:uiPriority w:val="0"/>
  </w:style>
  <w:style w:type="character" w:customStyle="1" w:styleId="323">
    <w:name w:val="icontext11"/>
    <w:basedOn w:val="47"/>
    <w:qFormat/>
    <w:uiPriority w:val="0"/>
  </w:style>
  <w:style w:type="character" w:customStyle="1" w:styleId="324">
    <w:name w:val="icontext12"/>
    <w:basedOn w:val="47"/>
    <w:qFormat/>
    <w:uiPriority w:val="0"/>
  </w:style>
  <w:style w:type="character" w:customStyle="1" w:styleId="325">
    <w:name w:val="button4"/>
    <w:basedOn w:val="47"/>
    <w:qFormat/>
    <w:uiPriority w:val="0"/>
  </w:style>
  <w:style w:type="character" w:customStyle="1" w:styleId="326">
    <w:name w:val="drapbtn"/>
    <w:basedOn w:val="47"/>
    <w:qFormat/>
    <w:uiPriority w:val="0"/>
  </w:style>
  <w:style w:type="character" w:customStyle="1" w:styleId="327">
    <w:name w:val="ico1654"/>
    <w:basedOn w:val="47"/>
    <w:qFormat/>
    <w:uiPriority w:val="0"/>
  </w:style>
  <w:style w:type="character" w:customStyle="1" w:styleId="328">
    <w:name w:val="ico1655"/>
    <w:basedOn w:val="47"/>
    <w:qFormat/>
    <w:uiPriority w:val="0"/>
  </w:style>
  <w:style w:type="character" w:customStyle="1" w:styleId="329">
    <w:name w:val="iconline2"/>
    <w:basedOn w:val="47"/>
    <w:qFormat/>
    <w:uiPriority w:val="0"/>
  </w:style>
  <w:style w:type="character" w:customStyle="1" w:styleId="330">
    <w:name w:val="iconline21"/>
    <w:basedOn w:val="47"/>
    <w:qFormat/>
    <w:uiPriority w:val="0"/>
  </w:style>
  <w:style w:type="character" w:customStyle="1" w:styleId="331">
    <w:name w:val="active6"/>
    <w:basedOn w:val="47"/>
    <w:qFormat/>
    <w:uiPriority w:val="0"/>
    <w:rPr>
      <w:shd w:val="clear" w:fill="EC3535"/>
    </w:rPr>
  </w:style>
  <w:style w:type="character" w:customStyle="1" w:styleId="332">
    <w:name w:val="active7"/>
    <w:basedOn w:val="47"/>
    <w:qFormat/>
    <w:uiPriority w:val="0"/>
    <w:rPr>
      <w:color w:val="00FF00"/>
      <w:shd w:val="clear" w:fill="111111"/>
    </w:rPr>
  </w:style>
  <w:style w:type="character" w:customStyle="1" w:styleId="333">
    <w:name w:val="w32"/>
    <w:basedOn w:val="47"/>
    <w:qFormat/>
    <w:uiPriority w:val="0"/>
  </w:style>
  <w:style w:type="character" w:customStyle="1" w:styleId="334">
    <w:name w:val="hilite6"/>
    <w:basedOn w:val="47"/>
    <w:qFormat/>
    <w:uiPriority w:val="0"/>
    <w:rPr>
      <w:color w:val="FFFFFF"/>
      <w:shd w:val="clear" w:fill="666666"/>
    </w:rPr>
  </w:style>
  <w:style w:type="character" w:customStyle="1" w:styleId="335">
    <w:name w:val="icontext3"/>
    <w:basedOn w:val="47"/>
    <w:qFormat/>
    <w:uiPriority w:val="0"/>
  </w:style>
  <w:style w:type="character" w:customStyle="1" w:styleId="336">
    <w:name w:val="associateddata"/>
    <w:basedOn w:val="47"/>
    <w:qFormat/>
    <w:uiPriority w:val="0"/>
    <w:rPr>
      <w:shd w:val="clear" w:fill="50A6F9"/>
    </w:rPr>
  </w:style>
  <w:style w:type="character" w:customStyle="1" w:styleId="337">
    <w:name w:val="cdropright"/>
    <w:basedOn w:val="47"/>
    <w:qFormat/>
    <w:uiPriority w:val="0"/>
  </w:style>
  <w:style w:type="character" w:customStyle="1" w:styleId="338">
    <w:name w:val="icontext2"/>
    <w:basedOn w:val="47"/>
    <w:qFormat/>
    <w:uiPriority w:val="0"/>
  </w:style>
  <w:style w:type="character" w:customStyle="1" w:styleId="339">
    <w:name w:val="button"/>
    <w:basedOn w:val="47"/>
    <w:qFormat/>
    <w:uiPriority w:val="0"/>
  </w:style>
  <w:style w:type="character" w:customStyle="1" w:styleId="340">
    <w:name w:val="ico1653"/>
    <w:basedOn w:val="47"/>
    <w:qFormat/>
    <w:uiPriority w:val="0"/>
  </w:style>
  <w:style w:type="character" w:customStyle="1" w:styleId="341">
    <w:name w:val="hilite"/>
    <w:basedOn w:val="47"/>
    <w:qFormat/>
    <w:uiPriority w:val="0"/>
    <w:rPr>
      <w:color w:val="FFFFFF"/>
      <w:shd w:val="clear" w:fill="666666"/>
    </w:rPr>
  </w:style>
  <w:style w:type="character" w:customStyle="1" w:styleId="342">
    <w:name w:val="标题 1 Char3"/>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6.wmf"/><Relationship Id="rId16" Type="http://schemas.openxmlformats.org/officeDocument/2006/relationships/oleObject" Target="embeddings/oleObject5.bin"/><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NSF</Company>
  <Pages>196</Pages>
  <Words>14065</Words>
  <Characters>14840</Characters>
  <Lines>996</Lines>
  <Paragraphs>280</Paragraphs>
  <TotalTime>20</TotalTime>
  <ScaleCrop>false</ScaleCrop>
  <LinksUpToDate>false</LinksUpToDate>
  <CharactersWithSpaces>15370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2022-08-10T03:17:00Z</dcterms:created>
  <dc:creator>USER</dc:creator>
  <cp:lastModifiedBy> </cp:lastModifiedBy>
  <cp:lastPrinted>2025-11-28T01:29:00Z</cp:lastPrinted>
  <dcterms:modified xsi:type="dcterms:W3CDTF">2026-08-27T07:28:39Z</dcterms:modified>
  <dc:title>第一卷</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9AA4372F473E4135A3CD066C89905E6A_13</vt:lpwstr>
  </property>
  <property fmtid="{D5CDD505-2E9C-101B-9397-08002B2CF9AE}" pid="4" name="KSOTemplateDocerSaveRecord">
    <vt:lpwstr>eyJoZGlkIjoiMTBmZDRmMzQyOTc1NDBlZGMyNDA3YTlmZWIyYmQzOWIiLCJ1c2VySWQiOiIzNTA5MTM3NTUifQ==</vt:lpwstr>
  </property>
</Properties>
</file>